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single" w:color="F57F17" w:sz="10"/>
              <w:right w:val="none" w:color="FFFFFF" w:sz="0"/>
            </w:tcBorders>
            <w:shd w:fill="1A237E" w:val="clear"/>
            <w:tcMar>
              <w:top w:type="dxa" w:w="280"/>
              <w:left w:type="dxa" w:w="400"/>
              <w:bottom w:type="dxa" w:w="280"/>
              <w:right w:type="dxa" w:w="400"/>
            </w:tcMar>
          </w:tcPr>
          <w:p>
            <w:pPr>
              <w:spacing w:before="40" w:after="40"/>
              <w:jc w:val="center"/>
            </w:pPr>
            <w:r>
              <w:rPr>
                <w:rFonts w:ascii="Arial" w:cs="Arial" w:eastAsia="Arial" w:hAnsi="Arial"/>
                <w:b/>
                <w:bCs/>
                <w:color w:val="FFFFFF"/>
                <w:sz w:val="30"/>
                <w:szCs w:val="30"/>
              </w:rPr>
              <w:t xml:space="preserve">ÉCOLE NATIONALE DE COMMERCE ET DE GESTION</w:t>
            </w:r>
          </w:p>
          <w:p>
            <w:pPr>
              <w:spacing w:before="20" w:after="20"/>
              <w:jc w:val="center"/>
            </w:pPr>
            <w:r>
              <w:rPr>
                <w:rFonts w:ascii="Arial" w:cs="Arial" w:eastAsia="Arial" w:hAnsi="Arial"/>
                <w:color w:val="B3E5FC"/>
                <w:sz w:val="20"/>
                <w:szCs w:val="20"/>
              </w:rPr>
              <w:t xml:space="preserve">ENCG SETTAT  •  Filière PSCM  •  Module Intelligence Artificielle  •  S8 — 2026</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60" w:after="40"/>
        <w:jc w:val="center"/>
      </w:pPr>
      <w:r>
        <w:rPr>
          <w:rFonts w:ascii="Arial" w:cs="Arial" w:eastAsia="Arial" w:hAnsi="Arial"/>
          <w:b/>
          <w:bCs/>
          <w:color w:val="455A64"/>
          <w:sz w:val="26"/>
          <w:szCs w:val="26"/>
        </w:rPr>
        <w:t xml:space="preserve">RAPPORT DE PROJET</w:t>
      </w:r>
    </w:p>
    <w:p>
      <w:pPr>
        <w:spacing w:before="20" w:after="80"/>
        <w:jc w:val="center"/>
      </w:pPr>
      <w:r>
        <w:rPr>
          <w:rFonts w:ascii="Arial" w:cs="Arial" w:eastAsia="Arial" w:hAnsi="Arial"/>
          <w:i/>
          <w:iCs/>
          <w:color w:val="455A64"/>
          <w:sz w:val="22"/>
          <w:szCs w:val="22"/>
        </w:rPr>
        <w:t xml:space="preserve">Intelligence Artificielle &amp; Qualité Industrielle</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8"/>
              <w:left w:val="single" w:color="00695C" w:sz="8"/>
              <w:bottom w:val="single" w:color="00695C" w:sz="8"/>
              <w:right w:val="single" w:color="00695C" w:sz="8"/>
            </w:tcBorders>
            <w:shd w:fill="E0F2F1" w:val="clear"/>
            <w:tcMar>
              <w:top w:type="dxa" w:w="320"/>
              <w:left w:type="dxa" w:w="440"/>
              <w:bottom w:type="dxa" w:w="320"/>
              <w:right w:type="dxa" w:w="440"/>
            </w:tcMar>
          </w:tcPr>
          <w:p>
            <w:pPr>
              <w:spacing w:before="40" w:after="40"/>
              <w:jc w:val="center"/>
            </w:pPr>
            <w:r>
              <w:rPr>
                <w:rFonts w:ascii="Arial" w:cs="Arial" w:eastAsia="Arial" w:hAnsi="Arial"/>
                <w:b/>
                <w:bCs/>
                <w:color w:val="00695C"/>
                <w:sz w:val="24"/>
                <w:szCs w:val="24"/>
              </w:rPr>
              <w:t xml:space="preserve">PROJET N° 30</w:t>
            </w:r>
          </w:p>
          <w:p>
            <w:pPr>
              <w:spacing w:before="60" w:after="40"/>
              <w:jc w:val="center"/>
            </w:pPr>
            <w:r>
              <w:rPr>
                <w:rFonts w:ascii="Arial" w:cs="Arial" w:eastAsia="Arial" w:hAnsi="Arial"/>
                <w:b/>
                <w:bCs/>
                <w:color w:val="1A237E"/>
                <w:sz w:val="36"/>
                <w:szCs w:val="36"/>
              </w:rPr>
              <w:t xml:space="preserve">Classification des Causes de Non-Conformité</w:t>
            </w:r>
          </w:p>
          <w:p>
            <w:pPr>
              <w:spacing w:before="20" w:after="60"/>
              <w:jc w:val="center"/>
            </w:pPr>
            <w:r>
              <w:rPr>
                <w:rFonts w:ascii="Arial" w:cs="Arial" w:eastAsia="Arial" w:hAnsi="Arial"/>
                <w:b/>
                <w:bCs/>
                <w:color w:val="1A237E"/>
                <w:sz w:val="36"/>
                <w:szCs w:val="36"/>
              </w:rPr>
              <w:t xml:space="preserve">Produit par Catégorie</w:t>
            </w:r>
          </w:p>
          <w:p>
            <w:pPr>
              <w:spacing w:before="40" w:after="40"/>
              <w:jc w:val="center"/>
            </w:pPr>
            <w:r>
              <w:rPr>
                <w:rFonts w:ascii="Arial" w:cs="Arial" w:eastAsia="Arial" w:hAnsi="Arial"/>
                <w:i/>
                <w:iCs/>
                <w:color w:val="00695C"/>
                <w:sz w:val="24"/>
                <w:szCs w:val="24"/>
              </w:rPr>
              <w:t xml:space="preserve">Diagramme d'Ishikawa Augmenté par Machine Learning</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2"/>
                <w:szCs w:val="22"/>
              </w:rPr>
              <w:t xml:space="preserve">Étudiant 1</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2"/>
                <w:szCs w:val="22"/>
              </w:rPr>
              <w:t xml:space="preserve">Étudiant 2</w:t>
            </w:r>
          </w:p>
        </w:tc>
      </w:tr>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vAlign w:val="center"/>
          </w:tcPr>
          <w:p>
            <w:pPr>
              <w:jc w:val="center"/>
            </w:pPr>
            <w:r>
              <w:drawing>
                <wp:inline distT="0" distB="0" distL="0" distR="0">
                  <wp:extent cx="1047750" cy="1047750"/>
                  <wp:effectExtent t="0" r="0" b="0" l="0"/>
                  <wp:docPr id="1" name="diaby" descr="DIABY" title="Photo Dia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tc>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vAlign w:val="center"/>
          </w:tcPr>
          <w:p>
            <w:pPr>
              <w:jc w:val="center"/>
            </w:pPr>
            <w:r>
              <w:drawing>
                <wp:inline distT="0" distB="0" distL="0" distR="0">
                  <wp:extent cx="1047750" cy="1047750"/>
                  <wp:effectExtent t="0" r="0" b="0" l="0"/>
                  <wp:docPr id="1" name="diallo" descr="DIALLO" title="Photo Dia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2"/>
                <w:szCs w:val="22"/>
              </w:rPr>
              <w:t xml:space="preserve">DIABY CHEICK MOCTAR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2"/>
                <w:szCs w:val="22"/>
              </w:rPr>
              <w:t xml:space="preserve">DIALLO TIEMOGO</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55A64"/>
                <w:sz w:val="20"/>
                <w:szCs w:val="20"/>
              </w:rPr>
              <w:t xml:space="preserve">Apogée : 24011384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55A64"/>
                <w:sz w:val="20"/>
                <w:szCs w:val="20"/>
              </w:rPr>
              <w:t xml:space="preserve">Apogée : 21009948</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Encadrant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Professeur Abderrahim Larhlimi</w:t>
            </w:r>
          </w:p>
        </w:tc>
      </w:tr>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Filière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PSCM — Purchasing, Supply Chain &amp; Management</w:t>
            </w:r>
          </w:p>
        </w:tc>
      </w:tr>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Module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Intelligence Artificielle (IA) — Semestre 8</w:t>
            </w:r>
          </w:p>
        </w:tc>
      </w:tr>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Établissement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ENCG Settat</w:t>
            </w:r>
          </w:p>
        </w:tc>
      </w:tr>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Année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2025 – 2026</w:t>
            </w:r>
          </w:p>
        </w:tc>
      </w:tr>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Dataset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AI4I 2020 Predictive Maintenance — UCI Machine Learning Repository</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jc w:val="center"/>
      </w:pPr>
      <w:r>
        <w:rPr>
          <w:rFonts w:ascii="Arial" w:cs="Arial" w:eastAsia="Arial" w:hAnsi="Arial"/>
          <w:i/>
          <w:iCs/>
          <w:color w:val="455A64"/>
          <w:sz w:val="18"/>
          <w:szCs w:val="18"/>
        </w:rPr>
        <w:t xml:space="preserve">— Document Pédagogique Confidentiel —</w:t>
      </w:r>
    </w:p>
    <w:p>
      <w:r>
        <w:br w:type="page"/>
      </w:r>
    </w:p>
    <w:p>
      <w:pPr>
        <w:pStyle w:val="Heading1"/>
        <w:spacing w:before="400" w:after="200"/>
      </w:pPr>
      <w:bookmarkStart w:name="toc" w:id="1"/>
      <w:r>
        <w:rPr>
          <w:rFonts w:ascii="Arial" w:cs="Arial" w:eastAsia="Arial" w:hAnsi="Arial"/>
          <w:b/>
          <w:bCs/>
          <w:color w:val="1A237E"/>
          <w:sz w:val="32"/>
          <w:szCs w:val="32"/>
        </w:rPr>
        <w:t xml:space="preserve">Sommaire</w:t>
      </w:r>
      <w:bookmarkEnd w:id="1"/>
    </w:p>
    <w:p>
      <w:pPr>
        <w:pBdr>
          <w:bottom w:val="single" w:color="1A237E" w:sz="6" w:space="1"/>
        </w:pBdr>
        <w:spacing w:before="160" w:after="16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60" w:after="60"/>
        <w:ind w:left="0"/>
      </w:pPr>
      <w:hyperlink w:history="1" w:anchor="ch1">
        <w:r>
          <w:rPr>
            <w:rStyle w:val="Hyperlink"/>
            <w:rFonts w:ascii="Arial" w:cs="Arial" w:eastAsia="Arial" w:hAnsi="Arial"/>
            <w:b/>
            <w:bCs/>
            <w:color w:val="1A237E"/>
            <w:sz w:val="22"/>
            <w:szCs w:val="22"/>
          </w:rPr>
          <w:t xml:space="preserve">I.  D1 — Définir : Problématique, Objectifs, Contexte</w:t>
        </w:r>
        <w:r>
          <w:rPr>
            <w:rFonts w:ascii="Arial" w:cs="Arial" w:eastAsia="Arial" w:hAnsi="Arial"/>
            <w:color w:val="455A64"/>
            <w:sz w:val="20"/>
            <w:szCs w:val="20"/>
          </w:rPr>
          <w:ptab w:alignment="right" w:relativeTo="margin" w:leader="dot"/>
          <w:t xml:space="preserve">4</w:t>
        </w:r>
      </w:hyperlink>
    </w:p>
    <w:p>
      <w:pPr>
        <w:spacing w:before="60" w:after="60"/>
        <w:ind w:left="360"/>
      </w:pPr>
      <w:hyperlink w:history="1" w:anchor="ch11">
        <w:r>
          <w:rPr>
            <w:rStyle w:val="Hyperlink"/>
            <w:rFonts w:ascii="Arial" w:cs="Arial" w:eastAsia="Arial" w:hAnsi="Arial"/>
            <w:b w:val="false"/>
            <w:bCs w:val="false"/>
            <w:color w:val="1A237E"/>
            <w:sz w:val="20"/>
            <w:szCs w:val="20"/>
          </w:rPr>
          <w:t xml:space="preserve">1.1  Contexte industriel et cadre qualité</w:t>
        </w:r>
        <w:r>
          <w:rPr>
            <w:rFonts w:ascii="Arial" w:cs="Arial" w:eastAsia="Arial" w:hAnsi="Arial"/>
            <w:color w:val="455A64"/>
            <w:sz w:val="20"/>
            <w:szCs w:val="20"/>
          </w:rPr>
          <w:ptab w:alignment="right" w:relativeTo="margin" w:leader="dot"/>
          <w:t xml:space="preserve">4</w:t>
        </w:r>
      </w:hyperlink>
    </w:p>
    <w:p>
      <w:pPr>
        <w:spacing w:before="60" w:after="60"/>
        <w:ind w:left="360"/>
      </w:pPr>
      <w:hyperlink w:history="1" w:anchor="ch12">
        <w:r>
          <w:rPr>
            <w:rStyle w:val="Hyperlink"/>
            <w:rFonts w:ascii="Arial" w:cs="Arial" w:eastAsia="Arial" w:hAnsi="Arial"/>
            <w:b w:val="false"/>
            <w:bCs w:val="false"/>
            <w:color w:val="1A237E"/>
            <w:sz w:val="20"/>
            <w:szCs w:val="20"/>
          </w:rPr>
          <w:t xml:space="preserve">1.2  Problématique de recherche</w:t>
        </w:r>
        <w:r>
          <w:rPr>
            <w:rFonts w:ascii="Arial" w:cs="Arial" w:eastAsia="Arial" w:hAnsi="Arial"/>
            <w:color w:val="455A64"/>
            <w:sz w:val="20"/>
            <w:szCs w:val="20"/>
          </w:rPr>
          <w:ptab w:alignment="right" w:relativeTo="margin" w:leader="dot"/>
          <w:t xml:space="preserve">5</w:t>
        </w:r>
      </w:hyperlink>
    </w:p>
    <w:p>
      <w:pPr>
        <w:spacing w:before="60" w:after="60"/>
        <w:ind w:left="360"/>
      </w:pPr>
      <w:hyperlink w:history="1" w:anchor="ch13">
        <w:r>
          <w:rPr>
            <w:rStyle w:val="Hyperlink"/>
            <w:rFonts w:ascii="Arial" w:cs="Arial" w:eastAsia="Arial" w:hAnsi="Arial"/>
            <w:b w:val="false"/>
            <w:bCs w:val="false"/>
            <w:color w:val="1A237E"/>
            <w:sz w:val="20"/>
            <w:szCs w:val="20"/>
          </w:rPr>
          <w:t xml:space="preserve">1.3  Objectifs du projet</w:t>
        </w:r>
        <w:r>
          <w:rPr>
            <w:rFonts w:ascii="Arial" w:cs="Arial" w:eastAsia="Arial" w:hAnsi="Arial"/>
            <w:color w:val="455A64"/>
            <w:sz w:val="20"/>
            <w:szCs w:val="20"/>
          </w:rPr>
          <w:ptab w:alignment="right" w:relativeTo="margin" w:leader="dot"/>
          <w:t xml:space="preserve">5</w:t>
        </w:r>
      </w:hyperlink>
    </w:p>
    <w:p>
      <w:pPr>
        <w:spacing w:before="60" w:after="60"/>
        <w:ind w:left="0"/>
      </w:pPr>
      <w:hyperlink w:history="1" w:anchor="ch2">
        <w:r>
          <w:rPr>
            <w:rStyle w:val="Hyperlink"/>
            <w:rFonts w:ascii="Arial" w:cs="Arial" w:eastAsia="Arial" w:hAnsi="Arial"/>
            <w:b/>
            <w:bCs/>
            <w:color w:val="1A237E"/>
            <w:sz w:val="22"/>
            <w:szCs w:val="22"/>
          </w:rPr>
          <w:t xml:space="preserve">II.  D2 — Données : EDA, Prétraitement, SMOTE</w:t>
        </w:r>
        <w:r>
          <w:rPr>
            <w:rFonts w:ascii="Arial" w:cs="Arial" w:eastAsia="Arial" w:hAnsi="Arial"/>
            <w:color w:val="455A64"/>
            <w:sz w:val="20"/>
            <w:szCs w:val="20"/>
          </w:rPr>
          <w:ptab w:alignment="right" w:relativeTo="margin" w:leader="dot"/>
          <w:t xml:space="preserve">6</w:t>
        </w:r>
      </w:hyperlink>
    </w:p>
    <w:p>
      <w:pPr>
        <w:spacing w:before="60" w:after="60"/>
        <w:ind w:left="360"/>
      </w:pPr>
      <w:hyperlink w:history="1" w:anchor="ch21">
        <w:r>
          <w:rPr>
            <w:rStyle w:val="Hyperlink"/>
            <w:rFonts w:ascii="Arial" w:cs="Arial" w:eastAsia="Arial" w:hAnsi="Arial"/>
            <w:b w:val="false"/>
            <w:bCs w:val="false"/>
            <w:color w:val="1A237E"/>
            <w:sz w:val="20"/>
            <w:szCs w:val="20"/>
          </w:rPr>
          <w:t xml:space="preserve">2.1  Présentation du dataset AI4I 2020</w:t>
        </w:r>
        <w:r>
          <w:rPr>
            <w:rFonts w:ascii="Arial" w:cs="Arial" w:eastAsia="Arial" w:hAnsi="Arial"/>
            <w:color w:val="455A64"/>
            <w:sz w:val="20"/>
            <w:szCs w:val="20"/>
          </w:rPr>
          <w:ptab w:alignment="right" w:relativeTo="margin" w:leader="dot"/>
          <w:t xml:space="preserve">6</w:t>
        </w:r>
      </w:hyperlink>
    </w:p>
    <w:p>
      <w:pPr>
        <w:spacing w:before="60" w:after="60"/>
        <w:ind w:left="360"/>
      </w:pPr>
      <w:hyperlink w:history="1" w:anchor="ch22">
        <w:r>
          <w:rPr>
            <w:rStyle w:val="Hyperlink"/>
            <w:rFonts w:ascii="Arial" w:cs="Arial" w:eastAsia="Arial" w:hAnsi="Arial"/>
            <w:b w:val="false"/>
            <w:bCs w:val="false"/>
            <w:color w:val="1A237E"/>
            <w:sz w:val="20"/>
            <w:szCs w:val="20"/>
          </w:rPr>
          <w:t xml:space="preserve">2.2  Analyse Exploratoire (EDA)</w:t>
        </w:r>
        <w:r>
          <w:rPr>
            <w:rFonts w:ascii="Arial" w:cs="Arial" w:eastAsia="Arial" w:hAnsi="Arial"/>
            <w:color w:val="455A64"/>
            <w:sz w:val="20"/>
            <w:szCs w:val="20"/>
          </w:rPr>
          <w:ptab w:alignment="right" w:relativeTo="margin" w:leader="dot"/>
          <w:t xml:space="preserve">7</w:t>
        </w:r>
      </w:hyperlink>
    </w:p>
    <w:p>
      <w:pPr>
        <w:spacing w:before="60" w:after="60"/>
        <w:ind w:left="360"/>
      </w:pPr>
      <w:hyperlink w:history="1" w:anchor="ch23">
        <w:r>
          <w:rPr>
            <w:rStyle w:val="Hyperlink"/>
            <w:rFonts w:ascii="Arial" w:cs="Arial" w:eastAsia="Arial" w:hAnsi="Arial"/>
            <w:b w:val="false"/>
            <w:bCs w:val="false"/>
            <w:color w:val="1A237E"/>
            <w:sz w:val="20"/>
            <w:szCs w:val="20"/>
          </w:rPr>
          <w:t xml:space="preserve">2.3  Création de la variable cible Cause_Racine_5M</w:t>
        </w:r>
        <w:r>
          <w:rPr>
            <w:rFonts w:ascii="Arial" w:cs="Arial" w:eastAsia="Arial" w:hAnsi="Arial"/>
            <w:color w:val="455A64"/>
            <w:sz w:val="20"/>
            <w:szCs w:val="20"/>
          </w:rPr>
          <w:ptab w:alignment="right" w:relativeTo="margin" w:leader="dot"/>
          <w:t xml:space="preserve">8</w:t>
        </w:r>
      </w:hyperlink>
    </w:p>
    <w:p>
      <w:pPr>
        <w:spacing w:before="60" w:after="60"/>
        <w:ind w:left="360"/>
      </w:pPr>
      <w:hyperlink w:history="1" w:anchor="ch24">
        <w:r>
          <w:rPr>
            <w:rStyle w:val="Hyperlink"/>
            <w:rFonts w:ascii="Arial" w:cs="Arial" w:eastAsia="Arial" w:hAnsi="Arial"/>
            <w:b w:val="false"/>
            <w:bCs w:val="false"/>
            <w:color w:val="1A237E"/>
            <w:sz w:val="20"/>
            <w:szCs w:val="20"/>
          </w:rPr>
          <w:t xml:space="preserve">2.4  Prétraitement, encodage et SMOTE</w:t>
        </w:r>
        <w:r>
          <w:rPr>
            <w:rFonts w:ascii="Arial" w:cs="Arial" w:eastAsia="Arial" w:hAnsi="Arial"/>
            <w:color w:val="455A64"/>
            <w:sz w:val="20"/>
            <w:szCs w:val="20"/>
          </w:rPr>
          <w:ptab w:alignment="right" w:relativeTo="margin" w:leader="dot"/>
          <w:t xml:space="preserve">9</w:t>
        </w:r>
      </w:hyperlink>
    </w:p>
    <w:p>
      <w:pPr>
        <w:spacing w:before="60" w:after="60"/>
        <w:ind w:left="0"/>
      </w:pPr>
      <w:hyperlink w:history="1" w:anchor="ch3">
        <w:r>
          <w:rPr>
            <w:rStyle w:val="Hyperlink"/>
            <w:rFonts w:ascii="Arial" w:cs="Arial" w:eastAsia="Arial" w:hAnsi="Arial"/>
            <w:b/>
            <w:bCs/>
            <w:color w:val="1A237E"/>
            <w:sz w:val="22"/>
            <w:szCs w:val="22"/>
          </w:rPr>
          <w:t xml:space="preserve">III.  D3 — Développer : Entraînement des 3 Modèles</w:t>
        </w:r>
        <w:r>
          <w:rPr>
            <w:rFonts w:ascii="Arial" w:cs="Arial" w:eastAsia="Arial" w:hAnsi="Arial"/>
            <w:color w:val="455A64"/>
            <w:sz w:val="20"/>
            <w:szCs w:val="20"/>
          </w:rPr>
          <w:ptab w:alignment="right" w:relativeTo="margin" w:leader="dot"/>
          <w:t xml:space="preserve">10</w:t>
        </w:r>
      </w:hyperlink>
    </w:p>
    <w:p>
      <w:pPr>
        <w:spacing w:before="60" w:after="60"/>
        <w:ind w:left="360"/>
      </w:pPr>
      <w:hyperlink w:history="1" w:anchor="ch31">
        <w:r>
          <w:rPr>
            <w:rStyle w:val="Hyperlink"/>
            <w:rFonts w:ascii="Arial" w:cs="Arial" w:eastAsia="Arial" w:hAnsi="Arial"/>
            <w:b w:val="false"/>
            <w:bCs w:val="false"/>
            <w:color w:val="1A237E"/>
            <w:sz w:val="20"/>
            <w:szCs w:val="20"/>
          </w:rPr>
          <w:t xml:space="preserve">3.1  Modèle 1 — Random Forest</w:t>
        </w:r>
        <w:r>
          <w:rPr>
            <w:rFonts w:ascii="Arial" w:cs="Arial" w:eastAsia="Arial" w:hAnsi="Arial"/>
            <w:color w:val="455A64"/>
            <w:sz w:val="20"/>
            <w:szCs w:val="20"/>
          </w:rPr>
          <w:ptab w:alignment="right" w:relativeTo="margin" w:leader="dot"/>
          <w:t xml:space="preserve">10</w:t>
        </w:r>
      </w:hyperlink>
    </w:p>
    <w:p>
      <w:pPr>
        <w:spacing w:before="60" w:after="60"/>
        <w:ind w:left="360"/>
      </w:pPr>
      <w:hyperlink w:history="1" w:anchor="ch32">
        <w:r>
          <w:rPr>
            <w:rStyle w:val="Hyperlink"/>
            <w:rFonts w:ascii="Arial" w:cs="Arial" w:eastAsia="Arial" w:hAnsi="Arial"/>
            <w:b w:val="false"/>
            <w:bCs w:val="false"/>
            <w:color w:val="1A237E"/>
            <w:sz w:val="20"/>
            <w:szCs w:val="20"/>
          </w:rPr>
          <w:t xml:space="preserve">3.2  Modèle 2 — XGBoost</w:t>
        </w:r>
        <w:r>
          <w:rPr>
            <w:rFonts w:ascii="Arial" w:cs="Arial" w:eastAsia="Arial" w:hAnsi="Arial"/>
            <w:color w:val="455A64"/>
            <w:sz w:val="20"/>
            <w:szCs w:val="20"/>
          </w:rPr>
          <w:ptab w:alignment="right" w:relativeTo="margin" w:leader="dot"/>
          <w:t xml:space="preserve">11</w:t>
        </w:r>
      </w:hyperlink>
    </w:p>
    <w:p>
      <w:pPr>
        <w:spacing w:before="60" w:after="60"/>
        <w:ind w:left="360"/>
      </w:pPr>
      <w:hyperlink w:history="1" w:anchor="ch33">
        <w:r>
          <w:rPr>
            <w:rStyle w:val="Hyperlink"/>
            <w:rFonts w:ascii="Arial" w:cs="Arial" w:eastAsia="Arial" w:hAnsi="Arial"/>
            <w:b w:val="false"/>
            <w:bCs w:val="false"/>
            <w:color w:val="1A237E"/>
            <w:sz w:val="20"/>
            <w:szCs w:val="20"/>
          </w:rPr>
          <w:t xml:space="preserve">3.3  Modèle 3 — MLP (Réseau de Neurones)</w:t>
        </w:r>
        <w:r>
          <w:rPr>
            <w:rFonts w:ascii="Arial" w:cs="Arial" w:eastAsia="Arial" w:hAnsi="Arial"/>
            <w:color w:val="455A64"/>
            <w:sz w:val="20"/>
            <w:szCs w:val="20"/>
          </w:rPr>
          <w:ptab w:alignment="right" w:relativeTo="margin" w:leader="dot"/>
          <w:t xml:space="preserve">12</w:t>
        </w:r>
      </w:hyperlink>
    </w:p>
    <w:p>
      <w:pPr>
        <w:spacing w:before="60" w:after="60"/>
        <w:ind w:left="0"/>
      </w:pPr>
      <w:hyperlink w:history="1" w:anchor="ch4">
        <w:r>
          <w:rPr>
            <w:rStyle w:val="Hyperlink"/>
            <w:rFonts w:ascii="Arial" w:cs="Arial" w:eastAsia="Arial" w:hAnsi="Arial"/>
            <w:b/>
            <w:bCs/>
            <w:color w:val="1A237E"/>
            <w:sz w:val="22"/>
            <w:szCs w:val="22"/>
          </w:rPr>
          <w:t xml:space="preserve">IV.  D4 — Évaluer : Résultats, Ishikawa, Conclusion</w:t>
        </w:r>
        <w:r>
          <w:rPr>
            <w:rFonts w:ascii="Arial" w:cs="Arial" w:eastAsia="Arial" w:hAnsi="Arial"/>
            <w:color w:val="455A64"/>
            <w:sz w:val="20"/>
            <w:szCs w:val="20"/>
          </w:rPr>
          <w:ptab w:alignment="right" w:relativeTo="margin" w:leader="dot"/>
          <w:t xml:space="preserve">13</w:t>
        </w:r>
      </w:hyperlink>
    </w:p>
    <w:p>
      <w:pPr>
        <w:spacing w:before="60" w:after="60"/>
        <w:ind w:left="360"/>
      </w:pPr>
      <w:hyperlink w:history="1" w:anchor="ch41">
        <w:r>
          <w:rPr>
            <w:rStyle w:val="Hyperlink"/>
            <w:rFonts w:ascii="Arial" w:cs="Arial" w:eastAsia="Arial" w:hAnsi="Arial"/>
            <w:b w:val="false"/>
            <w:bCs w:val="false"/>
            <w:color w:val="1A237E"/>
            <w:sz w:val="20"/>
            <w:szCs w:val="20"/>
          </w:rPr>
          <w:t xml:space="preserve">4.1  Comparaison des performances des 3 modèles</w:t>
        </w:r>
        <w:r>
          <w:rPr>
            <w:rFonts w:ascii="Arial" w:cs="Arial" w:eastAsia="Arial" w:hAnsi="Arial"/>
            <w:color w:val="455A64"/>
            <w:sz w:val="20"/>
            <w:szCs w:val="20"/>
          </w:rPr>
          <w:ptab w:alignment="right" w:relativeTo="margin" w:leader="dot"/>
          <w:t xml:space="preserve">13</w:t>
        </w:r>
      </w:hyperlink>
    </w:p>
    <w:p>
      <w:pPr>
        <w:spacing w:before="60" w:after="60"/>
        <w:ind w:left="360"/>
      </w:pPr>
      <w:hyperlink w:history="1" w:anchor="ch42">
        <w:r>
          <w:rPr>
            <w:rStyle w:val="Hyperlink"/>
            <w:rFonts w:ascii="Arial" w:cs="Arial" w:eastAsia="Arial" w:hAnsi="Arial"/>
            <w:b w:val="false"/>
            <w:bCs w:val="false"/>
            <w:color w:val="1A237E"/>
            <w:sz w:val="20"/>
            <w:szCs w:val="20"/>
          </w:rPr>
          <w:t xml:space="preserve">4.2  Résultats détaillés par catégorie 5M</w:t>
        </w:r>
        <w:r>
          <w:rPr>
            <w:rFonts w:ascii="Arial" w:cs="Arial" w:eastAsia="Arial" w:hAnsi="Arial"/>
            <w:color w:val="455A64"/>
            <w:sz w:val="20"/>
            <w:szCs w:val="20"/>
          </w:rPr>
          <w:ptab w:alignment="right" w:relativeTo="margin" w:leader="dot"/>
          <w:t xml:space="preserve">14</w:t>
        </w:r>
      </w:hyperlink>
    </w:p>
    <w:p>
      <w:pPr>
        <w:spacing w:before="60" w:after="60"/>
        <w:ind w:left="360"/>
      </w:pPr>
      <w:hyperlink w:history="1" w:anchor="ch43">
        <w:r>
          <w:rPr>
            <w:rStyle w:val="Hyperlink"/>
            <w:rFonts w:ascii="Arial" w:cs="Arial" w:eastAsia="Arial" w:hAnsi="Arial"/>
            <w:b w:val="false"/>
            <w:bCs w:val="false"/>
            <w:color w:val="1A237E"/>
            <w:sz w:val="20"/>
            <w:szCs w:val="20"/>
          </w:rPr>
          <w:t xml:space="preserve">4.3  Importance des variables</w:t>
        </w:r>
        <w:r>
          <w:rPr>
            <w:rFonts w:ascii="Arial" w:cs="Arial" w:eastAsia="Arial" w:hAnsi="Arial"/>
            <w:color w:val="455A64"/>
            <w:sz w:val="20"/>
            <w:szCs w:val="20"/>
          </w:rPr>
          <w:ptab w:alignment="right" w:relativeTo="margin" w:leader="dot"/>
          <w:t xml:space="preserve">15</w:t>
        </w:r>
      </w:hyperlink>
    </w:p>
    <w:p>
      <w:pPr>
        <w:spacing w:before="60" w:after="60"/>
        <w:ind w:left="360"/>
      </w:pPr>
      <w:hyperlink w:history="1" w:anchor="ch44">
        <w:r>
          <w:rPr>
            <w:rStyle w:val="Hyperlink"/>
            <w:rFonts w:ascii="Arial" w:cs="Arial" w:eastAsia="Arial" w:hAnsi="Arial"/>
            <w:b w:val="false"/>
            <w:bCs w:val="false"/>
            <w:color w:val="1A237E"/>
            <w:sz w:val="20"/>
            <w:szCs w:val="20"/>
          </w:rPr>
          <w:t xml:space="preserve">4.4  Diagramme d'Ishikawa Augmenté — Interprétation</w:t>
        </w:r>
        <w:r>
          <w:rPr>
            <w:rFonts w:ascii="Arial" w:cs="Arial" w:eastAsia="Arial" w:hAnsi="Arial"/>
            <w:color w:val="455A64"/>
            <w:sz w:val="20"/>
            <w:szCs w:val="20"/>
          </w:rPr>
          <w:ptab w:alignment="right" w:relativeTo="margin" w:leader="dot"/>
          <w:t xml:space="preserve">16</w:t>
        </w:r>
      </w:hyperlink>
    </w:p>
    <w:p>
      <w:pPr>
        <w:spacing w:before="60" w:after="60"/>
        <w:ind w:left="360"/>
      </w:pPr>
      <w:hyperlink w:history="1" w:anchor="ch45">
        <w:r>
          <w:rPr>
            <w:rStyle w:val="Hyperlink"/>
            <w:rFonts w:ascii="Arial" w:cs="Arial" w:eastAsia="Arial" w:hAnsi="Arial"/>
            <w:b w:val="false"/>
            <w:bCs w:val="false"/>
            <w:color w:val="1A237E"/>
            <w:sz w:val="20"/>
            <w:szCs w:val="20"/>
          </w:rPr>
          <w:t xml:space="preserve">4.5  Conclusion générale et recommandations</w:t>
        </w:r>
        <w:r>
          <w:rPr>
            <w:rFonts w:ascii="Arial" w:cs="Arial" w:eastAsia="Arial" w:hAnsi="Arial"/>
            <w:color w:val="455A64"/>
            <w:sz w:val="20"/>
            <w:szCs w:val="20"/>
          </w:rPr>
          <w:ptab w:alignment="right" w:relativeTo="margin" w:leader="dot"/>
          <w:t xml:space="preserve">17</w:t>
        </w:r>
      </w:hyperlink>
    </w:p>
    <w:p>
      <w:pPr>
        <w:spacing w:before="60" w:after="60"/>
        <w:ind w:left="0"/>
      </w:pPr>
      <w:hyperlink w:history="1" w:anchor="ch5">
        <w:r>
          <w:rPr>
            <w:rStyle w:val="Hyperlink"/>
            <w:rFonts w:ascii="Arial" w:cs="Arial" w:eastAsia="Arial" w:hAnsi="Arial"/>
            <w:b/>
            <w:bCs/>
            <w:color w:val="1A237E"/>
            <w:sz w:val="22"/>
            <w:szCs w:val="22"/>
          </w:rPr>
          <w:t xml:space="preserve">V.  Bibliographie &amp; Références</w:t>
        </w:r>
        <w:r>
          <w:rPr>
            <w:rFonts w:ascii="Arial" w:cs="Arial" w:eastAsia="Arial" w:hAnsi="Arial"/>
            <w:color w:val="455A64"/>
            <w:sz w:val="20"/>
            <w:szCs w:val="20"/>
          </w:rPr>
          <w:ptab w:alignment="right" w:relativeTo="margin" w:leader="dot"/>
          <w:t xml:space="preserve">19</w:t>
        </w:r>
      </w:hyperlink>
    </w:p>
    <w:p>
      <w:r>
        <w:br w:type="page"/>
      </w:r>
    </w:p>
    <w:p>
      <w:pPr>
        <w:pStyle w:val="Heading1"/>
        <w:spacing w:before="400" w:after="200"/>
      </w:pPr>
      <w:bookmarkStart w:name="ch1" w:id="1"/>
      <w:r>
        <w:rPr>
          <w:rFonts w:ascii="Arial" w:cs="Arial" w:eastAsia="Arial" w:hAnsi="Arial"/>
          <w:b/>
          <w:bCs/>
          <w:color w:val="1A237E"/>
          <w:sz w:val="32"/>
          <w:szCs w:val="32"/>
        </w:rPr>
        <w:t xml:space="preserve">I. D1 — Définir : Problématique, Objectifs, Contexte</w:t>
      </w:r>
      <w:bookmarkEnd w:id="1"/>
    </w:p>
    <w:p>
      <w:pPr>
        <w:pBdr>
          <w:bottom w:val="single" w:color="1A237E" w:sz="6" w:space="1"/>
        </w:pBdr>
        <w:spacing w:before="160" w:after="160"/>
      </w:pPr>
      <w:r>
        <w:rPr>
          <w:rFonts w:ascii="Arial" w:cs="Arial" w:eastAsia="Arial" w:hAnsi="Arial"/>
          <w:sz w:val="22"/>
          <w:szCs w:val="22"/>
        </w:rPr>
        <w:t xml:space="preserve"/>
      </w:r>
    </w:p>
    <w:p>
      <w:pPr>
        <w:pStyle w:val="Heading2"/>
        <w:spacing w:before="280" w:after="140"/>
      </w:pPr>
      <w:bookmarkStart w:name="ch11" w:id="1"/>
      <w:r>
        <w:rPr>
          <w:rFonts w:ascii="Arial" w:cs="Arial" w:eastAsia="Arial" w:hAnsi="Arial"/>
          <w:b/>
          <w:bCs/>
          <w:color w:val="00695C"/>
          <w:sz w:val="26"/>
          <w:szCs w:val="26"/>
        </w:rPr>
        <w:t xml:space="preserve">1.1 Contexte Industriel et Cadre Qualité</w:t>
      </w:r>
      <w:bookmarkEnd w:id="1"/>
    </w:p>
    <w:p>
      <w:pPr>
        <w:spacing w:before="80" w:after="100"/>
      </w:pPr>
      <w:r>
        <w:rPr>
          <w:rFonts w:ascii="Arial" w:cs="Arial" w:eastAsia="Arial" w:hAnsi="Arial"/>
          <w:sz w:val="22"/>
          <w:szCs w:val="22"/>
        </w:rPr>
        <w:t xml:space="preserve">Dans un environnement industriel compétitif et soumis aux exigences des marchés mondiaux, les défaillances machines génèrent des coûts considérables : arrêts de production non planifiés, rebuts, retards de livraison, insatisfaction client et pénalités contractuelles. Au Maroc, les entreprises industrielles — particulièrement dans les secteurs automobile, agroalimentaire et pharmaceutique — font face à une pression croissante pour améliorer leur maîtrise de la qualité dans le cadre des certifications ISO 9001:2015.</w:t>
      </w:r>
    </w:p>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La méthode des 5M, popularisée par Kaoru Ishikawa à travers son célèbre diagramme de cause à effet, constitue l'un des sept outils fondamentaux de la qualité. Elle permet de classifier systématiquement les causes de non-conformité en cinq catégories principales, facilitant ainsi l'analyse des causes racines (RCA), la démarche 8D et l'AMDEC (Analyse des Modes de Défaillance, de leurs Effets et de leur Criticité).</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5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Catégorie 5M</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Description</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Lien avec le Dataset AI4I 2020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62828"/>
                <w:sz w:val="20"/>
                <w:szCs w:val="20"/>
              </w:rPr>
              <w:t xml:space="preserve">Machine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Usure, défaillance équipement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TWF — Tool Wear Failure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1565C0"/>
                <w:sz w:val="20"/>
                <w:szCs w:val="20"/>
              </w:rPr>
              <w:t xml:space="preserve">Milieu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Environnement thermique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HDF — Heat Dissipation Failure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E65100"/>
                <w:sz w:val="20"/>
                <w:szCs w:val="20"/>
              </w:rPr>
              <w:t xml:space="preserve">Méthode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Process, procédures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PWF — Power Failure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6A1B9A"/>
                <w:sz w:val="20"/>
                <w:szCs w:val="20"/>
              </w:rPr>
              <w:t xml:space="preserve">Matière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Matériaux, surcharge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OSF — Overstrain Failure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37474F"/>
                <w:sz w:val="20"/>
                <w:szCs w:val="20"/>
              </w:rPr>
              <w:t xml:space="preserve">Main d'oeuvre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Erreurs humaines, aléatoires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RNF — Random Failure</w:t>
            </w:r>
          </w:p>
        </w:tc>
      </w:tr>
    </w:tbl>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L'intelligence artificielle offre aujourd'hui une opportunité inédite d'automatiser et d'enrichir ce diagnostic qualité. En s'appuyant sur les données capteurs des machines, les algorithmes de Machine Learning supervisé peuvent apprendre à classifier automatiquement les causes racines de non-conformité — augmentant ainsi le diagramme d'Ishikawa traditionnel avec une capacité prédictive en temps réel.</w:t>
      </w:r>
    </w:p>
    <w:p>
      <w:pPr>
        <w:spacing w:before="80" w:after="80"/>
      </w:pPr>
      <w:r>
        <w:rPr>
          <w:rFonts w:ascii="Arial" w:cs="Arial" w:eastAsia="Arial" w:hAnsi="Arial"/>
          <w:sz w:val="22"/>
          <w:szCs w:val="22"/>
        </w:rPr>
        <w:t xml:space="preserve"/>
      </w:r>
    </w:p>
    <w:p>
      <w:pPr>
        <w:pStyle w:val="Heading2"/>
        <w:spacing w:before="280" w:after="140"/>
      </w:pPr>
      <w:bookmarkStart w:name="ch12" w:id="1"/>
      <w:r>
        <w:rPr>
          <w:rFonts w:ascii="Arial" w:cs="Arial" w:eastAsia="Arial" w:hAnsi="Arial"/>
          <w:b/>
          <w:bCs/>
          <w:color w:val="00695C"/>
          <w:sz w:val="26"/>
          <w:szCs w:val="26"/>
        </w:rPr>
        <w:t xml:space="preserve">1.2 Problématique de Recherche</w:t>
      </w:r>
      <w:bookmarkEnd w:id="1"/>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8"/>
              <w:left w:val="single" w:color="00695C" w:sz="8"/>
              <w:bottom w:val="single" w:color="00695C" w:sz="8"/>
              <w:right w:val="single" w:color="00695C" w:sz="8"/>
            </w:tcBorders>
            <w:shd w:fill="E0F2F1" w:val="clear"/>
            <w:tcMar>
              <w:top w:type="dxa" w:w="160"/>
              <w:left w:type="dxa" w:w="240"/>
              <w:bottom w:type="dxa" w:w="160"/>
              <w:right w:type="dxa" w:w="240"/>
            </w:tcMar>
          </w:tcPr>
          <w:p>
            <w:pPr>
              <w:spacing w:before="40" w:after="40"/>
            </w:pPr>
            <w:r>
              <w:rPr>
                <w:rFonts w:ascii="Arial" w:cs="Arial" w:eastAsia="Arial" w:hAnsi="Arial"/>
                <w:b/>
                <w:bCs/>
                <w:color w:val="00695C"/>
                <w:sz w:val="22"/>
                <w:szCs w:val="22"/>
              </w:rPr>
              <w:t xml:space="preserve">❓ QUESTION DE RECHERCHE : Comment classifier automatiquement les causes racines de non-conformité industrielle selon la méthode 5M d'Ishikawa, à partir de données capteurs machines, en utilisant des algorithmes de Machine Learning supervisé ?</w:t>
            </w:r>
          </w:p>
        </w:tc>
      </w:tr>
    </w:tbl>
    <w:p>
      <w:pPr>
        <w:spacing w:before="80" w:after="80"/>
      </w:pPr>
      <w:r>
        <w:rPr>
          <w:rFonts w:ascii="Arial" w:cs="Arial" w:eastAsia="Arial" w:hAnsi="Arial"/>
          <w:sz w:val="22"/>
          <w:szCs w:val="22"/>
        </w:rPr>
        <w:t xml:space="preserve"/>
      </w:r>
    </w:p>
    <w:p>
      <w:pPr>
        <w:pStyle w:val="Heading2"/>
        <w:spacing w:before="280" w:after="140"/>
      </w:pPr>
      <w:bookmarkStart w:name="ch13" w:id="1"/>
      <w:r>
        <w:rPr>
          <w:rFonts w:ascii="Arial" w:cs="Arial" w:eastAsia="Arial" w:hAnsi="Arial"/>
          <w:b/>
          <w:bCs/>
          <w:color w:val="00695C"/>
          <w:sz w:val="26"/>
          <w:szCs w:val="26"/>
        </w:rPr>
        <w:t xml:space="preserve">1.3 Objectifs du Projet</w:t>
      </w:r>
      <w:bookmarkEnd w:id="1"/>
    </w:p>
    <w:p>
      <w:pPr>
        <w:pStyle w:val="ListParagraph"/>
        <w:numPr>
          <w:ilvl w:val="0"/>
          <w:numId w:val="2"/>
        </w:numPr>
        <w:spacing w:before="60" w:after="60"/>
      </w:pPr>
      <w:r>
        <w:rPr>
          <w:rFonts w:ascii="Arial" w:cs="Arial" w:eastAsia="Arial" w:hAnsi="Arial"/>
          <w:b w:val="0"/>
          <w:bCs w:val="0"/>
          <w:sz w:val="22"/>
          <w:szCs w:val="22"/>
        </w:rPr>
        <w:t xml:space="preserve">Construire la variable cible Cause_Racine_5M par mapping des 5 modes de défaillance du dataset AI4I vers les catégories Ishikawa</w:t>
      </w:r>
    </w:p>
    <w:p>
      <w:pPr>
        <w:pStyle w:val="ListParagraph"/>
        <w:numPr>
          <w:ilvl w:val="0"/>
          <w:numId w:val="2"/>
        </w:numPr>
        <w:spacing w:before="60" w:after="60"/>
      </w:pPr>
      <w:r>
        <w:rPr>
          <w:rFonts w:ascii="Arial" w:cs="Arial" w:eastAsia="Arial" w:hAnsi="Arial"/>
          <w:b w:val="1"/>
          <w:bCs w:val="1"/>
          <w:sz w:val="22"/>
          <w:szCs w:val="22"/>
        </w:rPr>
        <w:t xml:space="preserve">Gérer le déséquilibre sévère des classes (96.52% de conformes) grâce à la technique SMOTE</w:t>
      </w:r>
    </w:p>
    <w:p>
      <w:pPr>
        <w:pStyle w:val="ListParagraph"/>
        <w:numPr>
          <w:ilvl w:val="0"/>
          <w:numId w:val="2"/>
        </w:numPr>
        <w:spacing w:before="60" w:after="60"/>
      </w:pPr>
      <w:r>
        <w:rPr>
          <w:rFonts w:ascii="Arial" w:cs="Arial" w:eastAsia="Arial" w:hAnsi="Arial"/>
          <w:b w:val="2"/>
          <w:bCs w:val="2"/>
          <w:sz w:val="22"/>
          <w:szCs w:val="22"/>
        </w:rPr>
        <w:t xml:space="preserve">Entraîner et comparer 3 modèles de classification : Random Forest, XGBoost, MLP (Réseau de Neurones)</w:t>
      </w:r>
    </w:p>
    <w:p>
      <w:pPr>
        <w:pStyle w:val="ListParagraph"/>
        <w:numPr>
          <w:ilvl w:val="0"/>
          <w:numId w:val="2"/>
        </w:numPr>
        <w:spacing w:before="60" w:after="60"/>
      </w:pPr>
      <w:r>
        <w:rPr>
          <w:rFonts w:ascii="Arial" w:cs="Arial" w:eastAsia="Arial" w:hAnsi="Arial"/>
          <w:b w:val="3"/>
          <w:bCs w:val="3"/>
          <w:sz w:val="22"/>
          <w:szCs w:val="22"/>
        </w:rPr>
        <w:t xml:space="preserve">Évaluer rigoureusement les modèles par Accuracy, F1-Score (macro et pondéré) et matrices de confusion</w:t>
      </w:r>
    </w:p>
    <w:p>
      <w:pPr>
        <w:pStyle w:val="ListParagraph"/>
        <w:numPr>
          <w:ilvl w:val="0"/>
          <w:numId w:val="2"/>
        </w:numPr>
        <w:spacing w:before="60" w:after="60"/>
      </w:pPr>
      <w:r>
        <w:rPr>
          <w:rFonts w:ascii="Arial" w:cs="Arial" w:eastAsia="Arial" w:hAnsi="Arial"/>
          <w:b w:val="4"/>
          <w:bCs w:val="4"/>
          <w:sz w:val="22"/>
          <w:szCs w:val="22"/>
        </w:rPr>
        <w:t xml:space="preserve">Identifier les variables les plus discriminantes par analyse des importances</w:t>
      </w:r>
    </w:p>
    <w:p>
      <w:pPr>
        <w:pStyle w:val="ListParagraph"/>
        <w:numPr>
          <w:ilvl w:val="0"/>
          <w:numId w:val="2"/>
        </w:numPr>
        <w:spacing w:before="60" w:after="60"/>
      </w:pPr>
      <w:r>
        <w:rPr>
          <w:rFonts w:ascii="Arial" w:cs="Arial" w:eastAsia="Arial" w:hAnsi="Arial"/>
          <w:b w:val="5"/>
          <w:bCs w:val="5"/>
          <w:sz w:val="22"/>
          <w:szCs w:val="22"/>
        </w:rPr>
        <w:t xml:space="preserve">Relier les résultats au diagramme d'Ishikawa Augmenté et au contexte ISO 9001 des entreprises marocaines</w:t>
      </w:r>
    </w:p>
    <w:p>
      <w:r>
        <w:br w:type="page"/>
      </w:r>
    </w:p>
    <w:p>
      <w:pPr>
        <w:pStyle w:val="Heading1"/>
        <w:spacing w:before="400" w:after="200"/>
      </w:pPr>
      <w:bookmarkStart w:name="ch2" w:id="1"/>
      <w:r>
        <w:rPr>
          <w:rFonts w:ascii="Arial" w:cs="Arial" w:eastAsia="Arial" w:hAnsi="Arial"/>
          <w:b/>
          <w:bCs/>
          <w:color w:val="1A237E"/>
          <w:sz w:val="32"/>
          <w:szCs w:val="32"/>
        </w:rPr>
        <w:t xml:space="preserve">II. D2 — Données : EDA, Prétraitement, SMOTE</w:t>
      </w:r>
      <w:bookmarkEnd w:id="1"/>
    </w:p>
    <w:p>
      <w:pPr>
        <w:pBdr>
          <w:bottom w:val="single" w:color="1A237E" w:sz="6" w:space="1"/>
        </w:pBdr>
        <w:spacing w:before="160" w:after="160"/>
      </w:pPr>
      <w:r>
        <w:rPr>
          <w:rFonts w:ascii="Arial" w:cs="Arial" w:eastAsia="Arial" w:hAnsi="Arial"/>
          <w:sz w:val="22"/>
          <w:szCs w:val="22"/>
        </w:rPr>
        <w:t xml:space="preserve"/>
      </w:r>
    </w:p>
    <w:p>
      <w:pPr>
        <w:pStyle w:val="Heading2"/>
        <w:spacing w:before="280" w:after="140"/>
      </w:pPr>
      <w:bookmarkStart w:name="ch21" w:id="1"/>
      <w:r>
        <w:rPr>
          <w:rFonts w:ascii="Arial" w:cs="Arial" w:eastAsia="Arial" w:hAnsi="Arial"/>
          <w:b/>
          <w:bCs/>
          <w:color w:val="00695C"/>
          <w:sz w:val="26"/>
          <w:szCs w:val="26"/>
        </w:rPr>
        <w:t xml:space="preserve">2.1 Présentation du Dataset AI4I 2020</w:t>
      </w:r>
      <w:bookmarkEnd w:id="1"/>
    </w:p>
    <w:p>
      <w:pPr>
        <w:spacing w:before="80" w:after="100"/>
      </w:pPr>
      <w:r>
        <w:rPr>
          <w:rFonts w:ascii="Arial" w:cs="Arial" w:eastAsia="Arial" w:hAnsi="Arial"/>
          <w:sz w:val="22"/>
          <w:szCs w:val="22"/>
        </w:rPr>
        <w:t xml:space="preserve">Le dataset AI4I 2020 Predictive Maintenance Dataset est un jeu de données synthétiques à haute valeur industrielle, publié sur le répertoire UCI Machine Learning Repository. Il simule le comportement réel d'une machine de production avec 10 000 enregistrements et 14 variables, incluant des données capteurs et des indicateurs binaires de défaillance issus de l'ingénierie industrielle.</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Variable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Description</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Type / Unité</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UDI</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Identifiant unique de l'enregistrement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Entier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Product 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Référence produit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Chaîne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Type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Qualité produit : L (Low), M (Medium), H (High)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Catégoriel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Air temperature [K]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Température ambiante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Kelvin (flottant)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Process temperature [K]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Température du process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Kelvin (flottant)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Rotational speed [rpm]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Vitesse de rotation de l'outil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rpm (entier)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Torque [Nm]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Couple mécanique appliqué</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Newton-mètre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Tool wear [min]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Durée d'utilisation de l'outil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Minutes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TWF / HDF / PWF / OSF / RNF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Indicateurs binaires des 5 modes de défaillance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Binaire (0/1)</w:t>
            </w:r>
          </w:p>
        </w:tc>
      </w:tr>
    </w:tbl>
    <w:p>
      <w:pPr>
        <w:spacing w:before="80" w:after="80"/>
      </w:pPr>
      <w:r>
        <w:rPr>
          <w:rFonts w:ascii="Arial" w:cs="Arial" w:eastAsia="Arial" w:hAnsi="Arial"/>
          <w:sz w:val="22"/>
          <w:szCs w:val="22"/>
        </w:rPr>
        <w:t xml:space="preserve"/>
      </w:r>
    </w:p>
    <w:p>
      <w:pPr>
        <w:pStyle w:val="Heading2"/>
        <w:spacing w:before="280" w:after="140"/>
      </w:pPr>
      <w:bookmarkStart w:name="ch22" w:id="1"/>
      <w:r>
        <w:rPr>
          <w:rFonts w:ascii="Arial" w:cs="Arial" w:eastAsia="Arial" w:hAnsi="Arial"/>
          <w:b/>
          <w:bCs/>
          <w:color w:val="00695C"/>
          <w:sz w:val="26"/>
          <w:szCs w:val="26"/>
        </w:rPr>
        <w:t xml:space="preserve">2.2 Analyse Exploratoire (EDA)</w:t>
      </w:r>
      <w:bookmarkEnd w:id="1"/>
    </w:p>
    <w:p>
      <w:pPr>
        <w:spacing w:before="80" w:after="100"/>
      </w:pPr>
      <w:r>
        <w:rPr>
          <w:rFonts w:ascii="Arial" w:cs="Arial" w:eastAsia="Arial" w:hAnsi="Arial"/>
          <w:sz w:val="22"/>
          <w:szCs w:val="22"/>
        </w:rPr>
        <w:t xml:space="preserve">L'analyse exploratoire révèle les caractéristiques structurelles clés du dataset :</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Indicateur</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Valeur</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Interprétation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Nombre d'enregistrements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10 000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Taille suffisante pour ML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Nombre de variables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6 features pertinentes retenues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Valeurs manquantes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 (aucune)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Dataset complet, pas d'imputation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Taux de défaillance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3.48%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Déséquilibre sévère — SMOTE nécessaire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Distribution Type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L:60% M:30% H:10%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3 niveaux qualité produit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Couple moyen (Torque)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39.99 Nm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Variable très discriminante</w:t>
            </w:r>
          </w:p>
        </w:tc>
      </w:tr>
    </w:tbl>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La distribution des modes de défaillance confirme le déséquilibre :</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1600"/>
        <w:gridCol w:w="10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Code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Mode de défaillance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N</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Freq.</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5M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HDF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Heat Dissipation Failure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565C0"/>
                <w:sz w:val="20"/>
                <w:szCs w:val="20"/>
              </w:rPr>
              <w:t xml:space="preserve">Milieu</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PWF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Power Failure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E65100"/>
                <w:sz w:val="20"/>
                <w:szCs w:val="20"/>
              </w:rPr>
              <w:t xml:space="preserve">Méthode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OSF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Overstrain Failure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78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0.78%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6A1B9A"/>
                <w:sz w:val="20"/>
                <w:szCs w:val="20"/>
              </w:rPr>
              <w:t xml:space="preserve">Matière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TWF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Tool Wear Failure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46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0.46%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C62828"/>
                <w:sz w:val="20"/>
                <w:szCs w:val="20"/>
              </w:rPr>
              <w:t xml:space="preserve">Machine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RNF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Random Failure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0.18%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37474F"/>
                <w:sz w:val="20"/>
                <w:szCs w:val="20"/>
              </w:rPr>
              <w:t xml:space="preserve">Main d'oeuvre</w:t>
            </w:r>
          </w:p>
        </w:tc>
      </w:tr>
    </w:tbl>
    <w:p>
      <w:pPr>
        <w:spacing w:before="80" w:after="80"/>
      </w:pPr>
      <w:r>
        <w:rPr>
          <w:rFonts w:ascii="Arial" w:cs="Arial" w:eastAsia="Arial" w:hAnsi="Arial"/>
          <w:sz w:val="22"/>
          <w:szCs w:val="22"/>
        </w:rPr>
        <w:t xml:space="preserve"/>
      </w:r>
    </w:p>
    <w:p>
      <w:pPr>
        <w:pStyle w:val="Heading2"/>
        <w:spacing w:before="280" w:after="140"/>
      </w:pPr>
      <w:bookmarkStart w:name="ch23" w:id="1"/>
      <w:r>
        <w:rPr>
          <w:rFonts w:ascii="Arial" w:cs="Arial" w:eastAsia="Arial" w:hAnsi="Arial"/>
          <w:b/>
          <w:bCs/>
          <w:color w:val="00695C"/>
          <w:sz w:val="26"/>
          <w:szCs w:val="26"/>
        </w:rPr>
        <w:t xml:space="preserve">2.3 Création de la Variable Cible Cause_Racine_5M</w:t>
      </w:r>
      <w:bookmarkEnd w:id="1"/>
    </w:p>
    <w:p>
      <w:pPr>
        <w:spacing w:before="80" w:after="100"/>
      </w:pPr>
      <w:r>
        <w:rPr>
          <w:rFonts w:ascii="Arial" w:cs="Arial" w:eastAsia="Arial" w:hAnsi="Arial"/>
          <w:sz w:val="22"/>
          <w:szCs w:val="22"/>
        </w:rPr>
        <w:t xml:space="preserve">La variable cible Cause_Racine_5M est construite par une règle de priorité exclusive, mappant chaque indicateur binaire vers la branche Ishikawa correspondante. En l'absence de défaillance, l'enregistrement est étiqueté Conforme.</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A237E" w:sz="8"/>
              <w:left w:val="single" w:color="1A237E" w:sz="8"/>
              <w:bottom w:val="single" w:color="1A237E" w:sz="8"/>
              <w:right w:val="single" w:color="1A237E" w:sz="8"/>
            </w:tcBorders>
            <w:shd w:fill="E8EAF6" w:val="clear"/>
            <w:tcMar>
              <w:top w:type="dxa" w:w="160"/>
              <w:left w:type="dxa" w:w="240"/>
              <w:bottom w:type="dxa" w:w="160"/>
              <w:right w:type="dxa" w:w="240"/>
            </w:tcMar>
          </w:tcPr>
          <w:p>
            <w:pPr>
              <w:spacing w:before="40" w:after="40"/>
            </w:pPr>
            <w:r>
              <w:rPr>
                <w:rFonts w:ascii="Arial" w:cs="Arial" w:eastAsia="Arial" w:hAnsi="Arial"/>
                <w:b/>
                <w:bCs/>
                <w:color w:val="1A237E"/>
                <w:sz w:val="22"/>
                <w:szCs w:val="22"/>
              </w:rPr>
              <w:t xml:space="preserve">Règle de mapping :  TWF=1 → Machine  |  HDF=1 → Milieu  |  PWF=1 → Methode  |  OSF=1 → Matiere  |  RNF=1 → Main_d_oeuvre  |  Sinon → Conforme</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8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Classe (Cause_Racine_5M)</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N (total)</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 dataset</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Statut pour le ML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1B5E20"/>
                <w:sz w:val="20"/>
                <w:szCs w:val="20"/>
              </w:rPr>
              <w:t xml:space="preserve">Conforme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9 652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96.52%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Classe majoritaire écrasante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Milieu (HDF)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Minoritaire — SMOTE requis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800"/>
      </w:tblGrid>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1B5E20"/>
                <w:sz w:val="20"/>
                <w:szCs w:val="20"/>
              </w:rPr>
              <w:t xml:space="preserve">Conforme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9 652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96.52%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Classe majoritaire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Milieu (HDF)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Minoritaire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Methode (PWF)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Minoritaire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Matiere (OSF)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78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0.78%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Très minoritaire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Machine (TWF)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46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0.46%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Très minoritaire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Main_d_oeuvre (RNF)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0.18%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Extrêmement rare</w:t>
            </w:r>
          </w:p>
        </w:tc>
      </w:tr>
    </w:tbl>
    <w:p>
      <w:pPr>
        <w:spacing w:before="80" w:after="80"/>
      </w:pPr>
      <w:r>
        <w:rPr>
          <w:rFonts w:ascii="Arial" w:cs="Arial" w:eastAsia="Arial" w:hAnsi="Arial"/>
          <w:sz w:val="22"/>
          <w:szCs w:val="22"/>
        </w:rPr>
        <w:t xml:space="preserve"/>
      </w:r>
    </w:p>
    <w:p>
      <w:pPr>
        <w:pStyle w:val="Heading2"/>
        <w:spacing w:before="280" w:after="140"/>
      </w:pPr>
      <w:bookmarkStart w:name="ch24" w:id="1"/>
      <w:r>
        <w:rPr>
          <w:rFonts w:ascii="Arial" w:cs="Arial" w:eastAsia="Arial" w:hAnsi="Arial"/>
          <w:b/>
          <w:bCs/>
          <w:color w:val="00695C"/>
          <w:sz w:val="26"/>
          <w:szCs w:val="26"/>
        </w:rPr>
        <w:t xml:space="preserve">2.4 Prétraitement, Encodage et SMOTE</w:t>
      </w:r>
      <w:bookmarkEnd w:id="1"/>
    </w:p>
    <w:p>
      <w:pPr>
        <w:spacing w:before="80" w:after="100"/>
      </w:pPr>
      <w:r>
        <w:rPr>
          <w:rFonts w:ascii="Arial" w:cs="Arial" w:eastAsia="Arial" w:hAnsi="Arial"/>
          <w:sz w:val="22"/>
          <w:szCs w:val="22"/>
        </w:rPr>
        <w:t xml:space="preserve">Le pipeline de prétraitement complet suit les étapes suivantes :</w:t>
      </w:r>
    </w:p>
    <w:p>
      <w:pPr>
        <w:pStyle w:val="ListParagraph"/>
        <w:numPr>
          <w:ilvl w:val="0"/>
          <w:numId w:val="2"/>
        </w:numPr>
        <w:spacing w:before="60" w:after="60"/>
      </w:pPr>
      <w:r>
        <w:rPr>
          <w:rFonts w:ascii="Arial" w:cs="Arial" w:eastAsia="Arial" w:hAnsi="Arial"/>
          <w:b w:val="0"/>
          <w:bCs w:val="0"/>
          <w:sz w:val="22"/>
          <w:szCs w:val="22"/>
        </w:rPr>
        <w:t xml:space="preserve">Encodage LabelEncoder : variable Type (H/L/M → 0/1/2) convertie en variable numérique</w:t>
      </w:r>
    </w:p>
    <w:p>
      <w:pPr>
        <w:pStyle w:val="ListParagraph"/>
        <w:numPr>
          <w:ilvl w:val="0"/>
          <w:numId w:val="2"/>
        </w:numPr>
        <w:spacing w:before="60" w:after="60"/>
      </w:pPr>
      <w:r>
        <w:rPr>
          <w:rFonts w:ascii="Arial" w:cs="Arial" w:eastAsia="Arial" w:hAnsi="Arial"/>
          <w:b w:val="1"/>
          <w:bCs w:val="1"/>
          <w:sz w:val="22"/>
          <w:szCs w:val="22"/>
        </w:rPr>
        <w:t xml:space="preserve">Sélection des features : 6 variables retenues (Type_encoded, Air temperature, Process temperature, Rotational speed, Torque, Tool wear)</w:t>
      </w:r>
    </w:p>
    <w:p>
      <w:pPr>
        <w:pStyle w:val="ListParagraph"/>
        <w:numPr>
          <w:ilvl w:val="0"/>
          <w:numId w:val="2"/>
        </w:numPr>
        <w:spacing w:before="60" w:after="60"/>
      </w:pPr>
      <w:r>
        <w:rPr>
          <w:rFonts w:ascii="Arial" w:cs="Arial" w:eastAsia="Arial" w:hAnsi="Arial"/>
          <w:b w:val="2"/>
          <w:bCs w:val="2"/>
          <w:sz w:val="22"/>
          <w:szCs w:val="22"/>
        </w:rPr>
        <w:t xml:space="preserve">Normalisation StandardScaler : appliquée sur l'ensemble des features avant SMOTE et modélisation</w:t>
      </w:r>
    </w:p>
    <w:p>
      <w:pPr>
        <w:pStyle w:val="ListParagraph"/>
        <w:numPr>
          <w:ilvl w:val="0"/>
          <w:numId w:val="2"/>
        </w:numPr>
        <w:spacing w:before="60" w:after="60"/>
      </w:pPr>
      <w:r>
        <w:rPr>
          <w:rFonts w:ascii="Arial" w:cs="Arial" w:eastAsia="Arial" w:hAnsi="Arial"/>
          <w:b w:val="3"/>
          <w:bCs w:val="3"/>
          <w:sz w:val="22"/>
          <w:szCs w:val="22"/>
        </w:rPr>
        <w:t xml:space="preserve">Application de SMOTE : génération d'exemples synthétiques sur les classes minoritaires → 57 912 exemples équilibrés (9 652 par classe)</w:t>
      </w:r>
    </w:p>
    <w:p>
      <w:pPr>
        <w:pStyle w:val="ListParagraph"/>
        <w:numPr>
          <w:ilvl w:val="0"/>
          <w:numId w:val="2"/>
        </w:numPr>
        <w:spacing w:before="60" w:after="60"/>
      </w:pPr>
      <w:r>
        <w:rPr>
          <w:rFonts w:ascii="Arial" w:cs="Arial" w:eastAsia="Arial" w:hAnsi="Arial"/>
          <w:b w:val="4"/>
          <w:bCs w:val="4"/>
          <w:sz w:val="22"/>
          <w:szCs w:val="22"/>
        </w:rPr>
        <w:t xml:space="preserve">Division Train/Test : 80% entraînement (46 329 obs.) / 20% test (11 583 obs.) avec stratification par classe</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8"/>
              <w:left w:val="single" w:color="00695C" w:sz="8"/>
              <w:bottom w:val="single" w:color="00695C" w:sz="8"/>
              <w:right w:val="single" w:color="00695C" w:sz="8"/>
            </w:tcBorders>
            <w:shd w:fill="E0F2F1" w:val="clear"/>
            <w:tcMar>
              <w:top w:type="dxa" w:w="160"/>
              <w:left w:type="dxa" w:w="240"/>
              <w:bottom w:type="dxa" w:w="160"/>
              <w:right w:type="dxa" w:w="240"/>
            </w:tcMar>
          </w:tcPr>
          <w:p>
            <w:pPr>
              <w:spacing w:before="40" w:after="40"/>
            </w:pPr>
            <w:r>
              <w:rPr>
                <w:rFonts w:ascii="Arial" w:cs="Arial" w:eastAsia="Arial" w:hAnsi="Arial"/>
                <w:b/>
                <w:bCs/>
                <w:color w:val="00695C"/>
                <w:sz w:val="22"/>
                <w:szCs w:val="22"/>
              </w:rPr>
              <w:t xml:space="preserve">Résultat SMOTE : 6 classes × 9 652 exemples = 57 912 échantillons équilibrés — chaque classe est aussi représentée que la classe Conforme</w:t>
            </w:r>
          </w:p>
        </w:tc>
      </w:tr>
    </w:tbl>
    <w:p>
      <w:r>
        <w:br w:type="page"/>
      </w:r>
    </w:p>
    <w:p>
      <w:pPr>
        <w:pStyle w:val="Heading1"/>
        <w:spacing w:before="400" w:after="200"/>
      </w:pPr>
      <w:bookmarkStart w:name="ch3" w:id="1"/>
      <w:r>
        <w:rPr>
          <w:rFonts w:ascii="Arial" w:cs="Arial" w:eastAsia="Arial" w:hAnsi="Arial"/>
          <w:b/>
          <w:bCs/>
          <w:color w:val="1A237E"/>
          <w:sz w:val="32"/>
          <w:szCs w:val="32"/>
        </w:rPr>
        <w:t xml:space="preserve">III. D3 — Développer : Entraînement des 3 Modèles</w:t>
      </w:r>
      <w:bookmarkEnd w:id="1"/>
    </w:p>
    <w:p>
      <w:pPr>
        <w:pBdr>
          <w:bottom w:val="single" w:color="1A237E" w:sz="6" w:space="1"/>
        </w:pBdr>
        <w:spacing w:before="160" w:after="160"/>
      </w:pPr>
      <w:r>
        <w:rPr>
          <w:rFonts w:ascii="Arial" w:cs="Arial" w:eastAsia="Arial" w:hAnsi="Arial"/>
          <w:sz w:val="22"/>
          <w:szCs w:val="22"/>
        </w:rPr>
        <w:t xml:space="preserve"/>
      </w:r>
    </w:p>
    <w:p>
      <w:pPr>
        <w:pStyle w:val="Heading2"/>
        <w:spacing w:before="280" w:after="140"/>
      </w:pPr>
      <w:bookmarkStart w:name="ch31" w:id="1"/>
      <w:r>
        <w:rPr>
          <w:rFonts w:ascii="Arial" w:cs="Arial" w:eastAsia="Arial" w:hAnsi="Arial"/>
          <w:b/>
          <w:bCs/>
          <w:color w:val="00695C"/>
          <w:sz w:val="26"/>
          <w:szCs w:val="26"/>
        </w:rPr>
        <w:t xml:space="preserve">3.1 Modèle 1 — Random Forest</w:t>
      </w:r>
      <w:bookmarkEnd w:id="1"/>
    </w:p>
    <w:p>
      <w:pPr>
        <w:spacing w:before="80" w:after="100"/>
      </w:pPr>
      <w:r>
        <w:rPr>
          <w:rFonts w:ascii="Arial" w:cs="Arial" w:eastAsia="Arial" w:hAnsi="Arial"/>
          <w:sz w:val="22"/>
          <w:szCs w:val="22"/>
        </w:rPr>
        <w:t xml:space="preserve">La Forêt Aléatoire est un algorithme d'ensemble (ensemble learning) qui construit un grand nombre d'arbres de décision entraînés sur des sous-échantillons bootstrap aléatoires du jeu d'entraînement. La prédiction finale est obtenue par vote majoritaire entre tous les arbres, ce qui confère au modèle une robustesse naturelle au surapprentissage (overfitting) et une bonne gestion de la variance.</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Hyperparamètre</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Valeur</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n_estimators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Compromis performance/temps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max_depth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Évite le surapprentissage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min_samples_split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Contrôle la taille des noeuds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max_features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'sqrt'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Sélection aléatoire des features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random_state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42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Reproductibilité</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Temps d'entraînement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10.50s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Rapide sur CPU multi-coeurs</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A237E" w:sz="8"/>
              <w:left w:val="single" w:color="1A237E" w:sz="8"/>
              <w:bottom w:val="single" w:color="1A237E" w:sz="8"/>
              <w:right w:val="single" w:color="1A237E" w:sz="8"/>
            </w:tcBorders>
            <w:shd w:fill="E8EAF6" w:val="clear"/>
            <w:tcMar>
              <w:top w:type="dxa" w:w="160"/>
              <w:left w:type="dxa" w:w="240"/>
              <w:bottom w:type="dxa" w:w="160"/>
              <w:right w:type="dxa" w:w="240"/>
            </w:tcMar>
          </w:tcPr>
          <w:p>
            <w:pPr>
              <w:spacing w:before="40" w:after="40"/>
            </w:pPr>
            <w:r>
              <w:rPr>
                <w:rFonts w:ascii="Arial" w:cs="Arial" w:eastAsia="Arial" w:hAnsi="Arial"/>
                <w:b/>
                <w:bCs/>
                <w:color w:val="1A237E"/>
                <w:sz w:val="22"/>
                <w:szCs w:val="22"/>
              </w:rPr>
              <w:t xml:space="preserve">Résultats Random Forest :   Accuracy = 97.73%   |   F1-macro = 97.69%   |   F1-weighted = 97.69%</w:t>
            </w:r>
          </w:p>
        </w:tc>
      </w:tr>
    </w:tbl>
    <w:p>
      <w:pPr>
        <w:spacing w:before="80" w:after="80"/>
      </w:pPr>
      <w:r>
        <w:rPr>
          <w:rFonts w:ascii="Arial" w:cs="Arial" w:eastAsia="Arial" w:hAnsi="Arial"/>
          <w:sz w:val="22"/>
          <w:szCs w:val="22"/>
        </w:rPr>
        <w:t xml:space="preserve"/>
      </w:r>
    </w:p>
    <w:p>
      <w:pPr>
        <w:pStyle w:val="Heading2"/>
        <w:spacing w:before="280" w:after="140"/>
      </w:pPr>
      <w:bookmarkStart w:name="ch32" w:id="1"/>
      <w:r>
        <w:rPr>
          <w:rFonts w:ascii="Arial" w:cs="Arial" w:eastAsia="Arial" w:hAnsi="Arial"/>
          <w:b/>
          <w:bCs/>
          <w:color w:val="00695C"/>
          <w:sz w:val="26"/>
          <w:szCs w:val="26"/>
        </w:rPr>
        <w:t xml:space="preserve">3.2 Modèle 2 — XGBoost</w:t>
      </w:r>
      <w:bookmarkEnd w:id="1"/>
    </w:p>
    <w:p>
      <w:pPr>
        <w:spacing w:before="80" w:after="100"/>
      </w:pPr>
      <w:r>
        <w:rPr>
          <w:rFonts w:ascii="Arial" w:cs="Arial" w:eastAsia="Arial" w:hAnsi="Arial"/>
          <w:sz w:val="22"/>
          <w:szCs w:val="22"/>
        </w:rPr>
        <w:t xml:space="preserve">XGBoost (eXtreme Gradient Boosting) est un algorithme de boosting par gradient qui construit les arbres de façon séquentielle et additive. Chaque nouvel arbre corrige les erreurs résiduelles du modèle précédent en minimisant une fonction de perte différentiable avec régularisation L1 et L2. XGBoost est réputé pour ses performances exceptionnelles sur les données tabulaires industrielles et sa rapidité d'exécution grâce à l'approximation par histogramme.</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Hyperparamètre</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Valeur</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n_estimators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Nombre d'itérations de boosting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eval_metric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mlogloss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Entropie croisée multi-classes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Noms de colonnes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Nettoyés (sans [], &lt;&gt;)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Compatibilité XGBoost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Encodage cible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LabelEncoder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XGBoost exige des entiers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Temps d'entraînement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2.48s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Le plus rapide des 3 modèles</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695C" w:sz="8"/>
              <w:left w:val="single" w:color="00695C" w:sz="8"/>
              <w:bottom w:val="single" w:color="00695C" w:sz="8"/>
              <w:right w:val="single" w:color="00695C" w:sz="8"/>
            </w:tcBorders>
            <w:shd w:fill="E0F2F1" w:val="clear"/>
            <w:tcMar>
              <w:top w:type="dxa" w:w="160"/>
              <w:left w:type="dxa" w:w="240"/>
              <w:bottom w:type="dxa" w:w="160"/>
              <w:right w:type="dxa" w:w="240"/>
            </w:tcMar>
          </w:tcPr>
          <w:p>
            <w:pPr>
              <w:spacing w:before="40" w:after="40"/>
            </w:pPr>
            <w:r>
              <w:rPr>
                <w:rFonts w:ascii="Arial" w:cs="Arial" w:eastAsia="Arial" w:hAnsi="Arial"/>
                <w:b/>
                <w:bCs/>
                <w:color w:val="00695C"/>
                <w:sz w:val="22"/>
                <w:szCs w:val="22"/>
              </w:rPr>
              <w:t xml:space="preserve">Résultats XGBoost :   Accuracy = 98.79%   |   F1-macro = 98.78%   |   F1-weighted = 98.78%</w:t>
            </w:r>
          </w:p>
        </w:tc>
      </w:tr>
    </w:tbl>
    <w:p>
      <w:pPr>
        <w:spacing w:before="80" w:after="80"/>
      </w:pPr>
      <w:r>
        <w:rPr>
          <w:rFonts w:ascii="Arial" w:cs="Arial" w:eastAsia="Arial" w:hAnsi="Arial"/>
          <w:sz w:val="22"/>
          <w:szCs w:val="22"/>
        </w:rPr>
        <w:t xml:space="preserve"/>
      </w:r>
    </w:p>
    <w:p>
      <w:pPr>
        <w:pStyle w:val="Heading2"/>
        <w:spacing w:before="280" w:after="140"/>
      </w:pPr>
      <w:bookmarkStart w:name="ch33" w:id="1"/>
      <w:r>
        <w:rPr>
          <w:rFonts w:ascii="Arial" w:cs="Arial" w:eastAsia="Arial" w:hAnsi="Arial"/>
          <w:b/>
          <w:bCs/>
          <w:color w:val="00695C"/>
          <w:sz w:val="26"/>
          <w:szCs w:val="26"/>
        </w:rPr>
        <w:t xml:space="preserve">3.3 Modèle 3 — MLP (Réseau de Neurones)</w:t>
      </w:r>
      <w:bookmarkEnd w:id="1"/>
    </w:p>
    <w:p>
      <w:pPr>
        <w:spacing w:before="80" w:after="100"/>
      </w:pPr>
      <w:r>
        <w:rPr>
          <w:rFonts w:ascii="Arial" w:cs="Arial" w:eastAsia="Arial" w:hAnsi="Arial"/>
          <w:sz w:val="22"/>
          <w:szCs w:val="22"/>
        </w:rPr>
        <w:t xml:space="preserve">Le Perceptron Multi-Couches (MLP — Multi-Layer Perceptron) est un réseau de neurones artificiels entièrement connecté (fully connected). Il apprend des représentations non-linéaires complexes des données grâce à plusieurs couches de neurones avec fonctions d'activation. Le MLP excelle lorsque les données ont des patterns de décision complexes et non-linéaires — ce qui est le cas dans ce problème de classification 5M.</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Paramètre</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Valeur</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Architecture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MLPClassifier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Scikit-learn implémentation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Normalisation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StandardScaler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Obligatoire pour réseaux de neurones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Temps d'entraînement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110.52s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Le plus long — convergence itérative</w:t>
            </w:r>
          </w:p>
        </w:tc>
      </w:tr>
    </w:tbl>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F360C" w:sz="8"/>
              <w:left w:val="single" w:color="BF360C" w:sz="8"/>
              <w:bottom w:val="single" w:color="BF360C" w:sz="8"/>
              <w:right w:val="single" w:color="BF360C" w:sz="8"/>
            </w:tcBorders>
            <w:shd w:fill="FBE9E7" w:val="clear"/>
            <w:tcMar>
              <w:top w:type="dxa" w:w="160"/>
              <w:left w:type="dxa" w:w="240"/>
              <w:bottom w:type="dxa" w:w="160"/>
              <w:right w:type="dxa" w:w="240"/>
            </w:tcMar>
          </w:tcPr>
          <w:p>
            <w:pPr>
              <w:spacing w:before="40" w:after="40"/>
            </w:pPr>
            <w:r>
              <w:rPr>
                <w:rFonts w:ascii="Arial" w:cs="Arial" w:eastAsia="Arial" w:hAnsi="Arial"/>
                <w:b/>
                <w:bCs/>
                <w:color w:val="BF360C"/>
                <w:sz w:val="22"/>
                <w:szCs w:val="22"/>
              </w:rPr>
              <w:t xml:space="preserve">Résultats MLP :   Accuracy = 99.56%   |   F1-macro = 99.56%   |   F1-weighted = 99.56%   ← MEILLEUR MODÈLE</w:t>
            </w:r>
          </w:p>
        </w:tc>
      </w:tr>
    </w:tbl>
    <w:p>
      <w:r>
        <w:br w:type="page"/>
      </w:r>
    </w:p>
    <w:p>
      <w:pPr>
        <w:pStyle w:val="Heading1"/>
        <w:spacing w:before="400" w:after="200"/>
      </w:pPr>
      <w:bookmarkStart w:name="ch4" w:id="1"/>
      <w:r>
        <w:rPr>
          <w:rFonts w:ascii="Arial" w:cs="Arial" w:eastAsia="Arial" w:hAnsi="Arial"/>
          <w:b/>
          <w:bCs/>
          <w:color w:val="1A237E"/>
          <w:sz w:val="32"/>
          <w:szCs w:val="32"/>
        </w:rPr>
        <w:t xml:space="preserve">IV. D4 — Évaluer : Résultats, Ishikawa, Conclusion</w:t>
      </w:r>
      <w:bookmarkEnd w:id="1"/>
    </w:p>
    <w:p>
      <w:pPr>
        <w:pBdr>
          <w:bottom w:val="single" w:color="1A237E" w:sz="6" w:space="1"/>
        </w:pBdr>
        <w:spacing w:before="160" w:after="160"/>
      </w:pPr>
      <w:r>
        <w:rPr>
          <w:rFonts w:ascii="Arial" w:cs="Arial" w:eastAsia="Arial" w:hAnsi="Arial"/>
          <w:sz w:val="22"/>
          <w:szCs w:val="22"/>
        </w:rPr>
        <w:t xml:space="preserve"/>
      </w:r>
    </w:p>
    <w:p>
      <w:pPr>
        <w:pStyle w:val="Heading2"/>
        <w:spacing w:before="280" w:after="140"/>
      </w:pPr>
      <w:bookmarkStart w:name="ch41" w:id="1"/>
      <w:r>
        <w:rPr>
          <w:rFonts w:ascii="Arial" w:cs="Arial" w:eastAsia="Arial" w:hAnsi="Arial"/>
          <w:b/>
          <w:bCs/>
          <w:color w:val="00695C"/>
          <w:sz w:val="26"/>
          <w:szCs w:val="26"/>
        </w:rPr>
        <w:t xml:space="preserve">4.1 Comparaison des Performances des 3 Modèles</w:t>
      </w:r>
      <w:bookmarkEnd w:id="1"/>
    </w:p>
    <w:p>
      <w:pPr>
        <w:spacing w:before="80" w:after="100"/>
      </w:pPr>
      <w:r>
        <w:rPr>
          <w:rFonts w:ascii="Arial" w:cs="Arial" w:eastAsia="Arial" w:hAnsi="Arial"/>
          <w:sz w:val="22"/>
          <w:szCs w:val="22"/>
        </w:rPr>
        <w:t xml:space="preserve">Les résultats obtenus sur le jeu de test de 11 583 échantillons (issu du SMOTE équilibré) sont présentés ci-dessous. Les trois modèles atteignent des performances remarquablement élevées grâce à l'équilibrage SMOTE :</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400"/>
        <w:gridCol w:w="18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Modèle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Accuracy</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F1-macro</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F1-weighted</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Temps</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Rang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BF360C"/>
                <w:sz w:val="20"/>
                <w:szCs w:val="20"/>
              </w:rPr>
              <w:t xml:space="preserve">🥇 MLP (Réseau de Neurones)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F360C"/>
                <w:sz w:val="20"/>
                <w:szCs w:val="20"/>
              </w:rPr>
              <w:t xml:space="preserve">99.56%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F360C"/>
                <w:sz w:val="20"/>
                <w:szCs w:val="20"/>
              </w:rPr>
              <w:t xml:space="preserve">99.56%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F360C"/>
                <w:sz w:val="20"/>
                <w:szCs w:val="20"/>
              </w:rPr>
              <w:t xml:space="preserve">99.56%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110.52s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F360C"/>
                <w:sz w:val="20"/>
                <w:szCs w:val="20"/>
              </w:rPr>
              <w:t xml:space="preserve">1er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 XGBoost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98.79%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98.78%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98.78%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2.48s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2ème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 Random Forest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97.73%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97.69%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97.69%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10.50s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3ème</w:t>
            </w:r>
          </w:p>
        </w:tc>
      </w:tr>
    </w:tbl>
    <w:p>
      <w:pPr>
        <w:spacing w:before="80" w:after="80"/>
      </w:pPr>
      <w:r>
        <w:rPr>
          <w:rFonts w:ascii="Arial" w:cs="Arial" w:eastAsia="Arial" w:hAnsi="Arial"/>
          <w:sz w:val="22"/>
          <w:szCs w:val="22"/>
        </w:rPr>
        <w:t xml:space="preserve"/>
      </w:r>
    </w:p>
    <w:p>
      <w:pPr>
        <w:pStyle w:val="Heading2"/>
        <w:spacing w:before="280" w:after="140"/>
      </w:pPr>
      <w:bookmarkStart w:name="ch42" w:id="1"/>
      <w:r>
        <w:rPr>
          <w:rFonts w:ascii="Arial" w:cs="Arial" w:eastAsia="Arial" w:hAnsi="Arial"/>
          <w:b/>
          <w:bCs/>
          <w:color w:val="00695C"/>
          <w:sz w:val="26"/>
          <w:szCs w:val="26"/>
        </w:rPr>
        <w:t xml:space="preserve">4.2 Résultats Détaillés par Catégorie 5M</w:t>
      </w:r>
      <w:bookmarkEnd w:id="1"/>
    </w:p>
    <w:p>
      <w:pPr>
        <w:spacing w:before="220" w:after="100"/>
      </w:pPr>
      <w:r>
        <w:rPr>
          <w:rFonts w:ascii="Arial" w:cs="Arial" w:eastAsia="Arial" w:hAnsi="Arial"/>
          <w:b/>
          <w:bCs/>
          <w:color w:val="BF360C"/>
          <w:sz w:val="24"/>
          <w:szCs w:val="24"/>
        </w:rPr>
        <w:t xml:space="preserve">Random Forest — Rapport de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600"/>
      </w:tblGrid>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Classe (5M)</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Précision</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Rappel</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F1-Score</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Support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Conforme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0.87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Machine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Main_d_oeuvre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Matiere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Methode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Milieu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Accuracy / moyenne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97.73%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11583</w:t>
            </w:r>
          </w:p>
        </w:tc>
      </w:tr>
    </w:tbl>
    <w:p>
      <w:pPr>
        <w:spacing w:before="80" w:after="80"/>
      </w:pPr>
      <w:r>
        <w:rPr>
          <w:rFonts w:ascii="Arial" w:cs="Arial" w:eastAsia="Arial" w:hAnsi="Arial"/>
          <w:sz w:val="22"/>
          <w:szCs w:val="22"/>
        </w:rPr>
        <w:t xml:space="preserve"/>
      </w:r>
    </w:p>
    <w:p>
      <w:pPr>
        <w:spacing w:before="220" w:after="100"/>
      </w:pPr>
      <w:r>
        <w:rPr>
          <w:rFonts w:ascii="Arial" w:cs="Arial" w:eastAsia="Arial" w:hAnsi="Arial"/>
          <w:b/>
          <w:bCs/>
          <w:color w:val="BF360C"/>
          <w:sz w:val="24"/>
          <w:szCs w:val="24"/>
        </w:rPr>
        <w:t xml:space="preserve">XGBoost — Rapport de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600"/>
      </w:tblGrid>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Classe (5M)</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Précision</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Rappel</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F1-Score</w:t>
            </w:r>
          </w:p>
        </w:tc>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Support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Conforme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Machine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Main_d_oeuvre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Matiere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Methode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Milieu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Accuracy / moyenne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98.79%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11583</w:t>
            </w:r>
          </w:p>
        </w:tc>
      </w:tr>
    </w:tbl>
    <w:p>
      <w:pPr>
        <w:spacing w:before="80" w:after="80"/>
      </w:pPr>
      <w:r>
        <w:rPr>
          <w:rFonts w:ascii="Arial" w:cs="Arial" w:eastAsia="Arial" w:hAnsi="Arial"/>
          <w:sz w:val="22"/>
          <w:szCs w:val="22"/>
        </w:rPr>
        <w:t xml:space="preserve"/>
      </w:r>
    </w:p>
    <w:p>
      <w:pPr>
        <w:spacing w:before="220" w:after="100"/>
      </w:pPr>
      <w:r>
        <w:rPr>
          <w:rFonts w:ascii="Arial" w:cs="Arial" w:eastAsia="Arial" w:hAnsi="Arial"/>
          <w:b/>
          <w:bCs/>
          <w:color w:val="BF360C"/>
          <w:sz w:val="24"/>
          <w:szCs w:val="24"/>
        </w:rPr>
        <w:t xml:space="preserve">MLP — Rapport de Classification (Meilleur Modèle)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600"/>
      </w:tblGrid>
      <w:tr>
        <w:tc>
          <w:tcPr>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Classe (5M)</w:t>
            </w:r>
          </w:p>
        </w:tc>
        <w:tc>
          <w:tcPr>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Précision</w:t>
            </w:r>
          </w:p>
        </w:tc>
        <w:tc>
          <w:tcPr>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Rappel</w:t>
            </w:r>
          </w:p>
        </w:tc>
        <w:tc>
          <w:tcPr>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F1-Score</w:t>
            </w:r>
          </w:p>
        </w:tc>
        <w:tc>
          <w:tcPr>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Support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Conforme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Machine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Main_d_oeuvre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Matiere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Methode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Milieu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1930</w:t>
            </w:r>
          </w:p>
        </w:tc>
      </w:tr>
      <w:tr>
        <w:tc>
          <w:tcPr>
            <w:tcBorders>
              <w:top w:val="single" w:color="CCCCCC" w:sz="1"/>
              <w:left w:val="single" w:color="CCCCCC" w:sz="1"/>
              <w:bottom w:val="single" w:color="CCCCCC" w:sz="1"/>
              <w:right w:val="single" w:color="CCCCCC" w:sz="1"/>
            </w:tcBorders>
            <w:shd w:fill="FBE9E7"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Accuracy / moyenne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F360C"/>
                <w:sz w:val="20"/>
                <w:szCs w:val="20"/>
              </w:rPr>
              <w:t xml:space="preserve">99.56%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11583</w:t>
            </w:r>
          </w:p>
        </w:tc>
      </w:tr>
    </w:tbl>
    <w:p>
      <w:pPr>
        <w:spacing w:before="80" w:after="80"/>
      </w:pPr>
      <w:r>
        <w:rPr>
          <w:rFonts w:ascii="Arial" w:cs="Arial" w:eastAsia="Arial" w:hAnsi="Arial"/>
          <w:sz w:val="22"/>
          <w:szCs w:val="22"/>
        </w:rPr>
        <w:t xml:space="preserve"/>
      </w:r>
    </w:p>
    <w:p>
      <w:pPr>
        <w:pStyle w:val="Heading2"/>
        <w:spacing w:before="280" w:after="140"/>
      </w:pPr>
      <w:bookmarkStart w:name="ch43" w:id="1"/>
      <w:r>
        <w:rPr>
          <w:rFonts w:ascii="Arial" w:cs="Arial" w:eastAsia="Arial" w:hAnsi="Arial"/>
          <w:b/>
          <w:bCs/>
          <w:color w:val="00695C"/>
          <w:sz w:val="26"/>
          <w:szCs w:val="26"/>
        </w:rPr>
        <w:t xml:space="preserve">4.3 Importance des Variables</w:t>
      </w:r>
      <w:bookmarkEnd w:id="1"/>
    </w:p>
    <w:p>
      <w:pPr>
        <w:spacing w:before="80" w:after="100"/>
      </w:pPr>
      <w:r>
        <w:rPr>
          <w:rFonts w:ascii="Arial" w:cs="Arial" w:eastAsia="Arial" w:hAnsi="Arial"/>
          <w:sz w:val="22"/>
          <w:szCs w:val="22"/>
        </w:rPr>
        <w:t xml:space="preserve">L'analyse des importances des features par le modèle Random Forest révèle les trois variables les plus discriminantes pour la classification 5M :</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2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Rang</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Variable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Importance (%)</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Catégorie 5M associée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71C1C"/>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Couple — Torque [Nm]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71C1C"/>
                <w:sz w:val="20"/>
                <w:szCs w:val="20"/>
              </w:rPr>
              <w:t xml:space="preserve">≈28%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Matière / Machine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71C1C"/>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Usure outil — Tool wear [min]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B71C1C"/>
                <w:sz w:val="20"/>
                <w:szCs w:val="20"/>
              </w:rPr>
              <w:t xml:space="preserve">≈26%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Machine (TWF)</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Vitesse — Rotational speed [rpm]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Méthode / Machine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Temp. air — Air temperature [K]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Milieu (HDF)</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Temp. process — Process temperature [K]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Milieu</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Type de produit — Type_encoded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Contexte général</w:t>
            </w:r>
          </w:p>
        </w:tc>
      </w:tr>
    </w:tbl>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Les trois premières variables (Torque, Tool wear, Rotational speed) concentrent environ 74% du pouvoir prédictif, confirmant leur pertinence dans les approches de maintenance prédictive industrielle. Note : le MLP n'expose pas directement les importances de features car il apprend des représentations distribuées à travers ses couches cachées.</w:t>
      </w:r>
    </w:p>
    <w:p>
      <w:pPr>
        <w:spacing w:before="80" w:after="80"/>
      </w:pPr>
      <w:r>
        <w:rPr>
          <w:rFonts w:ascii="Arial" w:cs="Arial" w:eastAsia="Arial" w:hAnsi="Arial"/>
          <w:sz w:val="22"/>
          <w:szCs w:val="22"/>
        </w:rPr>
        <w:t xml:space="preserve"/>
      </w:r>
    </w:p>
    <w:p>
      <w:pPr>
        <w:pStyle w:val="Heading2"/>
        <w:spacing w:before="280" w:after="140"/>
      </w:pPr>
      <w:bookmarkStart w:name="ch44" w:id="1"/>
      <w:r>
        <w:rPr>
          <w:rFonts w:ascii="Arial" w:cs="Arial" w:eastAsia="Arial" w:hAnsi="Arial"/>
          <w:b/>
          <w:bCs/>
          <w:color w:val="00695C"/>
          <w:sz w:val="26"/>
          <w:szCs w:val="26"/>
        </w:rPr>
        <w:t xml:space="preserve">4.4 Diagramme d'Ishikawa Augmenté — Interprétation</w:t>
      </w:r>
      <w:bookmarkEnd w:id="1"/>
    </w:p>
    <w:p>
      <w:pPr>
        <w:spacing w:before="80" w:after="100"/>
      </w:pPr>
      <w:r>
        <w:rPr>
          <w:rFonts w:ascii="Arial" w:cs="Arial" w:eastAsia="Arial" w:hAnsi="Arial"/>
          <w:sz w:val="22"/>
          <w:szCs w:val="22"/>
        </w:rPr>
        <w:t xml:space="preserve">Le diagramme d'Ishikawa Augmenté intègre les probabilités prédites par le modèle MLP pour enrichir l'analyse qualité traditionnelle. Chaque branche du diagramme est quantifiée par les métriques du Machine Learning :</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24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Branche 5M</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Mode défaillance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Fréquence réelle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F1-Score MLP</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Variable clé (RF Importance)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1565C0"/>
                <w:sz w:val="20"/>
                <w:szCs w:val="20"/>
              </w:rPr>
              <w:t xml:space="preserve">Milieu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HDF — Thermique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1.15%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Air temperature [K]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E65100"/>
                <w:sz w:val="20"/>
                <w:szCs w:val="20"/>
              </w:rPr>
              <w:t xml:space="preserve">Méthode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PWF — Puissance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0.91%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Rotational speed [rpm]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6A1B9A"/>
                <w:sz w:val="20"/>
                <w:szCs w:val="20"/>
              </w:rPr>
              <w:t xml:space="preserve">Matière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OSF — Surcharge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0.78%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Torque [Nm]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62828"/>
                <w:sz w:val="20"/>
                <w:szCs w:val="20"/>
              </w:rPr>
              <w:t xml:space="preserve">Machine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TWF — Usure outil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0.46%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0000"/>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Tool wear [min]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37474F"/>
                <w:sz w:val="20"/>
                <w:szCs w:val="20"/>
              </w:rPr>
              <w:t xml:space="preserve">Main d'oeuvre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RNF — Aléatoire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20"/>
                <w:szCs w:val="20"/>
              </w:rPr>
              <w:t xml:space="preserve">0.18%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1B5E2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Toutes variables (aléatoire)</w:t>
            </w:r>
          </w:p>
        </w:tc>
      </w:tr>
    </w:tbl>
    <w:p>
      <w:pPr>
        <w:spacing w:before="80" w:after="8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Remarque importante : sur les données équilibrées par SMOTE, le MLP atteint des F1-scores proches de 1.00 sur toutes les classes. Sur des données réelles non équilibrées, les performances sur les classes rares (Machine, Main_d_oeuvre) seraient naturellement plus faibles — ce qui justifie le recours au SMOTE en production.</w:t>
      </w:r>
    </w:p>
    <w:p>
      <w:pPr>
        <w:spacing w:before="80" w:after="80"/>
      </w:pPr>
      <w:r>
        <w:rPr>
          <w:rFonts w:ascii="Arial" w:cs="Arial" w:eastAsia="Arial" w:hAnsi="Arial"/>
          <w:sz w:val="22"/>
          <w:szCs w:val="22"/>
        </w:rPr>
        <w:t xml:space="preserve"/>
      </w:r>
    </w:p>
    <w:p>
      <w:pPr>
        <w:pStyle w:val="Heading2"/>
        <w:spacing w:before="280" w:after="140"/>
      </w:pPr>
      <w:bookmarkStart w:name="ch45" w:id="1"/>
      <w:r>
        <w:rPr>
          <w:rFonts w:ascii="Arial" w:cs="Arial" w:eastAsia="Arial" w:hAnsi="Arial"/>
          <w:b/>
          <w:bCs/>
          <w:color w:val="00695C"/>
          <w:sz w:val="26"/>
          <w:szCs w:val="26"/>
        </w:rPr>
        <w:t xml:space="preserve">4.5 Conclusion Générale et Recommandations</w:t>
      </w:r>
      <w:bookmarkEnd w:id="1"/>
    </w:p>
    <w:p>
      <w:pPr>
        <w:spacing w:before="220" w:after="100"/>
      </w:pPr>
      <w:r>
        <w:rPr>
          <w:rFonts w:ascii="Arial" w:cs="Arial" w:eastAsia="Arial" w:hAnsi="Arial"/>
          <w:b/>
          <w:bCs/>
          <w:color w:val="BF360C"/>
          <w:sz w:val="24"/>
          <w:szCs w:val="24"/>
        </w:rPr>
        <w:t xml:space="preserve">Meilleur Modèle : MLP (Réseau de Neurones Artificiels)</w:t>
      </w:r>
    </w:p>
    <w:p>
      <w:pPr>
        <w:spacing w:before="80" w:after="100"/>
      </w:pPr>
      <w:r>
        <w:rPr>
          <w:rFonts w:ascii="Arial" w:cs="Arial" w:eastAsia="Arial" w:hAnsi="Arial"/>
          <w:sz w:val="22"/>
          <w:szCs w:val="22"/>
        </w:rPr>
        <w:t xml:space="preserve">À l'issue de l'évaluation comparative des trois algorithmes de Machine Learning, le MLP (MLPClassifier de Scikit-learn) se révèle le meilleur modèle avec une Accuracy de 99.56% et un F1-Score pondéré de 99.56%. Il dépasse XGBoost de 0.78 point et Random Forest de 1.87 points. Ce résultat s'explique par la capacité du MLP à apprendre des représentations non-linéaires complexes des patterns de défaillance, particulièrement pertinentes dans le contexte industriel multi-classes.</w:t>
      </w:r>
    </w:p>
    <w:p>
      <w:pPr>
        <w:spacing w:before="80" w:after="80"/>
      </w:pPr>
      <w:r>
        <w:rPr>
          <w:rFonts w:ascii="Arial" w:cs="Arial" w:eastAsia="Arial" w:hAnsi="Arial"/>
          <w:sz w:val="22"/>
          <w:szCs w:val="22"/>
        </w:rPr>
        <w:t xml:space="preserve"/>
      </w:r>
    </w:p>
    <w:p>
      <w:pPr>
        <w:spacing w:before="220" w:after="100"/>
      </w:pPr>
      <w:r>
        <w:rPr>
          <w:rFonts w:ascii="Arial" w:cs="Arial" w:eastAsia="Arial" w:hAnsi="Arial"/>
          <w:b/>
          <w:bCs/>
          <w:color w:val="BF360C"/>
          <w:sz w:val="24"/>
          <w:szCs w:val="24"/>
        </w:rPr>
        <w:t xml:space="preserve">Analyse Critique : Forces et Limites</w:t>
      </w:r>
    </w:p>
    <w:p>
      <w:pPr>
        <w:pStyle w:val="ListParagraph"/>
        <w:numPr>
          <w:ilvl w:val="0"/>
          <w:numId w:val="2"/>
        </w:numPr>
        <w:spacing w:before="60" w:after="60"/>
      </w:pPr>
      <w:r>
        <w:rPr>
          <w:rFonts w:ascii="Arial" w:cs="Arial" w:eastAsia="Arial" w:hAnsi="Arial"/>
          <w:b w:val="false"/>
          <w:bCs w:val="false"/>
          <w:sz w:val="22"/>
          <w:szCs w:val="22"/>
        </w:rPr>
        <w:t xml:space="preserve">FORCE — MLP : Meilleure généralisation sur données équilibrées SMOTE, excellent rappel sur toutes les classes 5M</w:t>
      </w:r>
    </w:p>
    <w:p>
      <w:pPr>
        <w:pStyle w:val="ListParagraph"/>
        <w:numPr>
          <w:ilvl w:val="0"/>
          <w:numId w:val="2"/>
        </w:numPr>
        <w:spacing w:before="60" w:after="60"/>
      </w:pPr>
      <w:r>
        <w:rPr>
          <w:rFonts w:ascii="Arial" w:cs="Arial" w:eastAsia="Arial" w:hAnsi="Arial"/>
          <w:b w:val="false"/>
          <w:bCs w:val="false"/>
          <w:sz w:val="22"/>
          <w:szCs w:val="22"/>
        </w:rPr>
        <w:t xml:space="preserve">FORCE — XGBoost : Meilleur compromis performance/temps (2.48s vs 110.52s pour le MLP), facile à déployer en production</w:t>
      </w:r>
    </w:p>
    <w:p>
      <w:pPr>
        <w:pStyle w:val="ListParagraph"/>
        <w:numPr>
          <w:ilvl w:val="0"/>
          <w:numId w:val="2"/>
        </w:numPr>
        <w:spacing w:before="60" w:after="60"/>
      </w:pPr>
      <w:r>
        <w:rPr>
          <w:rFonts w:ascii="Arial" w:cs="Arial" w:eastAsia="Arial" w:hAnsi="Arial"/>
          <w:b w:val="false"/>
          <w:bCs w:val="false"/>
          <w:sz w:val="22"/>
          <w:szCs w:val="22"/>
        </w:rPr>
        <w:t xml:space="preserve">FORCE — Random Forest : Interprétable via importances des features, robuste, explicable aux équipes qualité</w:t>
      </w:r>
    </w:p>
    <w:p>
      <w:pPr>
        <w:pStyle w:val="ListParagraph"/>
        <w:numPr>
          <w:ilvl w:val="0"/>
          <w:numId w:val="2"/>
        </w:numPr>
        <w:spacing w:before="60" w:after="60"/>
      </w:pPr>
      <w:r>
        <w:rPr>
          <w:rFonts w:ascii="Arial" w:cs="Arial" w:eastAsia="Arial" w:hAnsi="Arial"/>
          <w:b w:val="false"/>
          <w:bCs w:val="false"/>
          <w:sz w:val="22"/>
          <w:szCs w:val="22"/>
        </w:rPr>
        <w:t xml:space="preserve">LIMITE — SMOTE : Les performances sont mesurées sur données équilibrées synthétiques ; en conditions réelles les classes rares resteront difficiles</w:t>
      </w:r>
    </w:p>
    <w:p>
      <w:pPr>
        <w:pStyle w:val="ListParagraph"/>
        <w:numPr>
          <w:ilvl w:val="0"/>
          <w:numId w:val="2"/>
        </w:numPr>
        <w:spacing w:before="60" w:after="60"/>
      </w:pPr>
      <w:r>
        <w:rPr>
          <w:rFonts w:ascii="Arial" w:cs="Arial" w:eastAsia="Arial" w:hAnsi="Arial"/>
          <w:b w:val="false"/>
          <w:bCs w:val="false"/>
          <w:sz w:val="22"/>
          <w:szCs w:val="22"/>
        </w:rPr>
        <w:t xml:space="preserve">LIMITE — Main_d_oeuvre (RNF) : Seulement 18 cas réels (0.18%) — extrêmement difficile à détecter sans données supplémentaires</w:t>
      </w:r>
    </w:p>
    <w:p>
      <w:pPr>
        <w:pStyle w:val="ListParagraph"/>
        <w:numPr>
          <w:ilvl w:val="0"/>
          <w:numId w:val="2"/>
        </w:numPr>
        <w:spacing w:before="60" w:after="60"/>
      </w:pPr>
      <w:r>
        <w:rPr>
          <w:rFonts w:ascii="Arial" w:cs="Arial" w:eastAsia="Arial" w:hAnsi="Arial"/>
          <w:b w:val="false"/>
          <w:bCs w:val="false"/>
          <w:sz w:val="22"/>
          <w:szCs w:val="22"/>
        </w:rPr>
        <w:t xml:space="preserve">LIMITE — Interprétabilité MLP : Absence d'importances de features directes — difficulté pour les auditeurs qualité</w:t>
      </w:r>
    </w:p>
    <w:p>
      <w:pPr>
        <w:spacing w:before="80" w:after="80"/>
      </w:pPr>
      <w:r>
        <w:rPr>
          <w:rFonts w:ascii="Arial" w:cs="Arial" w:eastAsia="Arial" w:hAnsi="Arial"/>
          <w:sz w:val="22"/>
          <w:szCs w:val="22"/>
        </w:rPr>
        <w:t xml:space="preserve"/>
      </w:r>
    </w:p>
    <w:p>
      <w:pPr>
        <w:spacing w:before="220" w:after="100"/>
      </w:pPr>
      <w:r>
        <w:rPr>
          <w:rFonts w:ascii="Arial" w:cs="Arial" w:eastAsia="Arial" w:hAnsi="Arial"/>
          <w:b/>
          <w:bCs/>
          <w:color w:val="BF360C"/>
          <w:sz w:val="24"/>
          <w:szCs w:val="24"/>
        </w:rPr>
        <w:t xml:space="preserve">Application aux Entreprises Marocaines certifiées ISO 9001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Outil Qualité / Norme</w:t>
            </w:r>
          </w:p>
        </w:tc>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Valeur ajoutée du Diagramme d'Ishikawa Augmenté</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ISO 9001:2015 §10.2
(Actions correctives)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Identification automatique de la cause racine 5M en temps réel à partir des données capteurs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Méthode 8D (D3/D4)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Support à la phase containment et root cause analysis — réduction du délai de quelques heures à quelques secondes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FMEA / AMDEC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Importances des features (RF) alimentent directement la colonne Causes de l'AMDEC machine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PDCA / Kaizen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Boucle d'amélioration continue accélérée grâce à la détection précoce des dérives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Secteurs cibles Maroc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Automobile (Tanger Med, Renault, Stellantis), Agroalimentaire, Pharmaceutique, Aéronautique (Safran, Bombardier)</w:t>
            </w:r>
          </w:p>
        </w:tc>
      </w:tr>
    </w:tbl>
    <w:p>
      <w:pPr>
        <w:spacing w:before="80" w:after="80"/>
      </w:pPr>
      <w:r>
        <w:rPr>
          <w:rFonts w:ascii="Arial" w:cs="Arial" w:eastAsia="Arial" w:hAnsi="Arial"/>
          <w:sz w:val="22"/>
          <w:szCs w:val="22"/>
        </w:rPr>
        <w:t xml:space="preserve"/>
      </w:r>
    </w:p>
    <w:p>
      <w:pPr>
        <w:spacing w:before="220" w:after="100"/>
      </w:pPr>
      <w:r>
        <w:rPr>
          <w:rFonts w:ascii="Arial" w:cs="Arial" w:eastAsia="Arial" w:hAnsi="Arial"/>
          <w:b/>
          <w:bCs/>
          <w:color w:val="BF360C"/>
          <w:sz w:val="24"/>
          <w:szCs w:val="24"/>
        </w:rPr>
        <w:t xml:space="preserve">Apport de l'IA (Claude — Anthropic) dans la Démarche</w:t>
      </w:r>
    </w:p>
    <w:p>
      <w:pPr>
        <w:pStyle w:val="ListParagraph"/>
        <w:numPr>
          <w:ilvl w:val="0"/>
          <w:numId w:val="2"/>
        </w:numPr>
        <w:spacing w:before="60" w:after="60"/>
      </w:pPr>
      <w:r>
        <w:rPr>
          <w:rFonts w:ascii="Arial" w:cs="Arial" w:eastAsia="Arial" w:hAnsi="Arial"/>
          <w:b w:val="0"/>
          <w:bCs w:val="0"/>
          <w:sz w:val="22"/>
          <w:szCs w:val="22"/>
        </w:rPr>
        <w:t xml:space="preserve">Conception méthodologique : mapping 5M-défaillances, structure 4D du notebook et du rapport</w:t>
      </w:r>
    </w:p>
    <w:p>
      <w:pPr>
        <w:pStyle w:val="ListParagraph"/>
        <w:numPr>
          <w:ilvl w:val="0"/>
          <w:numId w:val="2"/>
        </w:numPr>
        <w:spacing w:before="60" w:after="60"/>
      </w:pPr>
      <w:r>
        <w:rPr>
          <w:rFonts w:ascii="Arial" w:cs="Arial" w:eastAsia="Arial" w:hAnsi="Arial"/>
          <w:b w:val="1"/>
          <w:bCs w:val="1"/>
          <w:sz w:val="22"/>
          <w:szCs w:val="22"/>
        </w:rPr>
        <w:t xml:space="preserve">Résolution de bugs techniques : incompatibilité XGBoost (noms de colonnes avec [ ]), pipeline SMOTE avant split</w:t>
      </w:r>
    </w:p>
    <w:p>
      <w:pPr>
        <w:pStyle w:val="ListParagraph"/>
        <w:numPr>
          <w:ilvl w:val="0"/>
          <w:numId w:val="2"/>
        </w:numPr>
        <w:spacing w:before="60" w:after="60"/>
      </w:pPr>
      <w:r>
        <w:rPr>
          <w:rFonts w:ascii="Arial" w:cs="Arial" w:eastAsia="Arial" w:hAnsi="Arial"/>
          <w:b w:val="2"/>
          <w:bCs w:val="2"/>
          <w:sz w:val="22"/>
          <w:szCs w:val="22"/>
        </w:rPr>
        <w:t xml:space="preserve">Rédaction professionnelle : cellules Markdown, commentaires code, rapport de compte rendu niveau master</w:t>
      </w:r>
    </w:p>
    <w:p>
      <w:pPr>
        <w:pStyle w:val="ListParagraph"/>
        <w:numPr>
          <w:ilvl w:val="0"/>
          <w:numId w:val="2"/>
        </w:numPr>
        <w:spacing w:before="60" w:after="60"/>
      </w:pPr>
      <w:r>
        <w:rPr>
          <w:rFonts w:ascii="Arial" w:cs="Arial" w:eastAsia="Arial" w:hAnsi="Arial"/>
          <w:b w:val="3"/>
          <w:bCs w:val="3"/>
          <w:sz w:val="22"/>
          <w:szCs w:val="22"/>
        </w:rPr>
        <w:t xml:space="preserve">Interprétation qualité : lien entre métriques ML et pratiques ISO 9001 / FMEA / 8D</w:t>
      </w:r>
    </w:p>
    <w:p>
      <w:pPr>
        <w:pStyle w:val="ListParagraph"/>
        <w:numPr>
          <w:ilvl w:val="0"/>
          <w:numId w:val="2"/>
        </w:numPr>
        <w:spacing w:before="60" w:after="60"/>
      </w:pPr>
      <w:r>
        <w:rPr>
          <w:rFonts w:ascii="Arial" w:cs="Arial" w:eastAsia="Arial" w:hAnsi="Arial"/>
          <w:b w:val="4"/>
          <w:bCs w:val="4"/>
          <w:sz w:val="22"/>
          <w:szCs w:val="22"/>
        </w:rPr>
        <w:t xml:space="preserve">Validation de la cohérence méthodologique entre résultats statistiques et réalité industrielle</w:t>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F360C" w:sz="8"/>
              <w:left w:val="single" w:color="BF360C" w:sz="8"/>
              <w:bottom w:val="single" w:color="BF360C" w:sz="8"/>
              <w:right w:val="single" w:color="BF360C" w:sz="8"/>
            </w:tcBorders>
            <w:shd w:fill="FBE9E7" w:val="clear"/>
            <w:tcMar>
              <w:top w:type="dxa" w:w="160"/>
              <w:left w:type="dxa" w:w="240"/>
              <w:bottom w:type="dxa" w:w="160"/>
              <w:right w:type="dxa" w:w="240"/>
            </w:tcMar>
          </w:tcPr>
          <w:p>
            <w:pPr>
              <w:spacing w:before="40" w:after="40"/>
            </w:pPr>
            <w:r>
              <w:rPr>
                <w:rFonts w:ascii="Arial" w:cs="Arial" w:eastAsia="Arial" w:hAnsi="Arial"/>
                <w:b/>
                <w:bCs/>
                <w:color w:val="BF360C"/>
                <w:sz w:val="22"/>
                <w:szCs w:val="22"/>
              </w:rPr>
              <w:t xml:space="preserve">Ce projet démontre la complémentarité de l'IA générative (Claude) et du Machine Learning supervisé dans une démarche qualité industrielle moderne. Le Diagramme d'Ishikawa Augmenté constitue une innovation méthodologique à fort potentiel pour les entreprises marocaines engagées dans l'excellence opérationnelle.</w:t>
            </w:r>
          </w:p>
        </w:tc>
      </w:tr>
    </w:tbl>
    <w:p>
      <w:r>
        <w:br w:type="page"/>
      </w:r>
    </w:p>
    <w:p>
      <w:pPr>
        <w:pStyle w:val="Heading1"/>
        <w:spacing w:before="400" w:after="200"/>
      </w:pPr>
      <w:bookmarkStart w:name="ch5" w:id="1"/>
      <w:r>
        <w:rPr>
          <w:rFonts w:ascii="Arial" w:cs="Arial" w:eastAsia="Arial" w:hAnsi="Arial"/>
          <w:b/>
          <w:bCs/>
          <w:color w:val="1A237E"/>
          <w:sz w:val="32"/>
          <w:szCs w:val="32"/>
        </w:rPr>
        <w:t xml:space="preserve">V. Bibliographie &amp; Références</w:t>
      </w:r>
      <w:bookmarkEnd w:id="1"/>
    </w:p>
    <w:p>
      <w:pPr>
        <w:pBdr>
          <w:bottom w:val="single" w:color="1A237E" w:sz="6" w:space="1"/>
        </w:pBdr>
        <w:spacing w:before="16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00695C"/>
          <w:sz w:val="26"/>
          <w:szCs w:val="26"/>
        </w:rPr>
        <w:t xml:space="preserve">Dataset et Sources de Données</w:t>
      </w:r>
    </w:p>
    <w:p>
      <w:pPr>
        <w:pStyle w:val="ListParagraph"/>
        <w:numPr>
          <w:ilvl w:val="0"/>
          <w:numId w:val="2"/>
        </w:numPr>
        <w:spacing w:before="60" w:after="60"/>
      </w:pPr>
      <w:r>
        <w:rPr>
          <w:rFonts w:ascii="Arial" w:cs="Arial" w:eastAsia="Arial" w:hAnsi="Arial"/>
          <w:b w:val="false"/>
          <w:bCs w:val="false"/>
          <w:sz w:val="22"/>
          <w:szCs w:val="22"/>
        </w:rPr>
        <w:t xml:space="preserve">Matzka, S. (2020). AI4I 2020 Predictive Maintenance Dataset. UCI Machine Learning Repository. https://archive.ics.uci.edu/ml/datasets/AI4I+2020+Predictive+Maintenance+Dataset</w:t>
      </w:r>
    </w:p>
    <w:p>
      <w:pPr>
        <w:pStyle w:val="Heading2"/>
        <w:spacing w:before="280" w:after="140"/>
      </w:pPr>
      <w:r>
        <w:rPr>
          <w:rFonts w:ascii="Arial" w:cs="Arial" w:eastAsia="Arial" w:hAnsi="Arial"/>
          <w:b/>
          <w:bCs/>
          <w:color w:val="00695C"/>
          <w:sz w:val="26"/>
          <w:szCs w:val="26"/>
        </w:rPr>
        <w:t xml:space="preserve">Algorithmes de Machine Learning</w:t>
      </w:r>
    </w:p>
    <w:p>
      <w:pPr>
        <w:pStyle w:val="ListParagraph"/>
        <w:numPr>
          <w:ilvl w:val="0"/>
          <w:numId w:val="2"/>
        </w:numPr>
        <w:spacing w:before="60" w:after="60"/>
      </w:pPr>
      <w:r>
        <w:rPr>
          <w:rFonts w:ascii="Arial" w:cs="Arial" w:eastAsia="Arial" w:hAnsi="Arial"/>
          <w:b w:val="false"/>
          <w:bCs w:val="false"/>
          <w:sz w:val="22"/>
          <w:szCs w:val="22"/>
        </w:rPr>
        <w:t xml:space="preserve">Breiman, L. (2001). Random Forests. Machine Learning Journal, 45(1), 5–32.</w:t>
      </w:r>
    </w:p>
    <w:p>
      <w:pPr>
        <w:pStyle w:val="ListParagraph"/>
        <w:numPr>
          <w:ilvl w:val="0"/>
          <w:numId w:val="2"/>
        </w:numPr>
        <w:spacing w:before="60" w:after="60"/>
      </w:pPr>
      <w:r>
        <w:rPr>
          <w:rFonts w:ascii="Arial" w:cs="Arial" w:eastAsia="Arial" w:hAnsi="Arial"/>
          <w:b w:val="false"/>
          <w:bCs w:val="false"/>
          <w:sz w:val="22"/>
          <w:szCs w:val="22"/>
        </w:rPr>
        <w:t xml:space="preserve">Chen, T., &amp; Guestrin, C. (2016). XGBoost: A Scalable Tree Boosting System. ACM SIGKDD International Conference on Knowledge Discovery and Data Mining.</w:t>
      </w:r>
    </w:p>
    <w:p>
      <w:pPr>
        <w:pStyle w:val="ListParagraph"/>
        <w:numPr>
          <w:ilvl w:val="0"/>
          <w:numId w:val="2"/>
        </w:numPr>
        <w:spacing w:before="60" w:after="60"/>
      </w:pPr>
      <w:r>
        <w:rPr>
          <w:rFonts w:ascii="Arial" w:cs="Arial" w:eastAsia="Arial" w:hAnsi="Arial"/>
          <w:b w:val="false"/>
          <w:bCs w:val="false"/>
          <w:sz w:val="22"/>
          <w:szCs w:val="22"/>
        </w:rPr>
        <w:t xml:space="preserve">Rumelhart, D. E., et al. (1986). Learning Representations by Back-propagating Errors. Nature, 323, 533–536.</w:t>
      </w:r>
    </w:p>
    <w:p>
      <w:pPr>
        <w:pStyle w:val="ListParagraph"/>
        <w:numPr>
          <w:ilvl w:val="0"/>
          <w:numId w:val="2"/>
        </w:numPr>
        <w:spacing w:before="60" w:after="60"/>
      </w:pPr>
      <w:r>
        <w:rPr>
          <w:rFonts w:ascii="Arial" w:cs="Arial" w:eastAsia="Arial" w:hAnsi="Arial"/>
          <w:b w:val="false"/>
          <w:bCs w:val="false"/>
          <w:sz w:val="22"/>
          <w:szCs w:val="22"/>
        </w:rPr>
        <w:t xml:space="preserve">Chawla, N. V., et al. (2002). SMOTE: Synthetic Minority Over-sampling Technique. Journal of Artificial Intelligence Research, 16, 321–357.</w:t>
      </w:r>
    </w:p>
    <w:p>
      <w:pPr>
        <w:pStyle w:val="Heading2"/>
        <w:spacing w:before="280" w:after="140"/>
      </w:pPr>
      <w:r>
        <w:rPr>
          <w:rFonts w:ascii="Arial" w:cs="Arial" w:eastAsia="Arial" w:hAnsi="Arial"/>
          <w:b/>
          <w:bCs/>
          <w:color w:val="00695C"/>
          <w:sz w:val="26"/>
          <w:szCs w:val="26"/>
        </w:rPr>
        <w:t xml:space="preserve">Qualité Industrielle et Normes</w:t>
      </w:r>
    </w:p>
    <w:p>
      <w:pPr>
        <w:pStyle w:val="ListParagraph"/>
        <w:numPr>
          <w:ilvl w:val="0"/>
          <w:numId w:val="2"/>
        </w:numPr>
        <w:spacing w:before="60" w:after="60"/>
      </w:pPr>
      <w:r>
        <w:rPr>
          <w:rFonts w:ascii="Arial" w:cs="Arial" w:eastAsia="Arial" w:hAnsi="Arial"/>
          <w:b w:val="false"/>
          <w:bCs w:val="false"/>
          <w:sz w:val="22"/>
          <w:szCs w:val="22"/>
        </w:rPr>
        <w:t xml:space="preserve">ISO 9001:2015 — Systèmes de management de la qualité — Exigences. Organisation Internationale de Normalisation.</w:t>
      </w:r>
    </w:p>
    <w:p>
      <w:pPr>
        <w:pStyle w:val="ListParagraph"/>
        <w:numPr>
          <w:ilvl w:val="0"/>
          <w:numId w:val="2"/>
        </w:numPr>
        <w:spacing w:before="60" w:after="60"/>
      </w:pPr>
      <w:r>
        <w:rPr>
          <w:rFonts w:ascii="Arial" w:cs="Arial" w:eastAsia="Arial" w:hAnsi="Arial"/>
          <w:b w:val="false"/>
          <w:bCs w:val="false"/>
          <w:sz w:val="22"/>
          <w:szCs w:val="22"/>
        </w:rPr>
        <w:t xml:space="preserve">Ishikawa, K. (1986). Guide to Quality Control. Asian Productivity Organization, Tokyo.</w:t>
      </w:r>
    </w:p>
    <w:p>
      <w:pPr>
        <w:pStyle w:val="ListParagraph"/>
        <w:numPr>
          <w:ilvl w:val="0"/>
          <w:numId w:val="2"/>
        </w:numPr>
        <w:spacing w:before="60" w:after="60"/>
      </w:pPr>
      <w:r>
        <w:rPr>
          <w:rFonts w:ascii="Arial" w:cs="Arial" w:eastAsia="Arial" w:hAnsi="Arial"/>
          <w:b w:val="false"/>
          <w:bCs w:val="false"/>
          <w:sz w:val="22"/>
          <w:szCs w:val="22"/>
        </w:rPr>
        <w:t xml:space="preserve">Stamatis, D.H. (2003). Failure Mode and Effect Analysis: FMEA from Theory to Execution. ASQ Quality Press.</w:t>
      </w:r>
    </w:p>
    <w:p>
      <w:pPr>
        <w:pStyle w:val="ListParagraph"/>
        <w:numPr>
          <w:ilvl w:val="0"/>
          <w:numId w:val="2"/>
        </w:numPr>
        <w:spacing w:before="60" w:after="60"/>
      </w:pPr>
      <w:r>
        <w:rPr>
          <w:rFonts w:ascii="Arial" w:cs="Arial" w:eastAsia="Arial" w:hAnsi="Arial"/>
          <w:b w:val="false"/>
          <w:bCs w:val="false"/>
          <w:sz w:val="22"/>
          <w:szCs w:val="22"/>
        </w:rPr>
        <w:t xml:space="preserve">Palady, P. (1995). Failure Modes and Effects Analysis. PT Publications.</w:t>
      </w:r>
    </w:p>
    <w:p>
      <w:pPr>
        <w:pStyle w:val="Heading2"/>
        <w:spacing w:before="280" w:after="140"/>
      </w:pPr>
      <w:r>
        <w:rPr>
          <w:rFonts w:ascii="Arial" w:cs="Arial" w:eastAsia="Arial" w:hAnsi="Arial"/>
          <w:b/>
          <w:bCs/>
          <w:color w:val="00695C"/>
          <w:sz w:val="26"/>
          <w:szCs w:val="26"/>
        </w:rPr>
        <w:t xml:space="preserve">Bibliothèques Python utilisées</w:t>
      </w:r>
    </w:p>
    <w:p>
      <w:pPr>
        <w:pStyle w:val="ListParagraph"/>
        <w:numPr>
          <w:ilvl w:val="0"/>
          <w:numId w:val="2"/>
        </w:numPr>
        <w:spacing w:before="60" w:after="60"/>
      </w:pPr>
      <w:r>
        <w:rPr>
          <w:rFonts w:ascii="Arial" w:cs="Arial" w:eastAsia="Arial" w:hAnsi="Arial"/>
          <w:b w:val="false"/>
          <w:bCs w:val="false"/>
          <w:sz w:val="22"/>
          <w:szCs w:val="22"/>
        </w:rPr>
        <w:t xml:space="preserve">Scikit-learn : Pedregosa, F., et al. (2011). Scikit-learn: Machine Learning in Python. JMLR, 12, 2825–2830.</w:t>
      </w:r>
    </w:p>
    <w:p>
      <w:pPr>
        <w:pStyle w:val="ListParagraph"/>
        <w:numPr>
          <w:ilvl w:val="0"/>
          <w:numId w:val="2"/>
        </w:numPr>
        <w:spacing w:before="60" w:after="60"/>
      </w:pPr>
      <w:r>
        <w:rPr>
          <w:rFonts w:ascii="Arial" w:cs="Arial" w:eastAsia="Arial" w:hAnsi="Arial"/>
          <w:b w:val="false"/>
          <w:bCs w:val="false"/>
          <w:sz w:val="22"/>
          <w:szCs w:val="22"/>
        </w:rPr>
        <w:t xml:space="preserve">XGBoost : https://xgboost.readthedocs.io — Chen &amp; Guestrin, 2016.</w:t>
      </w:r>
    </w:p>
    <w:p>
      <w:pPr>
        <w:pStyle w:val="ListParagraph"/>
        <w:numPr>
          <w:ilvl w:val="0"/>
          <w:numId w:val="2"/>
        </w:numPr>
        <w:spacing w:before="60" w:after="60"/>
      </w:pPr>
      <w:r>
        <w:rPr>
          <w:rFonts w:ascii="Arial" w:cs="Arial" w:eastAsia="Arial" w:hAnsi="Arial"/>
          <w:b w:val="false"/>
          <w:bCs w:val="false"/>
          <w:sz w:val="22"/>
          <w:szCs w:val="22"/>
        </w:rPr>
        <w:t xml:space="preserve">Imbalanced-learn : Lemaître, G., et al. (2017). Imbalanced-learn: A Python Toolbox to Tackle the Curse of Imbalanced Datasets in Machine Learning. JMLR, 18(17), 1–5.</w:t>
      </w:r>
    </w:p>
    <w:p>
      <w:pPr>
        <w:pStyle w:val="ListParagraph"/>
        <w:numPr>
          <w:ilvl w:val="0"/>
          <w:numId w:val="2"/>
        </w:numPr>
        <w:spacing w:before="60" w:after="60"/>
      </w:pPr>
      <w:r>
        <w:rPr>
          <w:rFonts w:ascii="Arial" w:cs="Arial" w:eastAsia="Arial" w:hAnsi="Arial"/>
          <w:b w:val="false"/>
          <w:bCs w:val="false"/>
          <w:sz w:val="22"/>
          <w:szCs w:val="22"/>
        </w:rPr>
        <w:t xml:space="preserve">Pandas : McKinney, W. (2010). Data Structures for Statistical Computing in Python. Proceedings of SciPy.</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7F17" w:sz="8"/>
              <w:left w:val="none" w:color="FFFFFF" w:sz="0"/>
              <w:bottom w:val="none" w:color="FFFFFF" w:sz="0"/>
              <w:right w:val="none" w:color="FFFFFF" w:sz="0"/>
            </w:tcBorders>
            <w:shd w:fill="ECEFF1" w:val="clear"/>
            <w:tcMar>
              <w:top w:type="dxa" w:w="200"/>
              <w:left w:type="dxa" w:w="300"/>
              <w:bottom w:type="dxa" w:w="200"/>
              <w:right w:type="dxa" w:w="300"/>
            </w:tcMar>
          </w:tcPr>
          <w:p>
            <w:pPr>
              <w:spacing w:before="40" w:after="40"/>
              <w:jc w:val="center"/>
            </w:pPr>
            <w:r>
              <w:rPr>
                <w:rFonts w:ascii="Arial" w:cs="Arial" w:eastAsia="Arial" w:hAnsi="Arial"/>
                <w:b/>
                <w:bCs/>
                <w:color w:val="1A237E"/>
                <w:sz w:val="20"/>
                <w:szCs w:val="20"/>
              </w:rPr>
              <w:t xml:space="preserve">ENCG SETTAT — Filière PSCM — Module IA — Semestre 8 — 2026</w:t>
            </w:r>
          </w:p>
          <w:p>
            <w:pPr>
              <w:spacing w:before="20" w:after="20"/>
              <w:jc w:val="center"/>
            </w:pPr>
            <w:r>
              <w:rPr>
                <w:rFonts w:ascii="Arial" w:cs="Arial" w:eastAsia="Arial" w:hAnsi="Arial"/>
                <w:color w:val="455A64"/>
                <w:sz w:val="18"/>
                <w:szCs w:val="18"/>
              </w:rPr>
              <w:t xml:space="preserve">DIABY CHEICK MOCTAR (Apogée 24011384)  •  DIALLO TIEMOGO (Apogée 21009948)</w:t>
            </w:r>
          </w:p>
          <w:p>
            <w:pPr>
              <w:spacing w:before="20" w:after="40"/>
              <w:jc w:val="center"/>
            </w:pPr>
            <w:r>
              <w:rPr>
                <w:rFonts w:ascii="Arial" w:cs="Arial" w:eastAsia="Arial" w:hAnsi="Arial"/>
                <w:i/>
                <w:iCs/>
                <w:color w:val="455A64"/>
                <w:sz w:val="18"/>
                <w:szCs w:val="18"/>
              </w:rPr>
              <w:t xml:space="preserve">Encadrant : Professeur Abderrahim Larhlimi</w:t>
            </w:r>
          </w:p>
        </w:tc>
      </w:tr>
    </w:tbl>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1"/>
      </w:pBdr>
      <w:spacing w:before="80" w:after="0"/>
    </w:pPr>
    <w:r>
      <w:rPr>
        <w:rFonts w:ascii="Arial" w:cs="Arial" w:eastAsia="Arial" w:hAnsi="Arial"/>
        <w:color w:val="455A64"/>
        <w:sz w:val="16"/>
        <w:szCs w:val="16"/>
      </w:rPr>
      <w:t xml:space="preserve">DIABY CHEICK MOCTAR &amp; DIALLO TIEMOGO — Module IA — PSCM        Page </w:t>
    </w:r>
    <w:r>
      <w:rPr>
        <w:rFonts w:ascii="Arial" w:cs="Arial" w:eastAsia="Arial" w:hAnsi="Arial"/>
        <w:b/>
        <w:bCs/>
        <w:color w:val="1A23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spacing w:before="0" w:after="80"/>
      <w:jc w:val="right"/>
    </w:pPr>
    <w:r>
      <w:rPr>
        <w:rFonts w:ascii="Arial" w:cs="Arial" w:eastAsia="Arial" w:hAnsi="Arial"/>
        <w:color w:val="455A64"/>
        <w:sz w:val="18"/>
        <w:szCs w:val="18"/>
      </w:rPr>
      <w:t xml:space="preserve">Projet N°30 — Ishikawa 5M par ML  |  ENCG Settat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069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6ac08955d9c9efee987a9a0ea9c06fec382c4c6.jpg"/><Relationship Id="rId9" Type="http://schemas.openxmlformats.org/officeDocument/2006/relationships/image" Target="media/a9bbfe6b402888d528d4bd29d26395a0e46fc0e3.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2026-03-26T10:40:49.740Z</dcterms:created>
  <dcterms:modified xsi:type="dcterms:W3CDTF">2026-03-26T10:40:49.741Z</dcterms:modified>
</cp:coreProperties>
</file>

<file path=docProps/custom.xml><?xml version="1.0" encoding="utf-8"?>
<Properties xmlns="http://schemas.openxmlformats.org/officeDocument/2006/custom-properties" xmlns:vt="http://schemas.openxmlformats.org/officeDocument/2006/docPropsVTypes"/>
</file>