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sz w:val="46"/>
          <w:szCs w:val="46"/>
        </w:rPr>
      </w:pPr>
      <w:bookmarkStart w:colFirst="0" w:colLast="0" w:name="_knbsgoory8vs" w:id="0"/>
      <w:bookmarkEnd w:id="0"/>
      <w:r w:rsidDel="00000000" w:rsidR="00000000" w:rsidRPr="00000000">
        <w:rPr>
          <w:sz w:val="46"/>
          <w:szCs w:val="46"/>
          <w:rtl w:val="0"/>
        </w:rPr>
        <w:t xml:space="preserve">REPORTE DE CORTE - #2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DinoStar-Server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Unidad / Entrega:</w:t>
      </w:r>
      <w:r w:rsidDel="00000000" w:rsidR="00000000" w:rsidRPr="00000000">
        <w:rPr>
          <w:rtl w:val="0"/>
        </w:rPr>
        <w:t xml:space="preserve"> Corte 2 - Unidad 2 / Entregable 1 y 2 (Entregable Plan F9)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Módulos Evaluados: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[BACKEND]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[SIMULATOR]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[BROKER]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Rama de Git: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docs/Verificacion_integracion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Fecha de Ejecución:</w:t>
      </w:r>
      <w:r w:rsidDel="00000000" w:rsidR="00000000" w:rsidRPr="00000000">
        <w:rPr>
          <w:rtl w:val="0"/>
        </w:rPr>
        <w:t xml:space="preserve"> 02 de octubre de 2026</w:t>
      </w:r>
    </w:p>
    <w:p w:rsidR="00000000" w:rsidDel="00000000" w:rsidP="00000000" w:rsidRDefault="00000000" w:rsidRPr="00000000" w14:paraId="00000007">
      <w:pPr>
        <w:pStyle w:val="Heading2"/>
        <w:rPr/>
      </w:pPr>
      <w:bookmarkStart w:colFirst="0" w:colLast="0" w:name="_z687qri5awlj" w:id="1"/>
      <w:bookmarkEnd w:id="1"/>
      <w:r w:rsidDel="00000000" w:rsidR="00000000" w:rsidRPr="00000000">
        <w:rPr>
          <w:rtl w:val="0"/>
        </w:rPr>
        <w:t xml:space="preserve">1. INTRODUCCIÓN Y OBJETIVO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reporte tiene como objetivo documentar y demostrar la verificación exitosa de la </w:t>
      </w:r>
      <w:r w:rsidDel="00000000" w:rsidR="00000000" w:rsidRPr="00000000">
        <w:rPr>
          <w:b w:val="1"/>
          <w:bCs w:val="1"/>
          <w:rtl w:val="0"/>
        </w:rPr>
        <w:t xml:space="preserve">prueba de integración punta a punta (End-to-End)</w:t>
      </w:r>
      <w:r w:rsidDel="00000000" w:rsidR="00000000" w:rsidRPr="00000000">
        <w:rPr>
          <w:rtl w:val="0"/>
        </w:rPr>
        <w:t xml:space="preserve"> entre el Simulador de Telemetría, el Broker MQTT (Mosquitto), el Servicio Listener del Backend en Laravel y la Base de Datos PostgreSQL.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prueba valida el cumplimiento de las actividades del plan </w:t>
      </w:r>
      <w:r w:rsidDel="00000000" w:rsidR="00000000" w:rsidRPr="00000000">
        <w:rPr>
          <w:b w:val="1"/>
          <w:bCs w:val="1"/>
          <w:rtl w:val="0"/>
        </w:rPr>
        <w:t xml:space="preserve">F9 (Apartado 1)</w:t>
      </w:r>
      <w:r w:rsidDel="00000000" w:rsidR="00000000" w:rsidRPr="00000000">
        <w:rPr>
          <w:rtl w:val="0"/>
        </w:rPr>
        <w:t xml:space="preserve"> y asegura el correcto funcionamiento de la </w:t>
      </w:r>
      <w:r w:rsidDel="00000000" w:rsidR="00000000" w:rsidRPr="00000000">
        <w:rPr>
          <w:b w:val="1"/>
          <w:bCs w:val="1"/>
          <w:rtl w:val="0"/>
        </w:rPr>
        <w:t xml:space="preserve">Tarea #44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DataPacketService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  <w:t xml:space="preserve">, la cual se encarga del procesamiento, validación, almacenamiento de lecturas en tiempo real y la detección automatizada de alertas anómalas.</w:t>
      </w:r>
    </w:p>
    <w:p w:rsidR="00000000" w:rsidDel="00000000" w:rsidP="00000000" w:rsidRDefault="00000000" w:rsidRPr="00000000" w14:paraId="0000000A">
      <w:pPr>
        <w:pStyle w:val="Heading3"/>
        <w:spacing w:after="240" w:before="240" w:lineRule="auto"/>
        <w:rPr/>
      </w:pPr>
      <w:bookmarkStart w:colFirst="0" w:colLast="0" w:name="_gkhvaxshwbf6" w:id="2"/>
      <w:bookmarkEnd w:id="2"/>
      <w:r w:rsidDel="00000000" w:rsidR="00000000" w:rsidRPr="00000000">
        <w:rPr>
          <w:rtl w:val="0"/>
        </w:rPr>
        <w:t xml:space="preserve">Diagrama del Flujo de Integración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mc:AlternateContent>
          <mc:Choice Requires="wpg">
            <w:drawing>
              <wp:inline distB="114300" distT="114300" distL="114300" distR="114300">
                <wp:extent cx="5731200" cy="507450"/>
                <wp:effectExtent b="0" l="0" r="0" t="0"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1731400"/>
                          <a:ext cx="5731200" cy="507450"/>
                          <a:chOff x="0" y="1731400"/>
                          <a:chExt cx="9144000" cy="795650"/>
                        </a:xfrm>
                      </wpg:grpSpPr>
                      <wps:wsp>
                        <wps:cNvSpPr/>
                        <wps:cNvPr id="2" name="Shape 2"/>
                        <wps:spPr>
                          <a:xfrm>
                            <a:off x="-98400" y="2200975"/>
                            <a:ext cx="14058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Simulador(Python)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3" name="Shape 3"/>
                        <wps:spPr>
                          <a:xfrm>
                            <a:off x="2046338" y="2200975"/>
                            <a:ext cx="15480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Broker MQTT (1883)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4383500" y="2200975"/>
                            <a:ext cx="19947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Laravel Listener (mqtt:listen)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5" name="Shape 5"/>
                        <wps:spPr>
                          <a:xfrm>
                            <a:off x="7077600" y="2200975"/>
                            <a:ext cx="20664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PostgreSQL (lecturas/alertas)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1307400" y="2361625"/>
                            <a:ext cx="7389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3594338" y="2361625"/>
                            <a:ext cx="789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6378200" y="2361625"/>
                            <a:ext cx="699300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med" w="med" type="none"/>
                            <a:tailEnd len="med" w="med" type="triangl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9" name="Shape 9"/>
                        <wps:spPr>
                          <a:xfrm>
                            <a:off x="1257050" y="1736175"/>
                            <a:ext cx="789300" cy="3945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Publica</w:t>
                              </w: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 DataPacket (JSON)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0" name="Shape 10"/>
                        <wps:spPr>
                          <a:xfrm>
                            <a:off x="3594350" y="1809375"/>
                            <a:ext cx="745500" cy="3213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Suscripción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11" name="Shape 11"/>
                        <wps:spPr>
                          <a:xfrm>
                            <a:off x="6183350" y="1889775"/>
                            <a:ext cx="1089000" cy="240900"/>
                          </a:xfrm>
                          <a:prstGeom prst="rect">
                            <a:avLst/>
                          </a:prstGeom>
                          <a:solidFill>
                            <a:srgbClr val="CFE2F3"/>
                          </a:solidFill>
                          <a:ln cap="flat" cmpd="sng"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Arial" w:cs="Arial" w:eastAsia="Arial" w:hAnsi="Arial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16"/>
                                  <w:vertAlign w:val="baseline"/>
                                </w:rPr>
                                <w:t xml:space="preserve">DataPacketService</w:t>
                              </w: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drawing>
              <wp:inline distB="114300" distT="114300" distL="114300" distR="114300">
                <wp:extent cx="5731200" cy="507450"/>
                <wp:effectExtent b="0" l="0" r="0" t="0"/>
                <wp:docPr id="1" name="image5.png"/>
                <a:graphic>
                  <a:graphicData uri="http://schemas.openxmlformats.org/drawingml/2006/picture">
                    <pic:pic>
                      <pic:nvPicPr>
                        <pic:cNvPr id="0" name="image5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1200" cy="50745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mc:Fallback>
        </mc:AlternateConten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bscldu7mwl05" w:id="3"/>
      <w:bookmarkEnd w:id="3"/>
      <w:r w:rsidDel="00000000" w:rsidR="00000000" w:rsidRPr="00000000">
        <w:rPr>
          <w:rtl w:val="0"/>
        </w:rPr>
        <w:t xml:space="preserve">2. ARQUITECTURA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procesamiento de paquetes de datos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DataPackets</w:t>
      </w:r>
      <w:r w:rsidDel="00000000" w:rsidR="00000000" w:rsidRPr="00000000">
        <w:rPr>
          <w:rtl w:val="0"/>
        </w:rPr>
        <w:t xml:space="preserve">) sigue las siguientes reglas integradas en el backend: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Identificación de Paciente y Sesión: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</w:t>
      </w:r>
      <w:r w:rsidDel="00000000" w:rsidR="00000000" w:rsidRPr="00000000">
        <w:rPr>
          <w:rtl w:val="0"/>
        </w:rPr>
        <w:t xml:space="preserve"> incluye la identificación de la cama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cama-01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El servicio localiza al paciente activo en dicha cama y valida la existencia de una sesión de infusión en estado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Detección Automática de Alertas:</w:t>
      </w:r>
      <w:r w:rsidDel="00000000" w:rsidR="00000000" w:rsidRPr="00000000">
        <w:rPr>
          <w:rtl w:val="0"/>
        </w:rPr>
        <w:t xml:space="preserve"> Se evalúan las métricas recibidas y se registran alertas automáticas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 cuando se cumplen las siguientes condiciones: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FIN_BOLSA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Cuando el volumen restante es menor a 50 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volRestante &lt; 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GOTEO_LENTO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Cuando la tasa de goteo es menor a 15 gotas/min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&lt; 15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GOTEO_RAPIDO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Cuando la tasa de goteo supera las 80 gotas/min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&gt; 80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4u93o98hkalt" w:id="4"/>
      <w:bookmarkEnd w:id="4"/>
      <w:r w:rsidDel="00000000" w:rsidR="00000000" w:rsidRPr="00000000">
        <w:rPr>
          <w:rtl w:val="0"/>
        </w:rPr>
        <w:t xml:space="preserve">3. AMBIENTE DE PRUEBAS Y COMANDOS EJECUTADOS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realizar la prueba de integración, se preparó el entorno contenedorizado mediante Docker y se ejecutó el simulador de manera externa: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Inicialización de contenedores y base de datos:</w:t>
      </w:r>
    </w:p>
    <w:tbl>
      <w:tblPr>
        <w:tblStyle w:val="Table1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9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up -d --build --wait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migrate --no-interaction</w:t>
            </w:r>
          </w:p>
          <w:p w:rsidR="00000000" w:rsidDel="00000000" w:rsidP="00000000" w:rsidRDefault="00000000" w:rsidRPr="00000000" w14:paraId="0000001B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db:seed --no-interaction</w:t>
            </w:r>
          </w:p>
        </w:tc>
      </w:tr>
    </w:tbl>
    <w:p w:rsidR="00000000" w:rsidDel="00000000" w:rsidP="00000000" w:rsidRDefault="00000000" w:rsidRPr="00000000" w14:paraId="0000001C">
      <w:pPr>
        <w:spacing w:after="8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Proceso de Escucha en Backend:</w:t>
      </w:r>
    </w:p>
    <w:tbl>
      <w:tblPr>
        <w:tblStyle w:val="Table2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1E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docker compose exec backend php artisan mqtt:listen</w:t>
            </w:r>
          </w:p>
        </w:tc>
      </w:tr>
    </w:tbl>
    <w:p w:rsidR="00000000" w:rsidDel="00000000" w:rsidP="00000000" w:rsidRDefault="00000000" w:rsidRPr="00000000" w14:paraId="0000001F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240" w:before="240" w:lineRule="auto"/>
        <w:ind w:left="720" w:hanging="360"/>
        <w:rPr>
          <w:b w:val="1"/>
          <w:bCs w:val="1"/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Ejecución del Simulador de Telemetría: </w:t>
      </w:r>
    </w:p>
    <w:tbl>
      <w:tblPr>
        <w:tblStyle w:val="Table3"/>
        <w:tblpPr w:leftFromText="180" w:rightFromText="180" w:topFromText="180" w:bottomFromText="180" w:vertAnchor="text" w:horzAnchor="text" w:tblpX="0" w:tblpY="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88888" w:space="0" w:sz="4" w:val="dashed"/>
              <w:left w:color="888888" w:space="0" w:sz="4" w:val="dashed"/>
              <w:bottom w:color="888888" w:space="0" w:sz="4" w:val="dashed"/>
              <w:right w:color="888888" w:space="0" w:sz="4" w:val="dashed"/>
            </w:tcBorders>
            <w:shd w:fill="f5f5f5" w:val="clear"/>
            <w:tcMar>
              <w:top w:w="200.0" w:type="dxa"/>
              <w:left w:w="200.0" w:type="dxa"/>
              <w:bottom w:w="200.0" w:type="dxa"/>
              <w:right w:w="200.0" w:type="dxa"/>
            </w:tcMar>
          </w:tcPr>
          <w:p w:rsidR="00000000" w:rsidDel="00000000" w:rsidP="00000000" w:rsidRDefault="00000000" w:rsidRPr="00000000" w14:paraId="00000021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cd simulator</w:t>
            </w:r>
          </w:p>
          <w:p w:rsidR="00000000" w:rsidDel="00000000" w:rsidP="00000000" w:rsidRDefault="00000000" w:rsidRPr="00000000" w14:paraId="00000022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.\venv\Scripts\Activate.ps1</w:t>
            </w:r>
          </w:p>
          <w:p w:rsidR="00000000" w:rsidDel="00000000" w:rsidP="00000000" w:rsidRDefault="00000000" w:rsidRPr="00000000" w14:paraId="00000023">
            <w:pPr>
              <w:spacing w:line="240" w:lineRule="auto"/>
              <w:rPr>
                <w:rFonts w:ascii="Courier New" w:cs="Courier New" w:eastAsia="Courier New" w:hAnsi="Courier New"/>
                <w:color w:val="1a1a2e"/>
                <w:sz w:val="16"/>
                <w:szCs w:val="16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1a1a2e"/>
                <w:sz w:val="16"/>
                <w:szCs w:val="16"/>
                <w:rtl w:val="0"/>
              </w:rPr>
              <w:t xml:space="preserve">python braquio_simulator.py --pacientes 4 --ciclo 8</w:t>
            </w:r>
          </w:p>
        </w:tc>
      </w:tr>
    </w:tbl>
    <w:p w:rsidR="00000000" w:rsidDel="00000000" w:rsidP="00000000" w:rsidRDefault="00000000" w:rsidRPr="00000000" w14:paraId="00000024">
      <w:pPr>
        <w:spacing w:after="240" w:before="240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rPr/>
      </w:pPr>
      <w:bookmarkStart w:colFirst="0" w:colLast="0" w:name="_gdjqszp7rsng" w:id="5"/>
      <w:bookmarkEnd w:id="5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9z01g3ifsl5" w:id="6"/>
      <w:bookmarkEnd w:id="6"/>
      <w:r w:rsidDel="00000000" w:rsidR="00000000" w:rsidRPr="00000000">
        <w:rPr>
          <w:rtl w:val="0"/>
        </w:rPr>
        <w:t xml:space="preserve">4. EVIDENCIAS DE INTEGRACIÓN Y CRITERIOS DE ACEPTACIÓN</w:t>
      </w:r>
    </w:p>
    <w:p w:rsidR="00000000" w:rsidDel="00000000" w:rsidP="00000000" w:rsidRDefault="00000000" w:rsidRPr="00000000" w14:paraId="00000027">
      <w:pPr>
        <w:pStyle w:val="Heading3"/>
        <w:rPr/>
      </w:pPr>
      <w:bookmarkStart w:colFirst="0" w:colLast="0" w:name="_f42ldp42mu16" w:id="7"/>
      <w:bookmarkEnd w:id="7"/>
      <w:r w:rsidDel="00000000" w:rsidR="00000000" w:rsidRPr="00000000">
        <w:rPr>
          <w:rtl w:val="0"/>
        </w:rPr>
        <w:t xml:space="preserve">4.1. Escucha y Procesamiento en Laravel (Backend)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inició el worker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php artisan mqtt:listen</w:t>
      </w:r>
      <w:r w:rsidDel="00000000" w:rsidR="00000000" w:rsidRPr="00000000">
        <w:rPr>
          <w:rtl w:val="0"/>
        </w:rPr>
        <w:t xml:space="preserve">, el cual se suscribe al broker MQTT y procesa cada JSON decodificado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DataPacketService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spacing w:after="240" w:before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731200" cy="2755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3"/>
        <w:rPr/>
      </w:pPr>
      <w:bookmarkStart w:colFirst="0" w:colLast="0" w:name="_timnfefnhnhy" w:id="8"/>
      <w:bookmarkEnd w:id="8"/>
      <w:r w:rsidDel="00000000" w:rsidR="00000000" w:rsidRPr="00000000">
        <w:rPr>
          <w:rtl w:val="0"/>
        </w:rPr>
        <w:t xml:space="preserve">4.2. Generación y Publicación de DataPackets (Simulador)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simulador ejecutó la simulación enviando lecturas normales y anómalas distribuidas en ciclos hacia el broker.</w:t>
      </w:r>
    </w:p>
    <w:p w:rsidR="00000000" w:rsidDel="00000000" w:rsidP="00000000" w:rsidRDefault="00000000" w:rsidRPr="00000000" w14:paraId="0000002C">
      <w:pPr>
        <w:spacing w:after="240" w:before="240" w:lineRule="auto"/>
        <w:jc w:val="center"/>
        <w:rPr>
          <w:b w:val="1"/>
          <w:bCs w:val="1"/>
          <w:i w:val="1"/>
          <w:i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392102" cy="2717553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92102" cy="271755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3"/>
        <w:rPr/>
      </w:pPr>
      <w:bookmarkStart w:colFirst="0" w:colLast="0" w:name="_o8vuqkgvi88w" w:id="9"/>
      <w:bookmarkEnd w:id="9"/>
      <w:r w:rsidDel="00000000" w:rsidR="00000000" w:rsidRPr="00000000">
        <w:rPr>
          <w:rtl w:val="0"/>
        </w:rPr>
        <w:t xml:space="preserve">4.3. Persistencia en Tiempo Real en PostgreSQL (Tabla Lecturas)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verificar la inserción de datos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lecturas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TBL-Lecturas</w:t>
      </w:r>
      <w:r w:rsidDel="00000000" w:rsidR="00000000" w:rsidRPr="00000000">
        <w:rPr>
          <w:rtl w:val="0"/>
        </w:rPr>
        <w:t xml:space="preserve">), se realizó una consulta SQL directa a la base de datos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dinostar_rex</w:t>
      </w:r>
      <w:r w:rsidDel="00000000" w:rsidR="00000000" w:rsidRPr="00000000">
        <w:rPr>
          <w:rtl w:val="0"/>
        </w:rPr>
        <w:t xml:space="preserve"> dentro del contenedor PostgreSQL: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7907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dz19hna748h4" w:id="10"/>
      <w:bookmarkEnd w:id="10"/>
      <w:r w:rsidDel="00000000" w:rsidR="00000000" w:rsidRPr="00000000">
        <w:rPr>
          <w:rtl w:val="0"/>
        </w:rPr>
        <w:t xml:space="preserve">4.4. Registro Automático de Alertas (Tabla Alertas)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 recibir paquetes con métricas fuera de rango (ej.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volRestante &lt; 50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gotasPorMin &lt; 15</w:t>
      </w:r>
      <w:r w:rsidDel="00000000" w:rsidR="00000000" w:rsidRPr="00000000">
        <w:rPr>
          <w:rtl w:val="0"/>
        </w:rPr>
        <w:t xml:space="preserve">), el servicio registró inmediatamente la anomalía en la tabla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5731200" cy="1625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2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4.png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5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