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ED4" w:rsidRDefault="007B261A" w:rsidP="007B261A">
      <w:pPr>
        <w:pStyle w:val="Heading1"/>
      </w:pPr>
      <w:r>
        <w:t>On State Machine Inheritance in UML</w:t>
      </w:r>
    </w:p>
    <w:p w:rsidR="007B261A" w:rsidRDefault="007B261A" w:rsidP="007B261A">
      <w:r>
        <w:rPr>
          <w:b/>
        </w:rPr>
        <w:t xml:space="preserve">Bran </w:t>
      </w:r>
      <w:proofErr w:type="spellStart"/>
      <w:r>
        <w:rPr>
          <w:b/>
        </w:rPr>
        <w:t>Selić</w:t>
      </w:r>
      <w:proofErr w:type="spellEnd"/>
      <w:r w:rsidR="00271625">
        <w:t xml:space="preserve"> (version Nov. 17</w:t>
      </w:r>
      <w:r>
        <w:t>, 2015)</w:t>
      </w:r>
    </w:p>
    <w:p w:rsidR="007B261A" w:rsidRDefault="007B261A" w:rsidP="007B261A">
      <w:pPr>
        <w:pStyle w:val="Heading2"/>
      </w:pPr>
      <w:r>
        <w:t>The Requirement</w:t>
      </w:r>
    </w:p>
    <w:p w:rsidR="009867DE" w:rsidRDefault="007B261A" w:rsidP="007B261A">
      <w:r>
        <w:t xml:space="preserve">It is common in UML to use state machines to describe the classifier behavior of complex active classes. </w:t>
      </w:r>
      <w:r w:rsidR="00383790">
        <w:t xml:space="preserve">Since UML is an object-oriented language </w:t>
      </w:r>
      <w:r w:rsidR="009F70D9">
        <w:t>that</w:t>
      </w:r>
      <w:r w:rsidR="00383790">
        <w:t xml:space="preserve"> supports specialization </w:t>
      </w:r>
      <w:r w:rsidR="005E55B4">
        <w:t>of classes using</w:t>
      </w:r>
      <w:r w:rsidR="00383790">
        <w:t xml:space="preserve"> an inheritance-based mechanism</w:t>
      </w:r>
      <w:r w:rsidR="005E55B4">
        <w:t>, i</w:t>
      </w:r>
      <w:r w:rsidR="00383790">
        <w:t>t is natu</w:t>
      </w:r>
      <w:r w:rsidR="005E55B4">
        <w:t xml:space="preserve">ral to expect to be able to </w:t>
      </w:r>
      <w:r w:rsidR="00383790">
        <w:t>specialize</w:t>
      </w:r>
      <w:r w:rsidR="009F70D9">
        <w:t xml:space="preserve"> UML classes whose behaviors happen to be specified by</w:t>
      </w:r>
      <w:r w:rsidR="00383790">
        <w:t xml:space="preserve"> </w:t>
      </w:r>
      <w:r w:rsidR="009F70D9">
        <w:t>UML state machines</w:t>
      </w:r>
      <w:r w:rsidR="00383790">
        <w:t>.</w:t>
      </w:r>
    </w:p>
    <w:p w:rsidR="005E55B4" w:rsidRDefault="009867DE" w:rsidP="007B261A">
      <w:r>
        <w:t>T</w:t>
      </w:r>
      <w:r w:rsidR="005E55B4">
        <w:t xml:space="preserve">his requirement is illustrated using the </w:t>
      </w:r>
      <w:r w:rsidR="00FD611B">
        <w:t xml:space="preserve">example </w:t>
      </w:r>
      <w:r w:rsidR="005E55B4">
        <w:t xml:space="preserve">state machine shown in </w:t>
      </w:r>
      <w:r w:rsidR="005E55B4">
        <w:fldChar w:fldCharType="begin"/>
      </w:r>
      <w:r w:rsidR="005E55B4">
        <w:instrText xml:space="preserve"> REF _Ref435076106 \r \h </w:instrText>
      </w:r>
      <w:r w:rsidR="005E55B4">
        <w:fldChar w:fldCharType="separate"/>
      </w:r>
      <w:r w:rsidR="005E55B4">
        <w:t>Figure 1</w:t>
      </w:r>
      <w:r w:rsidR="005E55B4">
        <w:fldChar w:fldCharType="end"/>
      </w:r>
      <w:r w:rsidR="007D5FD9">
        <w:t>, which represents the classifier behavior of some (active) UML class (not shown explicitly in the diagram)</w:t>
      </w:r>
      <w:r w:rsidR="00FF6D28">
        <w:rPr>
          <w:rStyle w:val="FootnoteReference"/>
        </w:rPr>
        <w:footnoteReference w:id="1"/>
      </w:r>
      <w:r w:rsidR="005E55B4">
        <w:t>.</w:t>
      </w:r>
      <w:r w:rsidR="00E721C9">
        <w:t xml:space="preserve"> </w:t>
      </w:r>
      <w:r w:rsidR="007D5FD9">
        <w:t xml:space="preserve"> Being a classifier behavior means that this state machine is a member of the namespace of that class. </w:t>
      </w:r>
      <w:r w:rsidR="00FD611B">
        <w:t>Because the classifier behavior of a UML class qualifies as an “inheritable member” of that class</w:t>
      </w:r>
      <w:r w:rsidR="00FD611B">
        <w:rPr>
          <w:rStyle w:val="FootnoteReference"/>
        </w:rPr>
        <w:footnoteReference w:id="2"/>
      </w:r>
      <w:r w:rsidR="007D5FD9">
        <w:t xml:space="preserve">, it will be inherited by any subclass of the owning </w:t>
      </w:r>
      <w:r w:rsidR="00FD611B">
        <w:t xml:space="preserve">UML </w:t>
      </w:r>
      <w:r w:rsidR="007D5FD9">
        <w:t>class</w:t>
      </w:r>
      <w:r w:rsidR="00FD611B">
        <w:rPr>
          <w:rStyle w:val="FootnoteReference"/>
        </w:rPr>
        <w:footnoteReference w:id="3"/>
      </w:r>
      <w:r w:rsidR="007D5FD9">
        <w:t>.</w:t>
      </w:r>
    </w:p>
    <w:p w:rsidR="009867DE" w:rsidRDefault="009867DE" w:rsidP="004414FD">
      <w:pPr>
        <w:keepNext/>
        <w:jc w:val="center"/>
      </w:pPr>
      <w:r>
        <w:object w:dxaOrig="8311" w:dyaOrig="45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25pt;height:151.3pt" o:ole="">
            <v:imagedata r:id="rId8" o:title=""/>
          </v:shape>
          <o:OLEObject Type="Embed" ProgID="Visio.Drawing.15" ShapeID="_x0000_i1025" DrawAspect="Content" ObjectID="_1509258830" r:id="rId9"/>
        </w:object>
      </w:r>
    </w:p>
    <w:p w:rsidR="004414FD" w:rsidRDefault="004414FD" w:rsidP="004414FD">
      <w:pPr>
        <w:pStyle w:val="Figure"/>
      </w:pPr>
      <w:bookmarkStart w:id="0" w:name="_Ref435076106"/>
      <w:r>
        <w:t>An “abstract” state machine behavior</w:t>
      </w:r>
      <w:bookmarkEnd w:id="0"/>
    </w:p>
    <w:p w:rsidR="00F20CE2" w:rsidRDefault="007D5FD9" w:rsidP="007B261A">
      <w:r>
        <w:t>Assume that, in this particular case, the</w:t>
      </w:r>
      <w:r w:rsidR="009867DE">
        <w:t xml:space="preserve"> </w:t>
      </w:r>
      <w:r>
        <w:t xml:space="preserve">class that owns this </w:t>
      </w:r>
      <w:r w:rsidR="009867DE">
        <w:t>s</w:t>
      </w:r>
      <w:r>
        <w:t>tate machine</w:t>
      </w:r>
      <w:r w:rsidR="009867DE">
        <w:t xml:space="preserve"> </w:t>
      </w:r>
      <w:r>
        <w:t xml:space="preserve">is </w:t>
      </w:r>
      <w:r w:rsidR="00FD611B">
        <w:t xml:space="preserve">intended as </w:t>
      </w:r>
      <w:r>
        <w:t xml:space="preserve">an abstract class and that </w:t>
      </w:r>
      <w:r w:rsidR="00FD611B">
        <w:t>its</w:t>
      </w:r>
      <w:r>
        <w:t xml:space="preserve"> </w:t>
      </w:r>
      <w:r w:rsidR="00FD611B">
        <w:t xml:space="preserve">classifier behavior </w:t>
      </w:r>
      <w:r>
        <w:t xml:space="preserve">state machine </w:t>
      </w:r>
      <w:r w:rsidR="009867DE">
        <w:t>describe</w:t>
      </w:r>
      <w:r>
        <w:t>s</w:t>
      </w:r>
      <w:r w:rsidR="009867DE">
        <w:t xml:space="preserve"> a general high-level </w:t>
      </w:r>
      <w:r w:rsidR="004414FD">
        <w:t xml:space="preserve">(i.e., “abstract”) </w:t>
      </w:r>
      <w:r w:rsidR="009867DE">
        <w:t xml:space="preserve">behavior </w:t>
      </w:r>
      <w:r>
        <w:t xml:space="preserve">that </w:t>
      </w:r>
      <w:r w:rsidR="002419B6">
        <w:t>is intended to</w:t>
      </w:r>
      <w:r w:rsidR="00F20CE2">
        <w:t xml:space="preserve"> be</w:t>
      </w:r>
      <w:r>
        <w:t xml:space="preserve"> shared by all subclasses</w:t>
      </w:r>
      <w:r w:rsidR="00F20CE2">
        <w:t xml:space="preserve"> of that class</w:t>
      </w:r>
      <w:r w:rsidR="005E55B4">
        <w:t xml:space="preserve">. </w:t>
      </w:r>
      <w:r w:rsidR="00FD611B">
        <w:t>Starting with this basic behavior</w:t>
      </w:r>
      <w:r w:rsidR="00F20CE2">
        <w:t xml:space="preserve">, each subclass will </w:t>
      </w:r>
      <w:r w:rsidR="00FD611B">
        <w:t>need to refine this high-level behavior</w:t>
      </w:r>
      <w:r w:rsidR="00F20CE2">
        <w:t xml:space="preserve"> depending on its particular purpose. For example, </w:t>
      </w:r>
      <w:r w:rsidR="00FD611B">
        <w:t xml:space="preserve">each subclass may </w:t>
      </w:r>
      <w:r w:rsidR="009C1924">
        <w:t>specify different behavior for its instances when they are</w:t>
      </w:r>
      <w:r w:rsidR="00FD611B">
        <w:t xml:space="preserve"> </w:t>
      </w:r>
      <w:r w:rsidR="00F20CE2">
        <w:t xml:space="preserve">in the </w:t>
      </w:r>
      <w:r w:rsidR="00F20CE2" w:rsidRPr="005B26ED">
        <w:rPr>
          <w:rFonts w:asciiTheme="minorHAnsi" w:hAnsiTheme="minorHAnsi"/>
          <w:b/>
        </w:rPr>
        <w:t>Operational</w:t>
      </w:r>
      <w:r w:rsidR="00F20CE2">
        <w:t xml:space="preserve"> state. </w:t>
      </w:r>
    </w:p>
    <w:p w:rsidR="005B26ED" w:rsidRDefault="0035599A" w:rsidP="007B261A">
      <w:r>
        <w:t xml:space="preserve">One </w:t>
      </w:r>
      <w:r w:rsidR="00D877FE">
        <w:t xml:space="preserve">elegant </w:t>
      </w:r>
      <w:r>
        <w:t xml:space="preserve">way to achieve this </w:t>
      </w:r>
      <w:r w:rsidR="004E4D3B">
        <w:t>would be</w:t>
      </w:r>
      <w:r w:rsidR="00D877FE">
        <w:t xml:space="preserve"> for a subclass</w:t>
      </w:r>
      <w:r>
        <w:t xml:space="preserve"> to </w:t>
      </w:r>
      <w:r w:rsidR="002419B6">
        <w:t xml:space="preserve">“inherit” the state machine of its parent and then to </w:t>
      </w:r>
      <w:r>
        <w:t xml:space="preserve">refine </w:t>
      </w:r>
      <w:r w:rsidR="002419B6">
        <w:t>some of its</w:t>
      </w:r>
      <w:r>
        <w:t xml:space="preserve"> states </w:t>
      </w:r>
      <w:r w:rsidR="00D877FE">
        <w:t xml:space="preserve">and transitions </w:t>
      </w:r>
      <w:r w:rsidR="002419B6">
        <w:t xml:space="preserve">using </w:t>
      </w:r>
      <w:r w:rsidR="00861324">
        <w:t>UML’s</w:t>
      </w:r>
      <w:r w:rsidR="002419B6">
        <w:t xml:space="preserve"> redefinition mechanism </w:t>
      </w:r>
      <w:r w:rsidR="00861324">
        <w:t>while also adding new ones to suit the specific needs of the subclass</w:t>
      </w:r>
      <w:r w:rsidR="002419B6">
        <w:t>. A prototypical</w:t>
      </w:r>
      <w:r w:rsidR="00861324">
        <w:t xml:space="preserve"> example of such </w:t>
      </w:r>
      <w:r w:rsidR="002419B6">
        <w:t xml:space="preserve">refinement </w:t>
      </w:r>
      <w:r w:rsidR="00861324">
        <w:t xml:space="preserve">for the case </w:t>
      </w:r>
      <w:r w:rsidR="002419B6">
        <w:t xml:space="preserve">of the state machine in </w:t>
      </w:r>
      <w:r w:rsidR="002419B6">
        <w:fldChar w:fldCharType="begin"/>
      </w:r>
      <w:r w:rsidR="002419B6">
        <w:instrText xml:space="preserve"> REF _Ref435076106 \r \h </w:instrText>
      </w:r>
      <w:r w:rsidR="002419B6">
        <w:fldChar w:fldCharType="separate"/>
      </w:r>
      <w:r w:rsidR="002419B6">
        <w:t>Figure 1</w:t>
      </w:r>
      <w:r w:rsidR="002419B6">
        <w:fldChar w:fldCharType="end"/>
      </w:r>
      <w:r w:rsidR="002419B6">
        <w:t xml:space="preserve"> is </w:t>
      </w:r>
      <w:r>
        <w:t xml:space="preserve">depicted in </w:t>
      </w:r>
      <w:r>
        <w:fldChar w:fldCharType="begin"/>
      </w:r>
      <w:r>
        <w:instrText xml:space="preserve"> REF _Ref435154160 \r \h </w:instrText>
      </w:r>
      <w:r>
        <w:fldChar w:fldCharType="separate"/>
      </w:r>
      <w:r>
        <w:t>Figure 2</w:t>
      </w:r>
      <w:r>
        <w:fldChar w:fldCharType="end"/>
      </w:r>
      <w:r w:rsidR="00861324">
        <w:t>.</w:t>
      </w:r>
    </w:p>
    <w:p w:rsidR="005B26ED" w:rsidRDefault="005B26ED" w:rsidP="004414FD">
      <w:pPr>
        <w:keepNext/>
        <w:jc w:val="center"/>
      </w:pPr>
      <w:r>
        <w:object w:dxaOrig="8311" w:dyaOrig="5780">
          <v:shape id="_x0000_i1026" type="#_x0000_t75" style="width:289.75pt;height:201.4pt" o:ole="">
            <v:imagedata r:id="rId10" o:title=""/>
          </v:shape>
          <o:OLEObject Type="Embed" ProgID="Visio.Drawing.15" ShapeID="_x0000_i1026" DrawAspect="Content" ObjectID="_1509258831" r:id="rId11"/>
        </w:object>
      </w:r>
    </w:p>
    <w:p w:rsidR="004414FD" w:rsidRDefault="004414FD" w:rsidP="004414FD">
      <w:pPr>
        <w:pStyle w:val="Figure"/>
      </w:pPr>
      <w:bookmarkStart w:id="1" w:name="_Ref435154160"/>
      <w:r>
        <w:t xml:space="preserve">A </w:t>
      </w:r>
      <w:r w:rsidR="009C1924">
        <w:t xml:space="preserve">desired </w:t>
      </w:r>
      <w:r>
        <w:t xml:space="preserve">refinement </w:t>
      </w:r>
      <w:r w:rsidR="00471F96">
        <w:t>(</w:t>
      </w:r>
      <w:r w:rsidR="00471F96" w:rsidRPr="00471F96">
        <w:rPr>
          <w:rFonts w:asciiTheme="minorHAnsi" w:hAnsiTheme="minorHAnsi"/>
          <w:b/>
        </w:rPr>
        <w:t>SM1’</w:t>
      </w:r>
      <w:r w:rsidR="00471F96">
        <w:t xml:space="preserve">) </w:t>
      </w:r>
      <w:r>
        <w:t xml:space="preserve">of the </w:t>
      </w:r>
      <w:r w:rsidR="00471F96">
        <w:t xml:space="preserve">state machine </w:t>
      </w:r>
      <w:r w:rsidR="00471F96" w:rsidRPr="00471F96">
        <w:rPr>
          <w:rFonts w:asciiTheme="minorHAnsi" w:hAnsiTheme="minorHAnsi"/>
          <w:b/>
        </w:rPr>
        <w:t>SM1</w:t>
      </w:r>
      <w:r>
        <w:t xml:space="preserve"> specified in </w:t>
      </w:r>
      <w:r>
        <w:fldChar w:fldCharType="begin"/>
      </w:r>
      <w:r>
        <w:instrText xml:space="preserve"> REF _Ref435076106 \r \h </w:instrText>
      </w:r>
      <w:r>
        <w:fldChar w:fldCharType="separate"/>
      </w:r>
      <w:r>
        <w:t>Figure 1</w:t>
      </w:r>
      <w:r>
        <w:fldChar w:fldCharType="end"/>
      </w:r>
      <w:bookmarkEnd w:id="1"/>
    </w:p>
    <w:p w:rsidR="005B26ED" w:rsidRDefault="004414FD" w:rsidP="007B261A">
      <w:r>
        <w:t xml:space="preserve">In this </w:t>
      </w:r>
      <w:r w:rsidR="0035599A">
        <w:t>case</w:t>
      </w:r>
      <w:r>
        <w:t xml:space="preserve">, we have </w:t>
      </w:r>
      <w:r w:rsidR="009C1924">
        <w:t>refined</w:t>
      </w:r>
      <w:r>
        <w:t xml:space="preserve"> the original simple </w:t>
      </w:r>
      <w:r w:rsidRPr="004414FD">
        <w:rPr>
          <w:rFonts w:asciiTheme="minorHAnsi" w:hAnsiTheme="minorHAnsi"/>
          <w:b/>
        </w:rPr>
        <w:t>Operational</w:t>
      </w:r>
      <w:r>
        <w:t xml:space="preserve"> state </w:t>
      </w:r>
      <w:r w:rsidR="009C1924">
        <w:t>from the general</w:t>
      </w:r>
      <w:r w:rsidR="0035599A">
        <w:t xml:space="preserve"> state machine</w:t>
      </w:r>
      <w:r w:rsidR="009C1924">
        <w:t>, by redefining with</w:t>
      </w:r>
      <w:r w:rsidR="0035599A">
        <w:t xml:space="preserve"> </w:t>
      </w:r>
      <w:r>
        <w:t>a</w:t>
      </w:r>
      <w:r w:rsidR="008F4F58">
        <w:t>n application-specific</w:t>
      </w:r>
      <w:r>
        <w:t xml:space="preserve"> </w:t>
      </w:r>
      <w:r w:rsidRPr="009C1924">
        <w:rPr>
          <w:i/>
        </w:rPr>
        <w:t>composite</w:t>
      </w:r>
      <w:r>
        <w:t xml:space="preserve"> state</w:t>
      </w:r>
      <w:r w:rsidR="0035599A">
        <w:t xml:space="preserve">, </w:t>
      </w:r>
      <w:r w:rsidR="0035599A" w:rsidRPr="0035599A">
        <w:rPr>
          <w:rFonts w:asciiTheme="minorHAnsi" w:hAnsiTheme="minorHAnsi"/>
          <w:b/>
        </w:rPr>
        <w:t>Operational’</w:t>
      </w:r>
      <w:r w:rsidR="0035599A">
        <w:t>,</w:t>
      </w:r>
      <w:r>
        <w:t xml:space="preserve"> </w:t>
      </w:r>
      <w:r w:rsidR="009C1924">
        <w:t>with</w:t>
      </w:r>
      <w:r>
        <w:t xml:space="preserve"> an internal </w:t>
      </w:r>
      <w:r w:rsidR="009C1924">
        <w:t>state machine of its own</w:t>
      </w:r>
      <w:r w:rsidR="0035599A">
        <w:t xml:space="preserve">. </w:t>
      </w:r>
      <w:r w:rsidR="009C1924">
        <w:t>Note that, to retain behavioral compatibility, we have retained the two original transitions (“</w:t>
      </w:r>
      <w:r w:rsidR="009C1924" w:rsidRPr="0042301F">
        <w:rPr>
          <w:rFonts w:asciiTheme="minorHAnsi" w:hAnsiTheme="minorHAnsi"/>
          <w:b/>
        </w:rPr>
        <w:t>go</w:t>
      </w:r>
      <w:r w:rsidR="009C1924">
        <w:t>” and “</w:t>
      </w:r>
      <w:r w:rsidR="009C1924" w:rsidRPr="0042301F">
        <w:rPr>
          <w:rFonts w:asciiTheme="minorHAnsi" w:hAnsiTheme="minorHAnsi"/>
          <w:b/>
        </w:rPr>
        <w:t>error</w:t>
      </w:r>
      <w:r w:rsidR="009C1924">
        <w:t>”) associated with the general state machine</w:t>
      </w:r>
      <w:r w:rsidR="0042301F">
        <w:t xml:space="preserve"> and the states </w:t>
      </w:r>
      <w:r w:rsidR="0042301F" w:rsidRPr="0042301F">
        <w:rPr>
          <w:rFonts w:asciiTheme="minorHAnsi" w:hAnsiTheme="minorHAnsi"/>
          <w:b/>
        </w:rPr>
        <w:t>Ready</w:t>
      </w:r>
      <w:r w:rsidR="0042301F">
        <w:t xml:space="preserve"> and </w:t>
      </w:r>
      <w:r w:rsidR="0042301F" w:rsidRPr="0042301F">
        <w:rPr>
          <w:rFonts w:asciiTheme="minorHAnsi" w:hAnsiTheme="minorHAnsi"/>
          <w:b/>
        </w:rPr>
        <w:t>Broken</w:t>
      </w:r>
      <w:r w:rsidR="009C1924">
        <w:t>. In addition to this redefinition</w:t>
      </w:r>
      <w:r w:rsidR="0035599A">
        <w:t xml:space="preserve">, </w:t>
      </w:r>
      <w:r w:rsidR="009C1924">
        <w:t>for this particular refinement</w:t>
      </w:r>
      <w:r w:rsidR="00D1466B">
        <w:t xml:space="preserve"> </w:t>
      </w:r>
      <w:r>
        <w:t xml:space="preserve">we have </w:t>
      </w:r>
      <w:r w:rsidR="009C1924">
        <w:t>included</w:t>
      </w:r>
      <w:r w:rsidR="00F15EE1">
        <w:t xml:space="preserve"> one additional state</w:t>
      </w:r>
      <w:r>
        <w:t xml:space="preserve"> </w:t>
      </w:r>
      <w:r w:rsidR="00F15EE1">
        <w:t>(</w:t>
      </w:r>
      <w:r w:rsidRPr="004414FD">
        <w:rPr>
          <w:rFonts w:asciiTheme="minorHAnsi" w:hAnsiTheme="minorHAnsi"/>
          <w:b/>
        </w:rPr>
        <w:t>Recovering</w:t>
      </w:r>
      <w:r w:rsidR="00F15EE1">
        <w:t>)</w:t>
      </w:r>
      <w:r>
        <w:t xml:space="preserve"> along with</w:t>
      </w:r>
      <w:r w:rsidR="00F15EE1">
        <w:t xml:space="preserve"> its associated</w:t>
      </w:r>
      <w:r>
        <w:t xml:space="preserve"> transitions. </w:t>
      </w:r>
      <w:r w:rsidR="009C1924">
        <w:t>(</w:t>
      </w:r>
      <w:r>
        <w:t xml:space="preserve">For clarity, the inherited elements </w:t>
      </w:r>
      <w:r w:rsidR="00861324">
        <w:t xml:space="preserve">are rendered using </w:t>
      </w:r>
      <w:r>
        <w:t>lighter</w:t>
      </w:r>
      <w:r w:rsidR="00861324">
        <w:t xml:space="preserve"> </w:t>
      </w:r>
      <w:r w:rsidR="00E721C9">
        <w:t>coloured</w:t>
      </w:r>
      <w:r>
        <w:t xml:space="preserve"> line</w:t>
      </w:r>
      <w:r w:rsidR="00861324">
        <w:t>s</w:t>
      </w:r>
      <w:r>
        <w:t xml:space="preserve"> and text</w:t>
      </w:r>
      <w:r w:rsidR="00E721C9">
        <w:t>,</w:t>
      </w:r>
      <w:r>
        <w:t xml:space="preserve"> while the new </w:t>
      </w:r>
      <w:r w:rsidR="00E721C9">
        <w:t>subclass</w:t>
      </w:r>
      <w:r w:rsidR="008F4F58">
        <w:t xml:space="preserve">-specific </w:t>
      </w:r>
      <w:r>
        <w:t>elements are drawn in red.</w:t>
      </w:r>
      <w:r w:rsidR="0042301F">
        <w:t xml:space="preserve"> However, as explained below, this diagram is not </w:t>
      </w:r>
      <w:proofErr w:type="spellStart"/>
      <w:r w:rsidR="00434A99">
        <w:t>a</w:t>
      </w:r>
      <w:proofErr w:type="spellEnd"/>
      <w:r w:rsidR="00434A99">
        <w:t xml:space="preserve"> fully</w:t>
      </w:r>
      <w:r w:rsidR="0042301F">
        <w:t xml:space="preserve"> accurate rendering of the actual </w:t>
      </w:r>
      <w:r w:rsidR="00434A99">
        <w:t>extending state machine</w:t>
      </w:r>
      <w:r w:rsidR="0042301F">
        <w:t>.</w:t>
      </w:r>
      <w:r w:rsidR="009C1924">
        <w:t>)</w:t>
      </w:r>
    </w:p>
    <w:p w:rsidR="009867DE" w:rsidRDefault="00495C3D" w:rsidP="00F15EE1">
      <w:pPr>
        <w:pStyle w:val="Heading2"/>
        <w:tabs>
          <w:tab w:val="left" w:pos="3840"/>
        </w:tabs>
      </w:pPr>
      <w:r>
        <w:t>State Machine Specialization</w:t>
      </w:r>
      <w:r w:rsidR="00F15EE1">
        <w:tab/>
      </w:r>
    </w:p>
    <w:p w:rsidR="00F15EE1" w:rsidRDefault="00F15EE1" w:rsidP="007B261A">
      <w:r>
        <w:t xml:space="preserve">To achieve this type of inheritance, a special mechanism was provided in UML 2.0. It is based on the notion of “extending” one state machine with another. By definition, an </w:t>
      </w:r>
      <w:r>
        <w:rPr>
          <w:i/>
        </w:rPr>
        <w:t>extending</w:t>
      </w:r>
      <w:r>
        <w:t xml:space="preserve"> (i.e., specializing) state machine has </w:t>
      </w:r>
      <w:r>
        <w:rPr>
          <w:i/>
        </w:rPr>
        <w:t>all</w:t>
      </w:r>
      <w:r>
        <w:t xml:space="preserve"> the elements of the </w:t>
      </w:r>
      <w:r w:rsidRPr="00F15EE1">
        <w:rPr>
          <w:i/>
        </w:rPr>
        <w:t>extended</w:t>
      </w:r>
      <w:r>
        <w:t xml:space="preserve"> (i.e., general) state machine, except that (a) it may add new elements and (b) redefine </w:t>
      </w:r>
      <w:r w:rsidR="0042301F">
        <w:t xml:space="preserve">certain types of </w:t>
      </w:r>
      <w:r>
        <w:t>existing ones</w:t>
      </w:r>
      <w:r>
        <w:rPr>
          <w:rStyle w:val="FootnoteReference"/>
        </w:rPr>
        <w:footnoteReference w:id="4"/>
      </w:r>
      <w:r>
        <w:t>. Of course, these are the very same principles that apply to standard inheritance in most conventional object-oriented languages.</w:t>
      </w:r>
    </w:p>
    <w:p w:rsidR="009C1924" w:rsidRDefault="0042301F" w:rsidP="007B261A">
      <w:r>
        <w:t xml:space="preserve">To support the kind of redefinition exemplified by the state </w:t>
      </w:r>
      <w:r w:rsidRPr="0042301F">
        <w:rPr>
          <w:rFonts w:asciiTheme="minorHAnsi" w:hAnsiTheme="minorHAnsi"/>
          <w:b/>
        </w:rPr>
        <w:t>Operational’</w:t>
      </w:r>
      <w:r>
        <w:t xml:space="preserve"> in </w:t>
      </w:r>
      <w:r>
        <w:fldChar w:fldCharType="begin"/>
      </w:r>
      <w:r>
        <w:instrText xml:space="preserve"> REF _Ref435154160 \r \h </w:instrText>
      </w:r>
      <w:r>
        <w:fldChar w:fldCharType="separate"/>
      </w:r>
      <w:r>
        <w:t>Figure 2</w:t>
      </w:r>
      <w:r>
        <w:fldChar w:fldCharType="end"/>
      </w:r>
      <w:r>
        <w:t>, UML allows the following three kinds of state machine members to be redefined:</w:t>
      </w:r>
    </w:p>
    <w:p w:rsidR="0042301F" w:rsidRDefault="0042301F" w:rsidP="0042301F">
      <w:pPr>
        <w:pStyle w:val="ListParagraph"/>
        <w:numPr>
          <w:ilvl w:val="0"/>
          <w:numId w:val="4"/>
        </w:numPr>
      </w:pPr>
      <w:r>
        <w:t>Regions</w:t>
      </w:r>
    </w:p>
    <w:p w:rsidR="0042301F" w:rsidRDefault="0042301F" w:rsidP="0042301F">
      <w:pPr>
        <w:pStyle w:val="ListParagraph"/>
        <w:numPr>
          <w:ilvl w:val="0"/>
          <w:numId w:val="4"/>
        </w:numPr>
      </w:pPr>
      <w:r>
        <w:t>States</w:t>
      </w:r>
    </w:p>
    <w:p w:rsidR="0042301F" w:rsidRDefault="0042301F" w:rsidP="0042301F">
      <w:pPr>
        <w:pStyle w:val="ListParagraph"/>
        <w:numPr>
          <w:ilvl w:val="0"/>
          <w:numId w:val="4"/>
        </w:numPr>
      </w:pPr>
      <w:r>
        <w:t>Transitions</w:t>
      </w:r>
    </w:p>
    <w:p w:rsidR="0042301F" w:rsidRDefault="0042301F" w:rsidP="0042301F">
      <w:r>
        <w:t xml:space="preserve">This is achieved by making them subclasses of the abstract </w:t>
      </w:r>
      <w:r w:rsidR="00471F96" w:rsidRPr="00F47A42">
        <w:rPr>
          <w:rFonts w:ascii="Courier New" w:hAnsi="Courier New" w:cs="Courier New"/>
          <w:b/>
        </w:rPr>
        <w:t>UML::</w:t>
      </w:r>
      <w:proofErr w:type="spellStart"/>
      <w:r w:rsidR="00471F96" w:rsidRPr="00F47A42">
        <w:rPr>
          <w:rFonts w:ascii="Courier New" w:hAnsi="Courier New" w:cs="Courier New"/>
          <w:b/>
        </w:rPr>
        <w:t>R</w:t>
      </w:r>
      <w:r w:rsidRPr="00F47A42">
        <w:rPr>
          <w:rFonts w:ascii="Courier New" w:hAnsi="Courier New" w:cs="Courier New"/>
          <w:b/>
        </w:rPr>
        <w:t>edefinableElement</w:t>
      </w:r>
      <w:proofErr w:type="spellEnd"/>
      <w:r>
        <w:t xml:space="preserve"> class.</w:t>
      </w:r>
      <w:r w:rsidR="00471F96">
        <w:t xml:space="preserve"> Note that, although it is required that a redefining element must be “consistent with” the element that is being redefined, UML is quite flexible in how such compatibility is defined. In section 9.2.3.3 of </w:t>
      </w:r>
      <w:r w:rsidR="00471F96">
        <w:fldChar w:fldCharType="begin"/>
      </w:r>
      <w:r w:rsidR="00471F96">
        <w:instrText xml:space="preserve"> REF _Ref435511779 \r \h </w:instrText>
      </w:r>
      <w:r w:rsidR="00471F96">
        <w:fldChar w:fldCharType="separate"/>
      </w:r>
      <w:r w:rsidR="00471F96">
        <w:t>[1]</w:t>
      </w:r>
      <w:r w:rsidR="00471F96">
        <w:fldChar w:fldCharType="end"/>
      </w:r>
      <w:r w:rsidR="00471F96">
        <w:t xml:space="preserve"> it is stated:</w:t>
      </w:r>
    </w:p>
    <w:p w:rsidR="00471F96" w:rsidRDefault="00471F96" w:rsidP="00471F96">
      <w:pPr>
        <w:ind w:left="720"/>
        <w:rPr>
          <w:rFonts w:asciiTheme="minorHAnsi" w:hAnsiTheme="minorHAnsi"/>
        </w:rPr>
      </w:pPr>
      <w:r w:rsidRPr="00471F96">
        <w:rPr>
          <w:rFonts w:asciiTheme="minorHAnsi" w:hAnsiTheme="minorHAnsi"/>
        </w:rPr>
        <w:t xml:space="preserve">“The detailed semantics of redefinition vary for each specialization of </w:t>
      </w:r>
      <w:proofErr w:type="spellStart"/>
      <w:r w:rsidRPr="00471F96">
        <w:rPr>
          <w:rFonts w:asciiTheme="minorHAnsi" w:hAnsiTheme="minorHAnsi"/>
        </w:rPr>
        <w:t>RedefinableElement</w:t>
      </w:r>
      <w:proofErr w:type="spellEnd"/>
      <w:r w:rsidRPr="00471F96">
        <w:rPr>
          <w:rFonts w:asciiTheme="minorHAnsi" w:hAnsiTheme="minorHAnsi"/>
        </w:rPr>
        <w:t>. There are various kinds of compatibility between a redefined element and its redefining element…”</w:t>
      </w:r>
    </w:p>
    <w:p w:rsidR="006101A1" w:rsidRPr="00471F96" w:rsidRDefault="00471F96" w:rsidP="00471F96">
      <w:r>
        <w:lastRenderedPageBreak/>
        <w:t xml:space="preserve">This suggests that the intent was that </w:t>
      </w:r>
      <w:r w:rsidRPr="00F47A42">
        <w:rPr>
          <w:rFonts w:ascii="Courier New" w:hAnsi="Courier New" w:cs="Courier New"/>
          <w:b/>
        </w:rPr>
        <w:t>UML::</w:t>
      </w:r>
      <w:proofErr w:type="spellStart"/>
      <w:r w:rsidRPr="00F47A42">
        <w:rPr>
          <w:rFonts w:ascii="Courier New" w:hAnsi="Courier New" w:cs="Courier New"/>
          <w:b/>
        </w:rPr>
        <w:t>RedefinableElement</w:t>
      </w:r>
      <w:proofErr w:type="spellEnd"/>
      <w:r>
        <w:t xml:space="preserve"> should be specialized for specific cases. Unfortunately, this was not done for state machines, making it difficult to associate case-specific semantics</w:t>
      </w:r>
      <w:r w:rsidR="006101A1">
        <w:t xml:space="preserve"> for this particular case</w:t>
      </w:r>
      <w:r>
        <w:t>. Furthe</w:t>
      </w:r>
      <w:r w:rsidR="006101A1">
        <w:t>r</w:t>
      </w:r>
      <w:r>
        <w:t xml:space="preserve">more, </w:t>
      </w:r>
      <w:r w:rsidR="006101A1">
        <w:t>no explanation was provided for what those semantics should be</w:t>
      </w:r>
      <w:r w:rsidR="006101A1">
        <w:rPr>
          <w:rStyle w:val="FootnoteReference"/>
        </w:rPr>
        <w:footnoteReference w:id="5"/>
      </w:r>
      <w:r w:rsidR="006101A1">
        <w:t>. As it turns out, for this mechanism to work as intended, an idiosyncratic interpretation of redefinition is necessary.</w:t>
      </w:r>
    </w:p>
    <w:p w:rsidR="004E4D3B" w:rsidRDefault="002D0A33" w:rsidP="007B261A">
      <w:r>
        <w:t xml:space="preserve">To see why, consider the transition triggered by the </w:t>
      </w:r>
      <w:r w:rsidRPr="002D0A33">
        <w:rPr>
          <w:rFonts w:asciiTheme="minorHAnsi" w:hAnsiTheme="minorHAnsi"/>
          <w:b/>
        </w:rPr>
        <w:t>recover</w:t>
      </w:r>
      <w:r>
        <w:t xml:space="preserve"> event in </w:t>
      </w:r>
      <w:r>
        <w:fldChar w:fldCharType="begin"/>
      </w:r>
      <w:r>
        <w:instrText xml:space="preserve"> REF _Ref435154160 \r \h </w:instrText>
      </w:r>
      <w:r>
        <w:fldChar w:fldCharType="separate"/>
      </w:r>
      <w:r>
        <w:t>Figure 2</w:t>
      </w:r>
      <w:r>
        <w:fldChar w:fldCharType="end"/>
      </w:r>
      <w:r w:rsidR="004D0377">
        <w:t xml:space="preserve">, which </w:t>
      </w:r>
      <w:r>
        <w:t xml:space="preserve">originates on state </w:t>
      </w:r>
      <w:r w:rsidRPr="002D0A33">
        <w:rPr>
          <w:rFonts w:asciiTheme="minorHAnsi" w:hAnsiTheme="minorHAnsi"/>
          <w:b/>
        </w:rPr>
        <w:t>Broken</w:t>
      </w:r>
      <w:r>
        <w:t xml:space="preserve"> and terminates on state </w:t>
      </w:r>
      <w:r w:rsidRPr="002D0A33">
        <w:rPr>
          <w:rFonts w:asciiTheme="minorHAnsi" w:hAnsiTheme="minorHAnsi"/>
          <w:b/>
        </w:rPr>
        <w:t>Recovering</w:t>
      </w:r>
      <w:r>
        <w:t xml:space="preserve">. </w:t>
      </w:r>
      <w:r w:rsidR="004D0377">
        <w:t xml:space="preserve">While state </w:t>
      </w:r>
      <w:r w:rsidR="004D0377" w:rsidRPr="002D0A33">
        <w:rPr>
          <w:rFonts w:asciiTheme="minorHAnsi" w:hAnsiTheme="minorHAnsi"/>
          <w:b/>
        </w:rPr>
        <w:t>Recovering</w:t>
      </w:r>
      <w:r w:rsidR="004D0377">
        <w:t xml:space="preserve"> is defined in the extending state machine (</w:t>
      </w:r>
      <w:r w:rsidR="004D0377" w:rsidRPr="00D83DB6">
        <w:rPr>
          <w:rFonts w:asciiTheme="minorHAnsi" w:hAnsiTheme="minorHAnsi"/>
          <w:b/>
        </w:rPr>
        <w:t>SM</w:t>
      </w:r>
      <w:r w:rsidR="00F20EC0">
        <w:rPr>
          <w:rFonts w:asciiTheme="minorHAnsi" w:hAnsiTheme="minorHAnsi"/>
          <w:b/>
        </w:rPr>
        <w:t>1</w:t>
      </w:r>
      <w:r w:rsidR="004D0377" w:rsidRPr="00D83DB6">
        <w:rPr>
          <w:rFonts w:asciiTheme="minorHAnsi" w:hAnsiTheme="minorHAnsi"/>
          <w:b/>
        </w:rPr>
        <w:t>’</w:t>
      </w:r>
      <w:r w:rsidR="004D0377">
        <w:t xml:space="preserve">), state </w:t>
      </w:r>
      <w:r w:rsidR="004D0377" w:rsidRPr="002D0A33">
        <w:rPr>
          <w:rFonts w:asciiTheme="minorHAnsi" w:hAnsiTheme="minorHAnsi"/>
          <w:b/>
        </w:rPr>
        <w:t>Broken</w:t>
      </w:r>
      <w:r w:rsidR="004D0377">
        <w:t xml:space="preserve"> is defined in the extended state machine (</w:t>
      </w:r>
      <w:r w:rsidR="004D0377" w:rsidRPr="00D83DB6">
        <w:rPr>
          <w:rFonts w:asciiTheme="minorHAnsi" w:hAnsiTheme="minorHAnsi"/>
          <w:b/>
        </w:rPr>
        <w:t>SM</w:t>
      </w:r>
      <w:r w:rsidR="00F20EC0">
        <w:rPr>
          <w:rFonts w:asciiTheme="minorHAnsi" w:hAnsiTheme="minorHAnsi"/>
          <w:b/>
        </w:rPr>
        <w:t>1</w:t>
      </w:r>
      <w:r w:rsidR="004D0377">
        <w:t xml:space="preserve">). However, according to the UML abstract syntax rules (i.e., the UML </w:t>
      </w:r>
      <w:proofErr w:type="spellStart"/>
      <w:r w:rsidR="004D0377">
        <w:t>metamodel</w:t>
      </w:r>
      <w:proofErr w:type="spellEnd"/>
      <w:r w:rsidR="004D0377">
        <w:t xml:space="preserve">), a </w:t>
      </w:r>
      <w:r w:rsidR="006101A1">
        <w:t xml:space="preserve">state machine </w:t>
      </w:r>
      <w:r w:rsidR="004D0377">
        <w:t xml:space="preserve">transition cannot be connected between vertices that </w:t>
      </w:r>
      <w:r w:rsidR="004D0377" w:rsidRPr="006101A1">
        <w:rPr>
          <w:i/>
        </w:rPr>
        <w:t>belong to two different state machines</w:t>
      </w:r>
      <w:r w:rsidR="004D0377">
        <w:t xml:space="preserve">, as would be the case here. To </w:t>
      </w:r>
      <w:r w:rsidR="006101A1">
        <w:t>avoid this problem</w:t>
      </w:r>
      <w:r w:rsidR="004D0377">
        <w:t xml:space="preserve">, it is </w:t>
      </w:r>
      <w:r w:rsidR="006101A1">
        <w:t xml:space="preserve">therefore </w:t>
      </w:r>
      <w:r w:rsidR="004D0377">
        <w:t xml:space="preserve">necessary to </w:t>
      </w:r>
      <w:r w:rsidR="004F6999">
        <w:t xml:space="preserve">add a </w:t>
      </w:r>
      <w:r w:rsidR="004F6999" w:rsidRPr="006101A1">
        <w:rPr>
          <w:i/>
        </w:rPr>
        <w:t>new source state</w:t>
      </w:r>
      <w:r w:rsidR="004F6999">
        <w:t xml:space="preserve"> for the transition (call it </w:t>
      </w:r>
      <w:r w:rsidR="004F6999" w:rsidRPr="00D83DB6">
        <w:rPr>
          <w:rFonts w:asciiTheme="minorHAnsi" w:hAnsiTheme="minorHAnsi"/>
          <w:b/>
        </w:rPr>
        <w:t>Broken’</w:t>
      </w:r>
      <w:r w:rsidR="004F6999">
        <w:t xml:space="preserve">). This new state has to </w:t>
      </w:r>
      <w:r w:rsidR="00D83DB6">
        <w:t xml:space="preserve">redefine the original state </w:t>
      </w:r>
      <w:r w:rsidR="00D83DB6" w:rsidRPr="00D83DB6">
        <w:rPr>
          <w:rFonts w:asciiTheme="minorHAnsi" w:hAnsiTheme="minorHAnsi"/>
          <w:b/>
        </w:rPr>
        <w:t>Broken</w:t>
      </w:r>
      <w:r w:rsidR="004F6999">
        <w:t xml:space="preserve"> in order to make the proper semantic connection</w:t>
      </w:r>
      <w:r w:rsidR="00B93D69">
        <w:t xml:space="preserve"> (transitions cannot be left “dangling” but must be anchored at both ends)</w:t>
      </w:r>
      <w:r w:rsidR="004F6999">
        <w:t>.</w:t>
      </w:r>
      <w:r w:rsidR="00D83DB6">
        <w:t xml:space="preserve"> </w:t>
      </w:r>
      <w:r w:rsidR="004F6999">
        <w:t>Furthermore</w:t>
      </w:r>
      <w:r w:rsidR="00D83DB6">
        <w:t xml:space="preserve">, again due to constraints imposed by the abstract syntax of UML, both the </w:t>
      </w:r>
      <w:r w:rsidR="00D83DB6" w:rsidRPr="00D83DB6">
        <w:rPr>
          <w:rFonts w:asciiTheme="minorHAnsi" w:hAnsiTheme="minorHAnsi"/>
          <w:b/>
        </w:rPr>
        <w:t>Broken’</w:t>
      </w:r>
      <w:r w:rsidR="00D83DB6">
        <w:rPr>
          <w:rFonts w:asciiTheme="minorHAnsi" w:hAnsiTheme="minorHAnsi"/>
          <w:b/>
        </w:rPr>
        <w:t xml:space="preserve"> </w:t>
      </w:r>
      <w:r w:rsidR="00D83DB6">
        <w:t>state and the new transition must be owned by a region</w:t>
      </w:r>
      <w:r w:rsidR="005C41B7">
        <w:t xml:space="preserve"> that is part of the same state machine</w:t>
      </w:r>
      <w:r w:rsidR="00D83DB6">
        <w:t xml:space="preserve">, which requires that a new region must be defined that redefines the region in </w:t>
      </w:r>
      <w:r w:rsidR="005C41B7">
        <w:t>of</w:t>
      </w:r>
      <w:r w:rsidR="00D83DB6">
        <w:t xml:space="preserve"> the original </w:t>
      </w:r>
      <w:r w:rsidR="00D83DB6" w:rsidRPr="00D83DB6">
        <w:rPr>
          <w:rFonts w:asciiTheme="minorHAnsi" w:hAnsiTheme="minorHAnsi"/>
          <w:b/>
        </w:rPr>
        <w:t>Broken</w:t>
      </w:r>
      <w:r w:rsidR="00D83DB6">
        <w:t xml:space="preserve"> state. Finally, this new region will be owned by the extending state machine </w:t>
      </w:r>
      <w:r w:rsidR="00D83DB6" w:rsidRPr="00D83DB6">
        <w:rPr>
          <w:rFonts w:asciiTheme="minorHAnsi" w:hAnsiTheme="minorHAnsi"/>
          <w:b/>
        </w:rPr>
        <w:t>SM</w:t>
      </w:r>
      <w:r w:rsidR="00F20EC0">
        <w:rPr>
          <w:rFonts w:asciiTheme="minorHAnsi" w:hAnsiTheme="minorHAnsi"/>
          <w:b/>
        </w:rPr>
        <w:t>1</w:t>
      </w:r>
      <w:r w:rsidR="00D83DB6" w:rsidRPr="00D83DB6">
        <w:rPr>
          <w:rFonts w:asciiTheme="minorHAnsi" w:hAnsiTheme="minorHAnsi"/>
          <w:b/>
        </w:rPr>
        <w:t>’</w:t>
      </w:r>
      <w:r w:rsidR="00D83DB6">
        <w:t>.</w:t>
      </w:r>
      <w:r w:rsidR="005C41B7">
        <w:t xml:space="preserve"> The necessary extensions are shown in </w:t>
      </w:r>
      <w:r w:rsidR="005C41B7">
        <w:fldChar w:fldCharType="begin"/>
      </w:r>
      <w:r w:rsidR="005C41B7">
        <w:instrText xml:space="preserve"> REF _Ref435514488 \r \h </w:instrText>
      </w:r>
      <w:r w:rsidR="005C41B7">
        <w:fldChar w:fldCharType="separate"/>
      </w:r>
      <w:r w:rsidR="005C41B7">
        <w:t>Figure 3</w:t>
      </w:r>
      <w:r w:rsidR="005C41B7">
        <w:fldChar w:fldCharType="end"/>
      </w:r>
      <w:r w:rsidR="005C41B7">
        <w:t>, using blue lines.</w:t>
      </w:r>
    </w:p>
    <w:p w:rsidR="004E4D3B" w:rsidRDefault="00447A2B" w:rsidP="00447A2B">
      <w:pPr>
        <w:keepNext/>
        <w:jc w:val="center"/>
      </w:pPr>
      <w:r>
        <w:object w:dxaOrig="9621" w:dyaOrig="11311">
          <v:shape id="_x0000_i1027" type="#_x0000_t75" style="width:320.7pt;height:377.4pt" o:ole="">
            <v:imagedata r:id="rId12" o:title=""/>
          </v:shape>
          <o:OLEObject Type="Embed" ProgID="Visio.Drawing.15" ShapeID="_x0000_i1027" DrawAspect="Content" ObjectID="_1509258832" r:id="rId13"/>
        </w:object>
      </w:r>
      <w:bookmarkStart w:id="2" w:name="_GoBack"/>
      <w:bookmarkEnd w:id="2"/>
    </w:p>
    <w:p w:rsidR="00447A2B" w:rsidRDefault="005C41B7" w:rsidP="00447A2B">
      <w:pPr>
        <w:pStyle w:val="Figure"/>
        <w:rPr>
          <w:rFonts w:asciiTheme="minorHAnsi" w:hAnsiTheme="minorHAnsi"/>
          <w:b/>
        </w:rPr>
      </w:pPr>
      <w:bookmarkStart w:id="3" w:name="_Ref435514488"/>
      <w:bookmarkStart w:id="4" w:name="_Ref435514737"/>
      <w:r>
        <w:t xml:space="preserve">The correct extensions, additions, and redefinitions for state machine </w:t>
      </w:r>
      <w:r w:rsidRPr="005C41B7">
        <w:rPr>
          <w:rFonts w:asciiTheme="minorHAnsi" w:hAnsiTheme="minorHAnsi"/>
          <w:b/>
        </w:rPr>
        <w:t>SM1’</w:t>
      </w:r>
      <w:bookmarkEnd w:id="4"/>
    </w:p>
    <w:p w:rsidR="005C41B7" w:rsidRDefault="005C41B7" w:rsidP="005C41B7">
      <w:r>
        <w:lastRenderedPageBreak/>
        <w:t xml:space="preserve">The result is that, whenever a new </w:t>
      </w:r>
      <w:r w:rsidR="00E25D89">
        <w:t>member (e.g., region, vertex, or transition)</w:t>
      </w:r>
      <w:r>
        <w:t xml:space="preserve"> is added, all the containers in the transitive closure of container elements in which that element is defined have to be redefined (except, of course, for the top-level state machine container, which is “extended”). Furthermore, if a transition is added, its source and target vertices need to be either redefined or a</w:t>
      </w:r>
      <w:r w:rsidR="00F47A42">
        <w:t xml:space="preserve">dded (if they are new elements), so that they have the proper </w:t>
      </w:r>
      <w:r w:rsidR="00F47A42" w:rsidRPr="00F47A42">
        <w:rPr>
          <w:rFonts w:ascii="Courier New" w:hAnsi="Courier New" w:cs="Courier New"/>
          <w:b/>
        </w:rPr>
        <w:t>incoming</w:t>
      </w:r>
      <w:r w:rsidR="00F47A42">
        <w:t xml:space="preserve"> and </w:t>
      </w:r>
      <w:r w:rsidR="00F47A42" w:rsidRPr="00F47A42">
        <w:rPr>
          <w:rFonts w:ascii="Courier New" w:hAnsi="Courier New" w:cs="Courier New"/>
          <w:b/>
        </w:rPr>
        <w:t>outgoing</w:t>
      </w:r>
      <w:r w:rsidR="00F47A42">
        <w:t xml:space="preserve"> transition collection features.</w:t>
      </w:r>
    </w:p>
    <w:p w:rsidR="005C41B7" w:rsidRDefault="005C41B7" w:rsidP="005C41B7">
      <w:r>
        <w:t xml:space="preserve">But, even this is not enough. Note that the redefinition mechanism for regions and states </w:t>
      </w:r>
      <w:r w:rsidR="00F47A42">
        <w:t xml:space="preserve">shown in </w:t>
      </w:r>
      <w:r w:rsidR="00F47A42">
        <w:fldChar w:fldCharType="begin"/>
      </w:r>
      <w:r w:rsidR="00F47A42">
        <w:instrText xml:space="preserve"> REF _Ref435514737 \r \h </w:instrText>
      </w:r>
      <w:r w:rsidR="00F47A42">
        <w:fldChar w:fldCharType="separate"/>
      </w:r>
      <w:r w:rsidR="00F47A42">
        <w:t>Figure 3</w:t>
      </w:r>
      <w:r w:rsidR="00F47A42">
        <w:fldChar w:fldCharType="end"/>
      </w:r>
      <w:r w:rsidR="00F47A42">
        <w:t xml:space="preserve"> assumes that the redefining element “inherits” all of the members of the redefin</w:t>
      </w:r>
      <w:r w:rsidR="00093C05">
        <w:t>ed element</w:t>
      </w:r>
      <w:r w:rsidR="00093C05">
        <w:rPr>
          <w:rStyle w:val="FootnoteReference"/>
        </w:rPr>
        <w:footnoteReference w:id="6"/>
      </w:r>
      <w:r w:rsidR="00F47A42">
        <w:t xml:space="preserve">. Thus, state </w:t>
      </w:r>
      <w:r w:rsidR="00E25D89" w:rsidRPr="00E25D89">
        <w:rPr>
          <w:rFonts w:asciiTheme="minorHAnsi" w:hAnsiTheme="minorHAnsi"/>
          <w:b/>
        </w:rPr>
        <w:t>Operational’</w:t>
      </w:r>
      <w:r w:rsidR="00E25D89">
        <w:t xml:space="preserve"> </w:t>
      </w:r>
      <w:r w:rsidR="00E25D89" w:rsidRPr="00093C05">
        <w:t xml:space="preserve">must inherit the </w:t>
      </w:r>
      <w:r w:rsidR="00E25D89" w:rsidRPr="00093C05">
        <w:rPr>
          <w:rFonts w:ascii="Courier New" w:hAnsi="Courier New" w:cs="Courier New"/>
          <w:b/>
        </w:rPr>
        <w:t>incoming</w:t>
      </w:r>
      <w:r w:rsidR="00E25D89" w:rsidRPr="00093C05">
        <w:t xml:space="preserve"> and </w:t>
      </w:r>
      <w:r w:rsidR="00E25D89" w:rsidRPr="00093C05">
        <w:rPr>
          <w:rFonts w:ascii="Courier New" w:hAnsi="Courier New" w:cs="Courier New"/>
          <w:b/>
        </w:rPr>
        <w:t>outgoing</w:t>
      </w:r>
      <w:r w:rsidR="00E25D89" w:rsidRPr="00093C05">
        <w:t xml:space="preserve"> transition </w:t>
      </w:r>
      <w:r w:rsidR="00E25D89" w:rsidRPr="00093C05">
        <w:t>features</w:t>
      </w:r>
      <w:r w:rsidR="00E25D89" w:rsidRPr="00093C05">
        <w:t xml:space="preserve"> </w:t>
      </w:r>
      <w:r w:rsidR="00E25D89" w:rsidRPr="00093C05">
        <w:t>of its redefined element and, in addition, merge its own incoming and outgoing transition elements into these</w:t>
      </w:r>
      <w:r w:rsidR="00E25D89">
        <w:t xml:space="preserve">. </w:t>
      </w:r>
    </w:p>
    <w:p w:rsidR="00093C05" w:rsidRDefault="00093C05" w:rsidP="005C41B7">
      <w:r>
        <w:t xml:space="preserve">One final issue remains to make this approach workable: Since transitions do not always originate or terminate on pure states, but can also do so from other kinds of vertices, it is necessary to </w:t>
      </w:r>
      <w:r w:rsidR="00495C3D">
        <w:t xml:space="preserve">make </w:t>
      </w:r>
      <w:r w:rsidR="00495C3D" w:rsidRPr="00495C3D">
        <w:rPr>
          <w:rFonts w:ascii="Courier New" w:hAnsi="Courier New" w:cs="Courier New"/>
          <w:b/>
        </w:rPr>
        <w:t>UML::Vertex</w:t>
      </w:r>
      <w:r w:rsidR="00495C3D">
        <w:t xml:space="preserve"> a redefinable element, instead of just </w:t>
      </w:r>
      <w:r w:rsidR="00495C3D" w:rsidRPr="00495C3D">
        <w:rPr>
          <w:rFonts w:ascii="Courier New" w:hAnsi="Courier New" w:cs="Courier New"/>
          <w:b/>
        </w:rPr>
        <w:t>UML::State</w:t>
      </w:r>
      <w:r w:rsidR="00495C3D">
        <w:t>.</w:t>
      </w:r>
    </w:p>
    <w:p w:rsidR="00495C3D" w:rsidRDefault="00495C3D" w:rsidP="00495C3D">
      <w:pPr>
        <w:pStyle w:val="Heading2"/>
      </w:pPr>
      <w:r>
        <w:t>Discussion</w:t>
      </w:r>
    </w:p>
    <w:p w:rsidR="00495C3D" w:rsidRDefault="00495C3D" w:rsidP="00495C3D">
      <w:r>
        <w:t xml:space="preserve">The issues with the present mechanism identified above can be resolved in a number of ways, but they all require some changes to the UML abstract syntax in the area of state machine redefinition. At the very least, the redefinition of </w:t>
      </w:r>
      <w:r w:rsidRPr="00495C3D">
        <w:rPr>
          <w:rFonts w:ascii="Courier New" w:hAnsi="Courier New" w:cs="Courier New"/>
          <w:b/>
        </w:rPr>
        <w:t>UML::State</w:t>
      </w:r>
      <w:r>
        <w:t xml:space="preserve"> has to be replaced by</w:t>
      </w:r>
      <w:r w:rsidR="00773831">
        <w:t xml:space="preserve"> making</w:t>
      </w:r>
      <w:r>
        <w:t xml:space="preserve"> </w:t>
      </w:r>
      <w:r w:rsidRPr="00495C3D">
        <w:rPr>
          <w:rFonts w:ascii="Courier New" w:hAnsi="Courier New" w:cs="Courier New"/>
          <w:b/>
        </w:rPr>
        <w:t>UML::Vertex</w:t>
      </w:r>
      <w:r w:rsidR="00773831">
        <w:t xml:space="preserve"> a redefinable element. In addition, from the viewpoint of conceptual clarity, it would probably be a good idea to specialize </w:t>
      </w:r>
      <w:r w:rsidR="00773831" w:rsidRPr="00F47A42">
        <w:rPr>
          <w:rFonts w:ascii="Courier New" w:hAnsi="Courier New" w:cs="Courier New"/>
          <w:b/>
        </w:rPr>
        <w:t>UML::</w:t>
      </w:r>
      <w:proofErr w:type="spellStart"/>
      <w:r w:rsidR="00773831" w:rsidRPr="00F47A42">
        <w:rPr>
          <w:rFonts w:ascii="Courier New" w:hAnsi="Courier New" w:cs="Courier New"/>
          <w:b/>
        </w:rPr>
        <w:t>RedefinableElement</w:t>
      </w:r>
      <w:proofErr w:type="spellEnd"/>
      <w:r w:rsidR="00773831">
        <w:t xml:space="preserve"> </w:t>
      </w:r>
      <w:r w:rsidR="00773831">
        <w:t xml:space="preserve">to account for this particular form and, possibly, to introduce a new concept to handle the notion of state machine extension (e.g., as a specialization of </w:t>
      </w:r>
      <w:r w:rsidR="00773831" w:rsidRPr="00773831">
        <w:rPr>
          <w:rFonts w:ascii="Courier New" w:hAnsi="Courier New" w:cs="Courier New"/>
          <w:b/>
        </w:rPr>
        <w:t>UML::Generalization</w:t>
      </w:r>
      <w:r w:rsidR="00773831">
        <w:t>).</w:t>
      </w:r>
      <w:r w:rsidR="00973895">
        <w:t xml:space="preserve"> Naturally, these changes should be accompanied by appropriate additions to the text of the spec.</w:t>
      </w:r>
    </w:p>
    <w:p w:rsidR="00773831" w:rsidRPr="00495C3D" w:rsidRDefault="00773831" w:rsidP="00495C3D">
      <w:r>
        <w:t xml:space="preserve">Finally, the current spec mentions (informally) a restriction on transition redefinition, which requires that a redefining transition must retain the same source state as the redefined transition, which, clearly, is not feasible since </w:t>
      </w:r>
      <w:proofErr w:type="gramStart"/>
      <w:r>
        <w:t>a</w:t>
      </w:r>
      <w:proofErr w:type="gramEnd"/>
      <w:r>
        <w:t xml:space="preserve"> transition cannot span elements that belong to two different state machines.</w:t>
      </w:r>
      <w:r w:rsidR="00973895">
        <w:t xml:space="preserve"> This text should be removed.</w:t>
      </w:r>
    </w:p>
    <w:bookmarkEnd w:id="3"/>
    <w:p w:rsidR="00F15EE1" w:rsidRDefault="00F15EE1" w:rsidP="00F15EE1">
      <w:pPr>
        <w:pStyle w:val="Heading2"/>
      </w:pPr>
      <w:r>
        <w:t>References</w:t>
      </w:r>
    </w:p>
    <w:p w:rsidR="00C0780C" w:rsidRPr="00E42AFD" w:rsidRDefault="009C1924" w:rsidP="00E42AFD">
      <w:pPr>
        <w:pStyle w:val="ListParagraph"/>
        <w:numPr>
          <w:ilvl w:val="0"/>
          <w:numId w:val="3"/>
        </w:numPr>
      </w:pPr>
      <w:bookmarkStart w:id="5" w:name="_Ref435511779"/>
      <w:r>
        <w:t xml:space="preserve">Object Management Group, </w:t>
      </w:r>
      <w:proofErr w:type="gramStart"/>
      <w:r>
        <w:t>The</w:t>
      </w:r>
      <w:proofErr w:type="gramEnd"/>
      <w:r>
        <w:t xml:space="preserve">, </w:t>
      </w:r>
      <w:r w:rsidRPr="009C1924">
        <w:rPr>
          <w:i/>
        </w:rPr>
        <w:t>OMG Unified Modeling Language (OMG UML),</w:t>
      </w:r>
      <w:r>
        <w:t xml:space="preserve"> Version 2.5, formal/2015-03-01, 2015.</w:t>
      </w:r>
      <w:bookmarkEnd w:id="5"/>
    </w:p>
    <w:sectPr w:rsidR="00C0780C" w:rsidRPr="00E42A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6D6" w:rsidRDefault="004C56D6" w:rsidP="00CD1FB7">
      <w:pPr>
        <w:spacing w:after="0"/>
      </w:pPr>
      <w:r>
        <w:separator/>
      </w:r>
    </w:p>
  </w:endnote>
  <w:endnote w:type="continuationSeparator" w:id="0">
    <w:p w:rsidR="004C56D6" w:rsidRDefault="004C56D6" w:rsidP="00CD1F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6D6" w:rsidRDefault="004C56D6" w:rsidP="00CD1FB7">
      <w:pPr>
        <w:spacing w:after="0"/>
      </w:pPr>
      <w:r>
        <w:separator/>
      </w:r>
    </w:p>
  </w:footnote>
  <w:footnote w:type="continuationSeparator" w:id="0">
    <w:p w:rsidR="004C56D6" w:rsidRDefault="004C56D6" w:rsidP="00CD1FB7">
      <w:pPr>
        <w:spacing w:after="0"/>
      </w:pPr>
      <w:r>
        <w:continuationSeparator/>
      </w:r>
    </w:p>
  </w:footnote>
  <w:footnote w:id="1">
    <w:p w:rsidR="005C41B7" w:rsidRPr="00F15789" w:rsidRDefault="005C41B7">
      <w:pPr>
        <w:pStyle w:val="FootnoteText"/>
        <w:rPr>
          <w:sz w:val="16"/>
        </w:rPr>
      </w:pPr>
      <w:r w:rsidRPr="00F15789">
        <w:rPr>
          <w:rStyle w:val="FootnoteReference"/>
          <w:sz w:val="16"/>
        </w:rPr>
        <w:footnoteRef/>
      </w:r>
      <w:r w:rsidRPr="00F15789">
        <w:rPr>
          <w:sz w:val="16"/>
        </w:rPr>
        <w:t xml:space="preserve"> Although UML does not provide an explicit notation for regions (only for region separators), for the purposes of this discussion, we have chosen to represent them explicitly using a dashed box with rounded corners, which encloses the region’s states and vertices.</w:t>
      </w:r>
    </w:p>
  </w:footnote>
  <w:footnote w:id="2">
    <w:p w:rsidR="005C41B7" w:rsidRPr="00F15789" w:rsidRDefault="005C41B7">
      <w:pPr>
        <w:pStyle w:val="FootnoteText"/>
        <w:rPr>
          <w:sz w:val="16"/>
        </w:rPr>
      </w:pPr>
      <w:r w:rsidRPr="00F15789">
        <w:rPr>
          <w:rStyle w:val="FootnoteReference"/>
          <w:sz w:val="16"/>
        </w:rPr>
        <w:footnoteRef/>
      </w:r>
      <w:r w:rsidRPr="00F15789">
        <w:rPr>
          <w:sz w:val="16"/>
        </w:rPr>
        <w:t xml:space="preserve"> This is defined by OCL operation </w:t>
      </w:r>
      <w:r w:rsidRPr="00F15789">
        <w:rPr>
          <w:rFonts w:ascii="Courier New" w:hAnsi="Courier New"/>
          <w:sz w:val="16"/>
        </w:rPr>
        <w:t>Classifier::</w:t>
      </w:r>
      <w:proofErr w:type="spellStart"/>
      <w:proofErr w:type="gramStart"/>
      <w:r w:rsidRPr="00F15789">
        <w:rPr>
          <w:rFonts w:ascii="Courier New" w:hAnsi="Courier New"/>
          <w:sz w:val="16"/>
        </w:rPr>
        <w:t>inheritableMembers</w:t>
      </w:r>
      <w:proofErr w:type="spellEnd"/>
      <w:r w:rsidRPr="00F15789">
        <w:rPr>
          <w:rFonts w:ascii="Courier New" w:hAnsi="Courier New"/>
          <w:sz w:val="16"/>
        </w:rPr>
        <w:t>(</w:t>
      </w:r>
      <w:proofErr w:type="gramEnd"/>
      <w:r w:rsidRPr="00F15789">
        <w:rPr>
          <w:rFonts w:ascii="Courier New" w:hAnsi="Courier New"/>
          <w:sz w:val="16"/>
        </w:rPr>
        <w:t xml:space="preserve">) </w:t>
      </w:r>
      <w:r w:rsidRPr="00F15789">
        <w:rPr>
          <w:sz w:val="16"/>
        </w:rPr>
        <w:t xml:space="preserve">(section 9.9.4.7 in </w:t>
      </w:r>
      <w:r w:rsidRPr="00F15789">
        <w:rPr>
          <w:sz w:val="16"/>
        </w:rPr>
        <w:fldChar w:fldCharType="begin"/>
      </w:r>
      <w:r w:rsidRPr="00F15789">
        <w:rPr>
          <w:sz w:val="16"/>
        </w:rPr>
        <w:instrText xml:space="preserve"> REF _Ref435511779 \r \h </w:instrText>
      </w:r>
      <w:r w:rsidRPr="00F15789">
        <w:rPr>
          <w:sz w:val="16"/>
        </w:rPr>
      </w:r>
      <w:r w:rsidR="00F15789" w:rsidRPr="00F15789">
        <w:rPr>
          <w:sz w:val="16"/>
        </w:rPr>
        <w:instrText xml:space="preserve"> \* MERGEFORMAT </w:instrText>
      </w:r>
      <w:r w:rsidRPr="00F15789">
        <w:rPr>
          <w:sz w:val="16"/>
        </w:rPr>
        <w:fldChar w:fldCharType="separate"/>
      </w:r>
      <w:r w:rsidRPr="00F15789">
        <w:rPr>
          <w:sz w:val="16"/>
        </w:rPr>
        <w:t>[1]</w:t>
      </w:r>
      <w:r w:rsidRPr="00F15789">
        <w:rPr>
          <w:sz w:val="16"/>
        </w:rPr>
        <w:fldChar w:fldCharType="end"/>
      </w:r>
      <w:r w:rsidRPr="00F15789">
        <w:rPr>
          <w:sz w:val="16"/>
        </w:rPr>
        <w:t>).</w:t>
      </w:r>
    </w:p>
  </w:footnote>
  <w:footnote w:id="3">
    <w:p w:rsidR="005C41B7" w:rsidRPr="00F15789" w:rsidRDefault="005C41B7">
      <w:pPr>
        <w:pStyle w:val="FootnoteText"/>
        <w:rPr>
          <w:sz w:val="16"/>
        </w:rPr>
      </w:pPr>
      <w:r w:rsidRPr="00F15789">
        <w:rPr>
          <w:rStyle w:val="FootnoteReference"/>
          <w:sz w:val="16"/>
        </w:rPr>
        <w:footnoteRef/>
      </w:r>
      <w:r w:rsidRPr="00F15789">
        <w:rPr>
          <w:sz w:val="16"/>
        </w:rPr>
        <w:t xml:space="preserve"> Although this example focuses on the case of the classifier behavior of a class (which happens to be the most interesting one from a practical viewpoint), it is possible to specialize any state machine that is a non-private member of a class.</w:t>
      </w:r>
    </w:p>
  </w:footnote>
  <w:footnote w:id="4">
    <w:p w:rsidR="005C41B7" w:rsidRPr="00A84813" w:rsidRDefault="005C41B7">
      <w:pPr>
        <w:pStyle w:val="FootnoteText"/>
        <w:rPr>
          <w:sz w:val="16"/>
        </w:rPr>
      </w:pPr>
      <w:r w:rsidRPr="00A84813">
        <w:rPr>
          <w:rStyle w:val="FootnoteReference"/>
          <w:sz w:val="16"/>
        </w:rPr>
        <w:footnoteRef/>
      </w:r>
      <w:r w:rsidRPr="00A84813">
        <w:rPr>
          <w:sz w:val="16"/>
        </w:rPr>
        <w:t xml:space="preserve"> See section 14.3.3.1 (“State Machine Extension”) of </w:t>
      </w:r>
      <w:r w:rsidRPr="00A84813">
        <w:rPr>
          <w:sz w:val="16"/>
        </w:rPr>
        <w:fldChar w:fldCharType="begin"/>
      </w:r>
      <w:r w:rsidRPr="00A84813">
        <w:rPr>
          <w:sz w:val="16"/>
        </w:rPr>
        <w:instrText xml:space="preserve"> REF _Ref435511779 \r \h </w:instrText>
      </w:r>
      <w:r w:rsidRPr="00A84813">
        <w:rPr>
          <w:sz w:val="16"/>
        </w:rPr>
      </w:r>
      <w:r w:rsidR="00A84813" w:rsidRPr="00A84813">
        <w:rPr>
          <w:sz w:val="16"/>
        </w:rPr>
        <w:instrText xml:space="preserve"> \* MERGEFORMAT </w:instrText>
      </w:r>
      <w:r w:rsidRPr="00A84813">
        <w:rPr>
          <w:sz w:val="16"/>
        </w:rPr>
        <w:fldChar w:fldCharType="separate"/>
      </w:r>
      <w:r w:rsidRPr="00A84813">
        <w:rPr>
          <w:sz w:val="16"/>
        </w:rPr>
        <w:t>[1]</w:t>
      </w:r>
      <w:r w:rsidRPr="00A84813">
        <w:rPr>
          <w:sz w:val="16"/>
        </w:rPr>
        <w:fldChar w:fldCharType="end"/>
      </w:r>
      <w:r w:rsidRPr="00A84813">
        <w:rPr>
          <w:sz w:val="16"/>
        </w:rPr>
        <w:t>.</w:t>
      </w:r>
    </w:p>
  </w:footnote>
  <w:footnote w:id="5">
    <w:p w:rsidR="005C41B7" w:rsidRPr="00867D01" w:rsidRDefault="005C41B7" w:rsidP="006101A1">
      <w:pPr>
        <w:pStyle w:val="FootnoteText"/>
        <w:rPr>
          <w:sz w:val="16"/>
        </w:rPr>
      </w:pPr>
      <w:r w:rsidRPr="00867D01">
        <w:rPr>
          <w:rStyle w:val="FootnoteReference"/>
          <w:sz w:val="16"/>
        </w:rPr>
        <w:footnoteRef/>
      </w:r>
      <w:r w:rsidRPr="00867D01">
        <w:rPr>
          <w:sz w:val="16"/>
        </w:rPr>
        <w:t xml:space="preserve"> In fairness to the authors, this capability was added rather hastily towards the end of the drafting process, as the deadline for submission was looming. As a result, there was no time to properly review this feature. </w:t>
      </w:r>
    </w:p>
  </w:footnote>
  <w:footnote w:id="6">
    <w:p w:rsidR="00093C05" w:rsidRPr="00093C05" w:rsidRDefault="00093C05">
      <w:pPr>
        <w:pStyle w:val="FootnoteText"/>
        <w:rPr>
          <w:sz w:val="16"/>
        </w:rPr>
      </w:pPr>
      <w:r w:rsidRPr="00093C05">
        <w:rPr>
          <w:rStyle w:val="FootnoteReference"/>
          <w:sz w:val="16"/>
        </w:rPr>
        <w:footnoteRef/>
      </w:r>
      <w:r w:rsidRPr="00093C05">
        <w:rPr>
          <w:sz w:val="16"/>
        </w:rPr>
        <w:t xml:space="preserve"> Clearly, none of the members of a state machine element should have private visibility, since that could lead to violations of the abstract syntax.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4638E"/>
    <w:multiLevelType w:val="hybridMultilevel"/>
    <w:tmpl w:val="3B2C8470"/>
    <w:lvl w:ilvl="0" w:tplc="D3A281AC">
      <w:start w:val="1"/>
      <w:numFmt w:val="decimal"/>
      <w:pStyle w:val="Figure"/>
      <w:lvlText w:val="Figure 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E746A"/>
    <w:multiLevelType w:val="hybridMultilevel"/>
    <w:tmpl w:val="8A660BC2"/>
    <w:lvl w:ilvl="0" w:tplc="B2ACEC1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60D03"/>
    <w:multiLevelType w:val="hybridMultilevel"/>
    <w:tmpl w:val="BD8E6A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C6CB9"/>
    <w:multiLevelType w:val="hybridMultilevel"/>
    <w:tmpl w:val="9576354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1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1A"/>
    <w:rsid w:val="00093C05"/>
    <w:rsid w:val="000D0C01"/>
    <w:rsid w:val="000D3C65"/>
    <w:rsid w:val="00116286"/>
    <w:rsid w:val="001177F5"/>
    <w:rsid w:val="001219CB"/>
    <w:rsid w:val="002419B6"/>
    <w:rsid w:val="00257E91"/>
    <w:rsid w:val="00271625"/>
    <w:rsid w:val="002D0A33"/>
    <w:rsid w:val="003338C1"/>
    <w:rsid w:val="0035599A"/>
    <w:rsid w:val="00364565"/>
    <w:rsid w:val="00383790"/>
    <w:rsid w:val="00386EBB"/>
    <w:rsid w:val="0040068C"/>
    <w:rsid w:val="0042301F"/>
    <w:rsid w:val="00434A99"/>
    <w:rsid w:val="004414FD"/>
    <w:rsid w:val="004462B4"/>
    <w:rsid w:val="00447A2B"/>
    <w:rsid w:val="00471F96"/>
    <w:rsid w:val="00495C3D"/>
    <w:rsid w:val="004C56D6"/>
    <w:rsid w:val="004D0377"/>
    <w:rsid w:val="004D149D"/>
    <w:rsid w:val="004E4D3B"/>
    <w:rsid w:val="004F6999"/>
    <w:rsid w:val="00515C42"/>
    <w:rsid w:val="00567E2B"/>
    <w:rsid w:val="005B26ED"/>
    <w:rsid w:val="005C41B7"/>
    <w:rsid w:val="005E55B4"/>
    <w:rsid w:val="006101A1"/>
    <w:rsid w:val="00734F11"/>
    <w:rsid w:val="00773831"/>
    <w:rsid w:val="00790CD7"/>
    <w:rsid w:val="007B261A"/>
    <w:rsid w:val="007D5FD9"/>
    <w:rsid w:val="007D7ED4"/>
    <w:rsid w:val="007F33CA"/>
    <w:rsid w:val="007F3432"/>
    <w:rsid w:val="00861324"/>
    <w:rsid w:val="00867D01"/>
    <w:rsid w:val="008F4F58"/>
    <w:rsid w:val="00973895"/>
    <w:rsid w:val="009867DE"/>
    <w:rsid w:val="009A68AB"/>
    <w:rsid w:val="009C1924"/>
    <w:rsid w:val="009C7128"/>
    <w:rsid w:val="009D3E17"/>
    <w:rsid w:val="009F70D9"/>
    <w:rsid w:val="00A13C17"/>
    <w:rsid w:val="00A83F49"/>
    <w:rsid w:val="00A84813"/>
    <w:rsid w:val="00B93D69"/>
    <w:rsid w:val="00BB79E4"/>
    <w:rsid w:val="00BC691D"/>
    <w:rsid w:val="00C0780C"/>
    <w:rsid w:val="00CD1FB7"/>
    <w:rsid w:val="00D1466B"/>
    <w:rsid w:val="00D83DB6"/>
    <w:rsid w:val="00D877FE"/>
    <w:rsid w:val="00E25D89"/>
    <w:rsid w:val="00E42AFD"/>
    <w:rsid w:val="00E721C9"/>
    <w:rsid w:val="00F15789"/>
    <w:rsid w:val="00F15EE1"/>
    <w:rsid w:val="00F20CE2"/>
    <w:rsid w:val="00F20EC0"/>
    <w:rsid w:val="00F47A42"/>
    <w:rsid w:val="00FD611B"/>
    <w:rsid w:val="00FF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CAEEA-68C6-4C23-8D62-3F692A90B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61A"/>
    <w:pPr>
      <w:spacing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6E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E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6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86EBB"/>
    <w:pPr>
      <w:ind w:left="720"/>
      <w:contextualSpacing/>
    </w:pPr>
  </w:style>
  <w:style w:type="paragraph" w:customStyle="1" w:styleId="Figure">
    <w:name w:val="Figure"/>
    <w:basedOn w:val="Normal"/>
    <w:next w:val="Normal"/>
    <w:qFormat/>
    <w:rsid w:val="004414FD"/>
    <w:pPr>
      <w:numPr>
        <w:numId w:val="1"/>
      </w:numPr>
      <w:jc w:val="center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D1FB7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1FB7"/>
  </w:style>
  <w:style w:type="character" w:styleId="FootnoteReference">
    <w:name w:val="footnote reference"/>
    <w:basedOn w:val="DefaultParagraphFont"/>
    <w:uiPriority w:val="99"/>
    <w:semiHidden/>
    <w:unhideWhenUsed/>
    <w:rsid w:val="00CD1F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3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094AE-A10C-4E03-BBF8-B0BC304F0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5905</TotalTime>
  <Pages>4</Pages>
  <Words>1255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</dc:creator>
  <cp:keywords/>
  <dc:description/>
  <cp:lastModifiedBy>Bran</cp:lastModifiedBy>
  <cp:revision>34</cp:revision>
  <dcterms:created xsi:type="dcterms:W3CDTF">2015-11-12T11:32:00Z</dcterms:created>
  <dcterms:modified xsi:type="dcterms:W3CDTF">2015-11-17T14:45:00Z</dcterms:modified>
</cp:coreProperties>
</file>