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56" w:rsidRPr="00E71B61" w:rsidRDefault="00413D56" w:rsidP="00413D56">
      <w:pPr>
        <w:jc w:val="center"/>
        <w:rPr>
          <w:rFonts w:ascii="Times New Roman" w:hAnsi="Times New Roman" w:cs="Times New Roman"/>
          <w:sz w:val="32"/>
        </w:rPr>
      </w:pPr>
      <w:r w:rsidRPr="00E71B61">
        <w:rPr>
          <w:rFonts w:ascii="Times New Roman" w:hAnsi="Times New Roman" w:cs="Times New Roman"/>
          <w:sz w:val="32"/>
        </w:rPr>
        <w:t>Threat &amp; Risk Information Sharing and Federation</w:t>
      </w:r>
    </w:p>
    <w:p w:rsidR="00413D56" w:rsidRPr="00E71B61" w:rsidRDefault="00413D56" w:rsidP="00413D56">
      <w:pPr>
        <w:jc w:val="center"/>
        <w:rPr>
          <w:rFonts w:ascii="Times New Roman" w:hAnsi="Times New Roman" w:cs="Times New Roman"/>
          <w:sz w:val="32"/>
        </w:rPr>
      </w:pPr>
      <w:r>
        <w:rPr>
          <w:rFonts w:ascii="Times New Roman" w:hAnsi="Times New Roman" w:cs="Times New Roman"/>
          <w:sz w:val="32"/>
        </w:rPr>
        <w:t>Attack/Defense Tree</w:t>
      </w:r>
      <w:r w:rsidRPr="00E71B61">
        <w:rPr>
          <w:rFonts w:ascii="Times New Roman" w:hAnsi="Times New Roman" w:cs="Times New Roman"/>
          <w:sz w:val="32"/>
        </w:rPr>
        <w:t xml:space="preserve"> </w:t>
      </w:r>
      <w:r>
        <w:rPr>
          <w:rFonts w:ascii="Times New Roman" w:hAnsi="Times New Roman" w:cs="Times New Roman"/>
          <w:sz w:val="32"/>
        </w:rPr>
        <w:t>Use-Case &amp; S</w:t>
      </w:r>
      <w:r w:rsidRPr="00E71B61">
        <w:rPr>
          <w:rFonts w:ascii="Times New Roman" w:hAnsi="Times New Roman" w:cs="Times New Roman"/>
          <w:sz w:val="32"/>
        </w:rPr>
        <w:t>cenario</w:t>
      </w:r>
    </w:p>
    <w:p w:rsidR="00413D56" w:rsidRDefault="00413D56" w:rsidP="00413D56">
      <w:pPr>
        <w:pStyle w:val="Heading1"/>
      </w:pPr>
      <w:r>
        <w:t>Background and context</w:t>
      </w:r>
    </w:p>
    <w:p w:rsidR="004E5D4C" w:rsidRDefault="00413D56" w:rsidP="00413D56">
      <w:r>
        <w:t>Attack and defense trees represent a proven methodology for describing</w:t>
      </w:r>
      <w:r w:rsidR="003B37C9">
        <w:t xml:space="preserve"> and </w:t>
      </w:r>
      <w:proofErr w:type="spellStart"/>
      <w:r w:rsidR="003B37C9">
        <w:t>analizing</w:t>
      </w:r>
      <w:proofErr w:type="spellEnd"/>
      <w:r>
        <w:t xml:space="preserve"> risk scenarios. We build on the “Attack-Defense Tree”</w:t>
      </w:r>
      <w:r>
        <w:rPr>
          <w:rStyle w:val="FootnoteReference"/>
        </w:rPr>
        <w:footnoteReference w:id="1"/>
      </w:r>
      <w:r>
        <w:t xml:space="preserve"> work of Patrick Schweitzer and utilize the “</w:t>
      </w:r>
      <w:r>
        <w:t>Attack–Defense Tree Methodology for Security</w:t>
      </w:r>
      <w:r>
        <w:t xml:space="preserve"> </w:t>
      </w:r>
      <w:r>
        <w:t>Assessment</w:t>
      </w:r>
      <w:r>
        <w:t>”</w:t>
      </w:r>
      <w:r>
        <w:rPr>
          <w:rStyle w:val="FootnoteReference"/>
        </w:rPr>
        <w:footnoteReference w:id="2"/>
      </w:r>
      <w:r>
        <w:t xml:space="preserve"> scenario and example by Barbara </w:t>
      </w:r>
      <w:proofErr w:type="spellStart"/>
      <w:r>
        <w:t>Kordy</w:t>
      </w:r>
      <w:proofErr w:type="spellEnd"/>
      <w:r>
        <w:t>. This work expands the concept of “attack trees” with nodes for defense.</w:t>
      </w:r>
    </w:p>
    <w:p w:rsidR="00413D56" w:rsidRDefault="00413D56" w:rsidP="00413D56">
      <w:r>
        <w:t xml:space="preserve">The example provided by Ms. </w:t>
      </w:r>
      <w:proofErr w:type="spellStart"/>
      <w:r>
        <w:t>Kordy</w:t>
      </w:r>
      <w:proofErr w:type="spellEnd"/>
      <w:r>
        <w:t xml:space="preserve"> is represented as instances of the threat/risk model. This model is then augmented with additional relationships made possible by threat/risk.</w:t>
      </w:r>
      <w:r w:rsidR="003B37C9">
        <w:t xml:space="preserve"> This shows that the threat/risk model provides a basis for representing attack/defense trees in context.</w:t>
      </w:r>
    </w:p>
    <w:p w:rsidR="00413D56" w:rsidRDefault="00413D56" w:rsidP="00413D56">
      <w:pPr>
        <w:pStyle w:val="Heading1"/>
      </w:pPr>
      <w:r>
        <w:lastRenderedPageBreak/>
        <w:t>Reference Example</w:t>
      </w:r>
    </w:p>
    <w:p w:rsidR="00413D56" w:rsidRDefault="00413D56" w:rsidP="00413D56">
      <w:pPr>
        <w:keepNext/>
      </w:pPr>
      <w:r>
        <w:rPr>
          <w:noProof/>
        </w:rPr>
        <w:drawing>
          <wp:inline distT="0" distB="0" distL="0" distR="0" wp14:anchorId="04F37777" wp14:editId="1E59A175">
            <wp:extent cx="59436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800"/>
                    </a:xfrm>
                    <a:prstGeom prst="rect">
                      <a:avLst/>
                    </a:prstGeom>
                  </pic:spPr>
                </pic:pic>
              </a:graphicData>
            </a:graphic>
          </wp:inline>
        </w:drawing>
      </w:r>
    </w:p>
    <w:p w:rsidR="00413D56" w:rsidRDefault="00413D56" w:rsidP="00413D56">
      <w:pPr>
        <w:pStyle w:val="Caption"/>
      </w:pPr>
      <w:r>
        <w:t xml:space="preserve">Figure </w:t>
      </w:r>
      <w:r>
        <w:fldChar w:fldCharType="begin"/>
      </w:r>
      <w:r>
        <w:instrText xml:space="preserve"> SEQ Figure \* ARABIC </w:instrText>
      </w:r>
      <w:r>
        <w:fldChar w:fldCharType="separate"/>
      </w:r>
      <w:r w:rsidR="00C17BB9">
        <w:rPr>
          <w:noProof/>
        </w:rPr>
        <w:t>1</w:t>
      </w:r>
      <w:r>
        <w:fldChar w:fldCharType="end"/>
      </w:r>
      <w:r>
        <w:t>Reference Example - bank account attack/defense tree</w:t>
      </w:r>
    </w:p>
    <w:p w:rsidR="00413D56" w:rsidRDefault="00413D56" w:rsidP="00413D56">
      <w:r>
        <w:t>The above example shows the paths of attach and defense for a bank account via on-line and ATM access. Readers are directed to the referenced document for detail.</w:t>
      </w:r>
    </w:p>
    <w:p w:rsidR="00DA04F2" w:rsidRDefault="00DA04F2" w:rsidP="00413D56">
      <w:pPr>
        <w:pStyle w:val="Heading1"/>
      </w:pPr>
      <w:r>
        <w:lastRenderedPageBreak/>
        <w:t>Threat/risk scenarios</w:t>
      </w:r>
    </w:p>
    <w:p w:rsidR="00DA04F2" w:rsidRDefault="00DA04F2" w:rsidP="00DA04F2">
      <w:pPr>
        <w:keepNext/>
      </w:pPr>
      <w:r>
        <w:rPr>
          <w:noProof/>
        </w:rPr>
        <w:drawing>
          <wp:inline distT="0" distB="0" distL="0" distR="0" wp14:anchorId="6828A654" wp14:editId="05DF2486">
            <wp:extent cx="5943600" cy="368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5540"/>
                    </a:xfrm>
                    <a:prstGeom prst="rect">
                      <a:avLst/>
                    </a:prstGeom>
                  </pic:spPr>
                </pic:pic>
              </a:graphicData>
            </a:graphic>
          </wp:inline>
        </w:drawing>
      </w:r>
    </w:p>
    <w:p w:rsidR="00DA04F2" w:rsidRDefault="00DA04F2" w:rsidP="00DA04F2">
      <w:pPr>
        <w:pStyle w:val="Caption"/>
      </w:pPr>
      <w:r>
        <w:t xml:space="preserve">Figure </w:t>
      </w:r>
      <w:r>
        <w:fldChar w:fldCharType="begin"/>
      </w:r>
      <w:r>
        <w:instrText xml:space="preserve"> SEQ Figure \* ARABIC </w:instrText>
      </w:r>
      <w:r>
        <w:fldChar w:fldCharType="separate"/>
      </w:r>
      <w:r w:rsidR="00C17BB9">
        <w:rPr>
          <w:noProof/>
        </w:rPr>
        <w:t>2</w:t>
      </w:r>
      <w:r>
        <w:fldChar w:fldCharType="end"/>
      </w:r>
      <w:r>
        <w:t>Scenario package of the threat/risk model</w:t>
      </w:r>
    </w:p>
    <w:p w:rsidR="00DA04F2" w:rsidRPr="00DA04F2" w:rsidRDefault="00DA04F2" w:rsidP="00DA04F2">
      <w:r>
        <w:t>The above diagram shows the “scenario” modeling package of the threat/risk model. Each “node” in an attack, defense or fault tree is a “Scenario Step” –those steps may be categorized as a goal state, disruptive or defensive. Enablement, cause &amp; effect and negation relationships provide for the refinement of those steps.</w:t>
      </w:r>
    </w:p>
    <w:p w:rsidR="00413D56" w:rsidRDefault="00DA04F2" w:rsidP="00413D56">
      <w:pPr>
        <w:pStyle w:val="Heading1"/>
      </w:pPr>
      <w:r>
        <w:lastRenderedPageBreak/>
        <w:t>Threat/risk model instances</w:t>
      </w:r>
    </w:p>
    <w:p w:rsidR="00DA04F2" w:rsidRDefault="00DA04F2" w:rsidP="00DA04F2">
      <w:pPr>
        <w:keepNext/>
      </w:pPr>
      <w:r>
        <w:rPr>
          <w:noProof/>
        </w:rPr>
        <w:drawing>
          <wp:inline distT="0" distB="0" distL="0" distR="0" wp14:anchorId="1B71CF78" wp14:editId="1EAFE875">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3120"/>
                    </a:xfrm>
                    <a:prstGeom prst="rect">
                      <a:avLst/>
                    </a:prstGeom>
                  </pic:spPr>
                </pic:pic>
              </a:graphicData>
            </a:graphic>
          </wp:inline>
        </w:drawing>
      </w:r>
    </w:p>
    <w:p w:rsidR="00DA04F2" w:rsidRDefault="00DA04F2" w:rsidP="00DA04F2">
      <w:pPr>
        <w:pStyle w:val="Caption"/>
      </w:pPr>
      <w:r>
        <w:t xml:space="preserve">Figure </w:t>
      </w:r>
      <w:r>
        <w:fldChar w:fldCharType="begin"/>
      </w:r>
      <w:r>
        <w:instrText xml:space="preserve"> SEQ Figure \* ARABIC </w:instrText>
      </w:r>
      <w:r>
        <w:fldChar w:fldCharType="separate"/>
      </w:r>
      <w:r w:rsidR="00C17BB9">
        <w:rPr>
          <w:noProof/>
        </w:rPr>
        <w:t>3</w:t>
      </w:r>
      <w:r>
        <w:fldChar w:fldCharType="end"/>
      </w:r>
      <w:r>
        <w:t>Example as instances of a threat/risk model scenario</w:t>
      </w:r>
    </w:p>
    <w:p w:rsidR="00DA04F2" w:rsidRDefault="003B37C9" w:rsidP="00DA04F2">
      <w:r>
        <w:t>The above diagram shows</w:t>
      </w:r>
      <w:r w:rsidR="00DA04F2">
        <w:t xml:space="preserve"> instances of the threat/risk model that directly correspond to the nodes and relationships of the bank example. The “refinement” lines of the example are shown as instances of an “Enablement” relationship between the nodes where each node is a kind of situation.</w:t>
      </w:r>
    </w:p>
    <w:p w:rsidR="00C17BB9" w:rsidRDefault="00C17BB9" w:rsidP="00C17BB9">
      <w:pPr>
        <w:pStyle w:val="Heading1"/>
      </w:pPr>
      <w:r>
        <w:t>Additional t</w:t>
      </w:r>
      <w:r>
        <w:t>hreat/risk model instances</w:t>
      </w:r>
    </w:p>
    <w:p w:rsidR="00C17BB9" w:rsidRDefault="00C17BB9" w:rsidP="00C17BB9">
      <w:r>
        <w:t>In addition to the relationships directly visible on an attack/defense diagram, additional information may be related to each step, including goals and stakeholders. Each step is considered part of a scenario.</w:t>
      </w:r>
    </w:p>
    <w:p w:rsidR="00C17BB9" w:rsidRDefault="00C17BB9" w:rsidP="00C17BB9">
      <w:pPr>
        <w:keepNext/>
      </w:pPr>
      <w:r>
        <w:rPr>
          <w:noProof/>
        </w:rPr>
        <w:drawing>
          <wp:inline distT="0" distB="0" distL="0" distR="0" wp14:anchorId="5FD0937C" wp14:editId="73A2E735">
            <wp:extent cx="5943600" cy="1991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1995"/>
                    </a:xfrm>
                    <a:prstGeom prst="rect">
                      <a:avLst/>
                    </a:prstGeom>
                  </pic:spPr>
                </pic:pic>
              </a:graphicData>
            </a:graphic>
          </wp:inline>
        </w:drawing>
      </w:r>
    </w:p>
    <w:p w:rsidR="00C17BB9" w:rsidRDefault="00C17BB9" w:rsidP="00C17BB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Additional scenario relationships</w:t>
      </w:r>
    </w:p>
    <w:p w:rsidR="00C17BB9" w:rsidRDefault="00C17BB9" w:rsidP="00C17BB9">
      <w:r>
        <w:lastRenderedPageBreak/>
        <w:t>The above diagram shows some of the additional relationships that would enhance the operational picture. These include the owning scenario, objectives and stakeholders. Only two of the steps are shown at this level of detail to reduce diagram complexity.</w:t>
      </w:r>
    </w:p>
    <w:p w:rsidR="00C17BB9" w:rsidRDefault="00C17BB9" w:rsidP="00C17BB9">
      <w:pPr>
        <w:pStyle w:val="Heading1"/>
      </w:pPr>
      <w:r>
        <w:t>Conclusion</w:t>
      </w:r>
    </w:p>
    <w:p w:rsidR="00C17BB9" w:rsidRPr="00C17BB9" w:rsidRDefault="00C17BB9" w:rsidP="00C17BB9">
      <w:r>
        <w:t>The above demonstrate</w:t>
      </w:r>
      <w:r w:rsidR="003B37C9">
        <w:t>s</w:t>
      </w:r>
      <w:bookmarkStart w:id="0" w:name="_GoBack"/>
      <w:bookmarkEnd w:id="0"/>
      <w:r>
        <w:t xml:space="preserve"> that the threat/risk model is able to represent attack &amp; defense trees as proposed by Schweitzer. The same scenario based capabilities may be used for other trees, such as fault trees. Integrating attack, defense and fault trees into the comprehensive threat/risk model enables better sharing, federation and analysis of complex and interrelated</w:t>
      </w:r>
      <w:r w:rsidR="008C5FA2">
        <w:t xml:space="preserve"> threat and risk information sources.</w:t>
      </w:r>
    </w:p>
    <w:p w:rsidR="00C17BB9" w:rsidRPr="00C17BB9" w:rsidRDefault="00C17BB9" w:rsidP="00C17BB9"/>
    <w:p w:rsidR="00DA04F2" w:rsidRPr="00DA04F2" w:rsidRDefault="00DA04F2" w:rsidP="00DA04F2"/>
    <w:p w:rsidR="00413D56" w:rsidRDefault="00413D56" w:rsidP="00413D56"/>
    <w:sectPr w:rsidR="00413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1D9" w:rsidRDefault="004511D9" w:rsidP="00413D56">
      <w:pPr>
        <w:spacing w:after="0"/>
      </w:pPr>
      <w:r>
        <w:separator/>
      </w:r>
    </w:p>
  </w:endnote>
  <w:endnote w:type="continuationSeparator" w:id="0">
    <w:p w:rsidR="004511D9" w:rsidRDefault="004511D9" w:rsidP="00413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1D9" w:rsidRDefault="004511D9" w:rsidP="00413D56">
      <w:pPr>
        <w:spacing w:after="0"/>
      </w:pPr>
      <w:r>
        <w:separator/>
      </w:r>
    </w:p>
  </w:footnote>
  <w:footnote w:type="continuationSeparator" w:id="0">
    <w:p w:rsidR="004511D9" w:rsidRDefault="004511D9" w:rsidP="00413D56">
      <w:pPr>
        <w:spacing w:after="0"/>
      </w:pPr>
      <w:r>
        <w:continuationSeparator/>
      </w:r>
    </w:p>
  </w:footnote>
  <w:footnote w:id="1">
    <w:p w:rsidR="00413D56" w:rsidRDefault="00413D56">
      <w:pPr>
        <w:pStyle w:val="FootnoteText"/>
      </w:pPr>
      <w:r>
        <w:rPr>
          <w:rStyle w:val="FootnoteReference"/>
        </w:rPr>
        <w:footnoteRef/>
      </w:r>
      <w:r>
        <w:t xml:space="preserve"> </w:t>
      </w:r>
      <w:r w:rsidRPr="00413D56">
        <w:t>http://satoss.uni.lu/members/phd-theses/pschweitzer13-thesis.pdf</w:t>
      </w:r>
    </w:p>
  </w:footnote>
  <w:footnote w:id="2">
    <w:p w:rsidR="00413D56" w:rsidRDefault="00413D56">
      <w:pPr>
        <w:pStyle w:val="FootnoteText"/>
      </w:pPr>
      <w:r>
        <w:rPr>
          <w:rStyle w:val="FootnoteReference"/>
        </w:rPr>
        <w:footnoteRef/>
      </w:r>
      <w:r>
        <w:t xml:space="preserve"> </w:t>
      </w:r>
      <w:r w:rsidRPr="00413D56">
        <w:t>http://satoss.uni.lu/members/barbara/papers/slides.pdf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36"/>
    <w:rsid w:val="003B37C9"/>
    <w:rsid w:val="00413D56"/>
    <w:rsid w:val="004511D9"/>
    <w:rsid w:val="004E5D4C"/>
    <w:rsid w:val="008C5FA2"/>
    <w:rsid w:val="00B84B36"/>
    <w:rsid w:val="00C17BB9"/>
    <w:rsid w:val="00DA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A3B1"/>
  <w15:chartTrackingRefBased/>
  <w15:docId w15:val="{CA91781F-1EAF-45DD-9327-F6BD565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D56"/>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413D5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56"/>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semiHidden/>
    <w:unhideWhenUsed/>
    <w:rsid w:val="00413D56"/>
    <w:pPr>
      <w:spacing w:after="0"/>
    </w:pPr>
    <w:rPr>
      <w:sz w:val="20"/>
      <w:szCs w:val="20"/>
    </w:rPr>
  </w:style>
  <w:style w:type="character" w:customStyle="1" w:styleId="FootnoteTextChar">
    <w:name w:val="Footnote Text Char"/>
    <w:basedOn w:val="DefaultParagraphFont"/>
    <w:link w:val="FootnoteText"/>
    <w:uiPriority w:val="99"/>
    <w:semiHidden/>
    <w:rsid w:val="00413D56"/>
    <w:rPr>
      <w:rFonts w:eastAsiaTheme="minorEastAsia"/>
      <w:sz w:val="20"/>
      <w:szCs w:val="20"/>
    </w:rPr>
  </w:style>
  <w:style w:type="character" w:styleId="FootnoteReference">
    <w:name w:val="footnote reference"/>
    <w:basedOn w:val="DefaultParagraphFont"/>
    <w:uiPriority w:val="99"/>
    <w:semiHidden/>
    <w:unhideWhenUsed/>
    <w:rsid w:val="00413D56"/>
    <w:rPr>
      <w:vertAlign w:val="superscript"/>
    </w:rPr>
  </w:style>
  <w:style w:type="paragraph" w:styleId="Caption">
    <w:name w:val="caption"/>
    <w:basedOn w:val="Normal"/>
    <w:next w:val="Normal"/>
    <w:uiPriority w:val="35"/>
    <w:unhideWhenUsed/>
    <w:qFormat/>
    <w:rsid w:val="00413D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D17F-0078-4BA3-8BED-EA22290E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4</cp:revision>
  <dcterms:created xsi:type="dcterms:W3CDTF">2017-03-08T17:18:00Z</dcterms:created>
  <dcterms:modified xsi:type="dcterms:W3CDTF">2017-03-08T17:42:00Z</dcterms:modified>
</cp:coreProperties>
</file>