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Nexent Product and Technical Guide</w:t>
      </w:r>
    </w:p>
    <w:p>
      <w:pPr>
        <w:pStyle w:val="Subtitle"/>
      </w:pPr>
      <w:r>
        <w:t>Deployment Usage Integration and Operations</w:t>
      </w:r>
    </w:p>
    <w:p>
      <w:r>
        <w:rPr>
          <w:color w:val="667085"/>
        </w:rPr>
        <w:t>Nexent Project Team</w:t>
      </w:r>
    </w:p>
    <w:p>
      <w:pPr>
        <w:sectPr>
          <w:headerReference w:type="default" r:id="rId9"/>
          <w:footerReference w:type="default" r:id="rId10"/>
          <w:pgSz w:w="11906" w:h="16838"/>
          <w:pgMar w:top="1191" w:right="1247" w:bottom="1134" w:left="1247" w:header="504" w:footer="504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Contents</w:t>
      </w:r>
    </w:p>
    <w:p>
      <w:r>
        <w:t>This content is replaced by Pandoc. Its presence keeps the reference document valid when opened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849A9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706"/>
            <w:vAlign w:val="center"/>
            <w:shd w:fill="1849A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6"/>
          </w:tcPr>
          <w:p>
            <w:r>
              <w:t>Getting started</w:t>
            </w:r>
          </w:p>
        </w:tc>
        <w:tc>
          <w:tcPr>
            <w:tcW w:type="dxa" w:w="4706"/>
          </w:tcPr>
          <w:p>
            <w:r>
              <w:t>Install and run Nexent</w:t>
            </w:r>
          </w:p>
        </w:tc>
      </w:tr>
    </w:tbl>
    <w:sectPr w:rsidR="00FC693F" w:rsidRPr="0006063C" w:rsidSect="00034616">
      <w:pgSz w:w="11906" w:h="16838"/>
      <w:pgMar w:top="1191" w:right="1247" w:bottom="1134" w:left="124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000000"/>
        <w:sz w:val="16"/>
      </w:rPr>
      <w:t>NEXENT PRODUCT AND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 w:eastAsia="宋体" w:cs="Times New Roman"/>
      <w:b w:val="0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8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2200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400"/>
    </w:pPr>
    <w:rPr>
      <w:rFonts w:asciiTheme="majorHAnsi" w:eastAsiaTheme="majorEastAsia" w:hAnsiTheme="majorHAnsi" w:cstheme="majorBidi" w:ascii="Times New Roman" w:hAnsi="Times New Roman" w:eastAsia="宋体" w:cs="Times New Roman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720"/>
      <w:contextualSpacing/>
    </w:pPr>
    <w:rPr>
      <w:rFonts w:ascii="Times New Roman" w:hAnsi="Times New Roman" w:eastAsia="宋体" w:cs="Times New Roman"/>
      <w:b w:val="0"/>
      <w:color w:val="172033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12" w:lineRule="auto"/>
    </w:pPr>
    <w:rPr>
      <w:rFonts w:ascii="Times New Roman" w:hAnsi="Times New Roman" w:eastAsia="宋体" w:cs="Times New Roman"/>
      <w:b w:val="0"/>
      <w:color w:val="1720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Times New Roman" w:hAnsi="Times New Roman" w:eastAsia="宋体" w:cs="Times New Roman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after="240" w:line="276" w:lineRule="auto"/>
      <w:ind w:left="0"/>
      <w:outlineLvl w:val="9"/>
    </w:pPr>
    <w:rPr>
      <w:rFonts w:ascii="Times New Roman" w:hAnsi="Times New Roman" w:eastAsia="宋体" w:cs="Times New Roman"/>
      <w:b/>
      <w:color w:val="172033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 w:cs="Times New Roman"/>
      <w:b w:val="0"/>
      <w:color w:val="172033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op w:val="single" w:sz="4" w:color="D0D5DD"/>
        <w:left w:val="single" w:sz="4" w:color="D0D5DD"/>
        <w:bottom w:val="single" w:sz="4" w:color="D0D5DD"/>
        <w:right w:val="single" w:sz="4" w:color="D0D5DD"/>
        <w:insideH w:val="single" w:sz="4" w:color="D0D5DD"/>
        <w:insideV w:val="single" w:sz="4" w:color="D0D5DD"/>
      </w:tblBorders>
      <w:tblCellMar>
        <w:top w:w="0" w:type="dxa"/>
        <w:left w:w="108" w:type="dxa"/>
        <w:bottom w:w="0" w:type="dxa"/>
        <w:right w:w="108" w:type="dxa"/>
      </w:tblCellMar>
      <w:tblCellMar>
        <w:top w:w="90" w:type="dxa"/>
        <w:left w:w="110" w:type="dxa"/>
        <w:bottom w:w="90" w:type="dxa"/>
        <w:right w:w="11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Lines/>
      <w:spacing w:before="100" w:after="140" w:line="252" w:lineRule="auto"/>
      <w:ind w:left="230" w:right="173"/>
      <w:shd w:val="clear" w:fill="F5F7FA"/>
    </w:pPr>
    <w:rPr>
      <w:rFonts w:ascii="Times New Roman" w:hAnsi="Times New Roman" w:eastAsia="宋体" w:cs="Times New Roman"/>
      <w:b w:val="0"/>
      <w:color w:val="172033"/>
      <w:sz w:val="18"/>
    </w:rPr>
  </w:style>
  <w:style w:type="character" w:customStyle="1" w:styleId="VerbatimChar">
    <w:name w:val="Verbatim Char"/>
    <w:rPr>
      <w:rFonts w:ascii="Times New Roman" w:hAnsi="Times New Roman" w:eastAsia="宋体" w:cs="Times New Roman"/>
      <w:b w:val="0"/>
      <w:color w:val="1849A9"/>
      <w:sz w:val="18"/>
    </w:rPr>
  </w:style>
  <w:style w:type="paragraph" w:customStyle="1" w:styleId="BlockText">
    <w:name w:val="Block Text"/>
    <w:pPr>
      <w:spacing w:before="100" w:after="140"/>
      <w:ind w:left="432" w:right="288"/>
    </w:pPr>
    <w:rPr>
      <w:rFonts w:ascii="Times New Roman" w:hAnsi="Times New Roman" w:eastAsia="宋体" w:cs="Times New Roman"/>
      <w:b w:val="0"/>
      <w:i/>
      <w:color w:val="667085"/>
      <w:sz w:val="20"/>
    </w:rPr>
  </w:style>
  <w:style w:type="character" w:customStyle="1" w:styleId="Hyperlink">
    <w:name w:val="Hyperlink"/>
    <w:rPr>
      <w:rFonts w:ascii="Times New Roman" w:hAnsi="Times New Roman" w:eastAsia="宋体" w:cs="Times New Roman"/>
      <w:b w:val="0"/>
      <w:color w:val="155EEF"/>
      <w:sz w:val="21"/>
      <w:u w:val="single"/>
    </w:rPr>
  </w:style>
  <w:style w:type="paragraph" w:customStyle="1" w:styleId="Author">
    <w:name w:val="Author"/>
    <w:pPr>
      <w:spacing w:after="80"/>
    </w:pPr>
    <w:rPr>
      <w:rFonts w:ascii="Times New Roman" w:hAnsi="Times New Roman" w:eastAsia="宋体" w:cs="Times New Roman"/>
      <w:b w:val="0"/>
      <w:color w:val="667085"/>
      <w:sz w:val="21"/>
    </w:rPr>
  </w:style>
  <w:style w:type="paragraph" w:customStyle="1" w:styleId="Date">
    <w:name w:val="Date"/>
    <w:pPr>
      <w:spacing w:after="120"/>
    </w:pPr>
    <w:rPr>
      <w:rFonts w:ascii="Times New Roman" w:hAnsi="Times New Roman" w:eastAsia="宋体" w:cs="Times New Roman"/>
      <w:b w:val="0"/>
      <w:color w:val="667085"/>
      <w:sz w:val="20"/>
    </w:rPr>
  </w:style>
  <w:style w:type="paragraph" w:customStyle="1" w:styleId="TOC1">
    <w:name w:val="TOC 1"/>
    <w:pPr>
      <w:spacing w:after="80" w:line="276" w:lineRule="auto"/>
      <w:ind w:left="0"/>
    </w:pPr>
    <w:rPr>
      <w:rFonts w:ascii="Times New Roman" w:hAnsi="Times New Roman" w:eastAsia="宋体" w:cs="Times New Roman"/>
      <w:b/>
      <w:color w:val="172033"/>
      <w:sz w:val="22"/>
    </w:rPr>
  </w:style>
  <w:style w:type="paragraph" w:customStyle="1" w:styleId="TOC2">
    <w:name w:val="TOC 2"/>
    <w:pPr>
      <w:spacing w:after="40" w:line="276" w:lineRule="auto"/>
      <w:ind w:left="240"/>
    </w:pPr>
    <w:rPr>
      <w:rFonts w:ascii="Times New Roman" w:hAnsi="Times New Roman" w:eastAsia="宋体" w:cs="Times New Roman"/>
      <w:b w:val="0"/>
      <w:color w:val="172033"/>
      <w:sz w:val="21"/>
    </w:rPr>
  </w:style>
  <w:style w:type="paragraph" w:customStyle="1" w:styleId="TOC3">
    <w:name w:val="TOC 3"/>
    <w:pPr>
      <w:spacing w:after="20" w:line="276" w:lineRule="auto"/>
      <w:ind w:left="480"/>
    </w:pPr>
    <w:rPr>
      <w:rFonts w:ascii="Times New Roman" w:hAnsi="Times New Roman" w:eastAsia="宋体" w:cs="Times New Roman"/>
      <w:b w:val="0"/>
      <w:color w:val="1720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Nexent Product and Technical Guide</dc:title>
  <dc:subject>Customer product and technical documentation</dc:subject>
  <dc:creator>Nexent Project Team</dc:creator>
  <cp:keywords>Nexent, product guide,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