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center"/>
      </w:pPr>
      <w:r>
        <w:rPr>
          <w:rFonts w:hint="eastAsia" w:ascii="微软雅黑" w:hAnsi="微软雅黑" w:eastAsia="微软雅黑"/>
          <w:b/>
          <w:noProof/>
          <w:color w:val="000000"/>
          <w:sz w:val="40"/>
        </w:rPr>
        <w:t>病历书写与管理基本规范（2025年版）【完整指南】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病历是医疗活动的全程记录，是诊疗、教学、科研、医保支付及法律裁定的关键凭证。为保障病历质量，提升医疗安全与管理效率，特此详述《病历书写与管理基本规范（2025年版）》的核心要点与实践指南。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一、 病历书写核心原则与通用要求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1.1 基本属性与原则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病历是医务人员在诊疗过程中形成的文字、符号、图表、影像等资料的总和，涵盖门（急）诊病历与住院病历。书写必须严格遵循</w:t>
      </w:r>
      <w:r>
        <w:rPr>
          <w:rFonts w:hint="eastAsia" w:ascii="微软雅黑" w:hAnsi="微软雅黑" w:eastAsia="微软雅黑"/>
          <w:b/>
          <w:noProof/>
          <w:color w:val="000000"/>
          <w:sz w:val="24"/>
        </w:rPr>
        <w:t>客观、真实、准确、及时、完整、规范</w:t>
      </w:r>
      <w:r>
        <w:rPr>
          <w:rFonts w:hint="eastAsia" w:ascii="微软雅黑" w:hAnsi="微软雅黑" w:eastAsia="微软雅黑"/>
          <w:noProof/>
          <w:color w:val="000000"/>
          <w:sz w:val="24"/>
        </w:rPr>
        <w:t>六项基本原则，确保诊疗记录的连续性、逻辑性和科学性。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1.2 书写人员与权限控制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门（急）诊病历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：由具备执业资格的医师，或经医疗机构授权的护理、医技人员书写。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住院病历核心部分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（如入院记录、病程记录、手术记录）：必须由注册医师书写。实习或试用期医务人员书写的病历，须经本院注册医师审阅、修改并签名确认。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电子系统权限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：电子病历系统需具备身份认证功能，确保非授权人员无法修改或调阅病历。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1.3 书写时限与时效性规定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严格的时间规定是保证病历及时性的关键。</w:t>
      </w:r>
    </w:p>
    <w:tbl>
      <w:tblPr>
        <w:tblW w:w="5000" w:type="pct"/>
      </w:tblPr>
      <w:tblGrid>
        <w:gridCol w:w="4513"/>
        <w:gridCol w:w="4513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记录类型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完成时限要求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门（急）诊记录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接诊时即时完成，时间精确到分钟。危重患者抢救记录可在抢救结束后6小时内补记。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入院记录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患者入院后24小时内完成。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首次病程记录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患者入院后8小时内完成。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日常病程记录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病危患者每日至少1次；病重患者至少每2-3日1次；病情稳定患者至少每3日1次。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手术记录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术后24小时内完成。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出院/死亡记录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患者出院/死亡后24小时内完成。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死亡病例讨论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患者死亡后1周内完成。</w:t>
            </w:r>
          </w:p>
        </w:tc>
      </w:tr>
    </w:tbl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1.4 修改与签名规范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纸质病历修改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：错字应用双线划改，保留原记录清晰，注明修改时间并签名。严禁刮、粘、涂等掩盖行为。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电子病历修改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：必须保留修改痕迹，显示修改时间及操作者信息，确保可追溯。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签名确认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：所有记录须由书写者本人签名。电子签名需合规，手写签名应清晰可辨，杜绝代签或模仿。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二、 门（急）诊病历书写细则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2.1 基本信息录入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包括患者姓名、性别、年龄、科别、就诊日期（精确至分钟）、既往就诊索引（如病历号）。首次就诊需完整填写联系方式（仅供医疗用途）及过敏史（明确标注“无”或具体过敏原）。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2.2 主诉与现病史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主诉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：简明扼要描述患者最主要症状（或体征）及持续时间，通常不超过20字。例如：“发热、咳嗽伴咽痛1天”。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现病史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：按时间顺序详细记述本次疾病的起因、发展、诊疗经过及效果。需包含：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与鉴别诊断相关的阴性症状（如“无腹泻、无胸痛”）。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院外检查结果（注明时间、机构及关键数据）。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已使用药物名称、剂量及疗效（如“口服布洛芬0.2g后体温暂降”）。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2.3 体格检查与辅助检查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体格检查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：记录阳性体征及有鉴别意义的阴性体征。体温、脉搏、呼吸、血压为必记项。示例：“咽部充血，扁桃体Ⅰ度肿大。双肺呼吸音清，未闻及干湿啰音。”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辅助检查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：记录已出结果的检查，并注明时间。拟行检查需说明项目及目的，如：“急查血常规，鉴别细菌或病毒感染”。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2.4 诊断与处置计划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诊断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：按主次顺序排列，可使用规范全称或标准缩写。未明确诊断需标注“待查”及可能方向，如：“急性上呼吸道感染？急性扁桃体炎？”。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处理措施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：分条清晰记录，包括：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药物治疗（药品名、剂量、用法、疗程）。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非药物治疗（如休息、物理降温）。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检查/复查要求（如“3日后复查血常规”）。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健康指导与随诊建议（如“多饮水，若高热不退及时复诊”）。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2.5 医师签名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由接诊医师签名。实习/试用期医师书写的病历，须经上级医师审核后双签名，格式为“上级医师/书写医师”。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三、 住院病历书写核心要点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3.1 入院记录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此为患者住院诊疗的基础文件，内容需全面。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一般项目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：涵盖人口学信息、入院时间、病史陈述者及其可靠性评价。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主诉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：同门诊要求，突出关键。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现病史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：需详细描述起病诱因、症状特点、伴随症状、诊疗经过及患者一般情况。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既往史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：系统回顾，重点记录慢性病史、手术外伤史、输血史、过敏史。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体格检查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：系统全面，按头颈、胸、腹、四肢、神经顺序，详述阳性体征及重要阴性体征。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辅助检查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：汇总入院前相关检查结果。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初步诊断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：按主次、本科优先原则排列。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3.2 病程记录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动态反映患者病情变化与诊疗过程。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首次病程记录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：提炼病例特点、进行拟诊讨论（鉴别诊断）、制定详细的诊疗计划。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日常病程记录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：记录症状体征变化、检查结果分析、治疗调整及依据、疗效评估、医患沟通内容及下一步计划。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上级医师查房记录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：重点记录上级医师对病情的分析、诊疗意见及修正诊断。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疑难病例讨论记录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：记录讨论过程、各方观点及最终结论。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交接班记录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：交班医师简述病情、诊疗、问题与计划；接班医师确认。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3.3 知情同意书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适用情形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：有创操作、手术、麻醉、特殊/高风险治疗、试验性医疗等。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核心内容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：必须包括操作目的、方法、潜在风险、替代方案、预期效果与不确定性、患方意见及签名。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3.4 手术相关记录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手术记录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：由术者或第一助手于术后24小时内完成，需详尽描述手术步骤、发现、操作及特殊情况。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术后首次病程记录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：及时记录术中概况、术后生命体征、切口引流情况及即刻处理措施。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3.5 护理记录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体温单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：准确记录生命体征、出入量等。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护理记录单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：根据护理级别记录病情观察、护理措施、效果评价及健康教育等。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四、 病历质量管理与控制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医疗机构应建立科室、质控部门、院级三级质控体系。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质控指标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：重点考核及时性（如入院记录24小时完成率≥98%）、完整性（如知情同意书签署率100%）、准确性（如诊断符合率≥90%）、规范性（如修改符合规范率100%）。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质控流程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：包含环节质控（电子系统提醒、日常检查）和终末质控（出院后抽查评分）。定期反馈缺陷，落实整改并与绩效挂钩。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五、 病历的保管、使用与隐私保护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5.1 所有权与查阅复制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病历所有权归患者或其法定代理人。患者方申请查阅、复制病历时，医疗机构应在申请后48小时内提供客观病历资料（如体温单、医嘱单、检查报告、手术记录、出院记录等）。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5.2 保管期限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纸质病历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：住院病历保存30年；门（急）诊病历保存15年。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电子病历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：需符合国家标准格式，异地备份，长期保存（≥30年），确保可持续读取。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5.3 隐私与安全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建立严格的访问权限控制，按岗授权。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病历信息仅用于医疗及相关法定用途，严禁泄露。科研使用需经匿名化处理及伦理审批。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5.4 归档与借阅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出院后3个工作日内，病历应整理、编码、归档。借阅需审批，严格限定用途和时间。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六、 电子病历系统的特殊要求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6.1 系统功能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电子病历系统需具备身份认证、时间戳、防篡改、结构化录入、系统集成等功能，并支持离线记录与联网同步。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6.2 归档与法律效力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电子病历归档需符合国家标准，元数据齐全，与纸质病历具有同等法律效力。打印版需签名确认。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 xml:space="preserve">6.3 智能质控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系统应内置质控规则进行实时提醒。鼓励应用自然语言处理（NLP）技术智能识别内容重复、逻辑矛盾等问题。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32"/>
        </w:rPr>
        <w:t xml:space="preserve">七、 监督机制与法律责任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卫生健康行政部门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：负责辖区内的监督检查，每年至少开展一次专项检查并公示结果。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医疗机构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：主要负责人为第一责任人，需定期组织培训。对质量问题依规处理，如扣减绩效、暂停执业等。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noProof/>
          <w:color w:val="000000"/>
          <w:sz w:val="24"/>
        </w:rPr>
        <w:t>医务人员</w:t>
      </w:r>
      <w:r>
        <w:rPr>
          <w:rFonts w:hint="eastAsia" w:ascii="微软雅黑" w:hAnsi="微软雅黑" w:eastAsia="微软雅黑"/>
          <w:noProof/>
          <w:color w:val="000000"/>
          <w:sz w:val="24"/>
        </w:rPr>
        <w:t>：违反规范者将视情节受到警告、处罚，直至追究法律责任。具体情形包括未及时完整书写病历、篡改伪造病历、泄露患者隐私、非授权访问等。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