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1DE35C">
      <w:pPr>
        <w:jc w:val="center"/>
        <w:rPr>
          <w:rFonts w:hint="default" w:ascii="华文中宋" w:hAnsi="华文中宋" w:eastAsia="华文中宋" w:cs="华文中宋"/>
          <w:b/>
          <w:bCs/>
          <w:sz w:val="26"/>
          <w:szCs w:val="26"/>
          <w:lang w:val="en-US" w:eastAsia="zh-CN"/>
        </w:rPr>
      </w:pPr>
      <w:bookmarkStart w:id="0" w:name="_GoBack"/>
      <w:r>
        <w:rPr>
          <w:rFonts w:hint="eastAsia" w:ascii="华文中宋" w:hAnsi="华文中宋" w:eastAsia="华文中宋" w:cs="华文中宋"/>
          <w:b/>
          <w:bCs/>
          <w:sz w:val="26"/>
          <w:szCs w:val="26"/>
        </w:rPr>
        <w:t>碘对比剂使用指南（第2版）</w:t>
      </w:r>
      <w:r>
        <w:rPr>
          <w:rFonts w:hint="eastAsia" w:ascii="华文中宋" w:hAnsi="华文中宋" w:eastAsia="华文中宋" w:cs="华文中宋"/>
          <w:b/>
          <w:bCs/>
          <w:sz w:val="26"/>
          <w:szCs w:val="26"/>
          <w:lang w:val="en-US" w:eastAsia="zh-CN"/>
        </w:rPr>
        <w:t>重点总结2026</w:t>
      </w:r>
    </w:p>
    <w:bookmarkEnd w:id="0"/>
    <w:p w14:paraId="3E4F7B98">
      <w:pPr>
        <w:rPr>
          <w:rFonts w:hint="eastAsia" w:ascii="华文中宋" w:hAnsi="华文中宋" w:eastAsia="华文中宋" w:cs="华文中宋"/>
          <w:sz w:val="26"/>
          <w:szCs w:val="26"/>
        </w:rPr>
      </w:pPr>
    </w:p>
    <w:p w14:paraId="55FD6EC8">
      <w:pPr>
        <w:rPr>
          <w:rFonts w:hint="eastAsia" w:ascii="华文中宋" w:hAnsi="华文中宋" w:eastAsia="华文中宋" w:cs="华文中宋"/>
          <w:sz w:val="26"/>
          <w:szCs w:val="26"/>
        </w:rPr>
      </w:pPr>
      <w:r>
        <w:rPr>
          <w:rFonts w:hint="eastAsia" w:ascii="华文中宋" w:hAnsi="华文中宋" w:eastAsia="华文中宋" w:cs="华文中宋"/>
          <w:sz w:val="26"/>
          <w:szCs w:val="26"/>
        </w:rPr>
        <w:t>《碘对比剂使用指南（第2版）》由中华医学会放射学分会对比剂安全使用工作组制定，是指导中国临床规范使用碘对比剂的权威文件。其核心内容总结如下：</w:t>
      </w:r>
    </w:p>
    <w:p w14:paraId="547EA991">
      <w:pPr>
        <w:rPr>
          <w:rFonts w:hint="eastAsia" w:ascii="华文中宋" w:hAnsi="华文中宋" w:eastAsia="华文中宋" w:cs="华文中宋"/>
          <w:sz w:val="26"/>
          <w:szCs w:val="26"/>
        </w:rPr>
      </w:pPr>
      <w:r>
        <w:rPr>
          <w:rFonts w:hint="eastAsia" w:ascii="华文中宋" w:hAnsi="华文中宋" w:eastAsia="华文中宋" w:cs="华文中宋"/>
          <w:sz w:val="26"/>
          <w:szCs w:val="26"/>
        </w:rPr>
        <w:t>一、碘对比剂分类与概念更新</w:t>
      </w:r>
    </w:p>
    <w:p w14:paraId="108FF2B4">
      <w:pPr>
        <w:rPr>
          <w:rFonts w:hint="eastAsia" w:ascii="华文中宋" w:hAnsi="华文中宋" w:eastAsia="华文中宋" w:cs="华文中宋"/>
          <w:sz w:val="26"/>
          <w:szCs w:val="26"/>
        </w:rPr>
      </w:pPr>
      <w:r>
        <w:rPr>
          <w:rFonts w:hint="eastAsia" w:ascii="华文中宋" w:hAnsi="华文中宋" w:eastAsia="华文中宋" w:cs="华文中宋"/>
          <w:sz w:val="26"/>
          <w:szCs w:val="26"/>
        </w:rPr>
        <w:t>1.分类：按化学结构分为离子型与非离子型、单体与二聚体；按渗透压分为高渗、次高渗和等渗对比剂。</w:t>
      </w:r>
    </w:p>
    <w:p w14:paraId="7D388716">
      <w:pPr>
        <w:rPr>
          <w:rFonts w:hint="eastAsia" w:ascii="华文中宋" w:hAnsi="华文中宋" w:eastAsia="华文中宋" w:cs="华文中宋"/>
          <w:sz w:val="26"/>
          <w:szCs w:val="26"/>
        </w:rPr>
      </w:pPr>
      <w:r>
        <w:rPr>
          <w:rFonts w:hint="eastAsia" w:ascii="华文中宋" w:hAnsi="华文中宋" w:eastAsia="华文中宋" w:cs="华文中宋"/>
          <w:sz w:val="26"/>
          <w:szCs w:val="26"/>
        </w:rPr>
        <w:t>2.重要概念更新：指南用“次高渗对比剂”概念替代了以往的“低渗对比剂”。次高渗是相对于高渗而言，其渗透压仍显著高于血浆；而等渗对比剂（如碘克沙醇）的渗透压与血浆相近。</w:t>
      </w:r>
    </w:p>
    <w:p w14:paraId="27075125">
      <w:pPr>
        <w:rPr>
          <w:rFonts w:hint="eastAsia" w:ascii="华文中宋" w:hAnsi="华文中宋" w:eastAsia="华文中宋" w:cs="华文中宋"/>
          <w:sz w:val="26"/>
          <w:szCs w:val="26"/>
        </w:rPr>
      </w:pPr>
      <w:r>
        <w:rPr>
          <w:rFonts w:hint="eastAsia" w:ascii="华文中宋" w:hAnsi="华文中宋" w:eastAsia="华文中宋" w:cs="华文中宋"/>
          <w:sz w:val="26"/>
          <w:szCs w:val="26"/>
        </w:rPr>
        <w:t>3.选择原则：推荐使用非离子型对比剂；在渗透压选择上，应尽量使用等渗或次高渗对比剂，避免使用高渗及离子型对比剂。</w:t>
      </w:r>
    </w:p>
    <w:p w14:paraId="0904CBB8">
      <w:pPr>
        <w:rPr>
          <w:rFonts w:hint="eastAsia" w:ascii="华文中宋" w:hAnsi="华文中宋" w:eastAsia="华文中宋" w:cs="华文中宋"/>
          <w:sz w:val="26"/>
          <w:szCs w:val="26"/>
        </w:rPr>
      </w:pPr>
      <w:r>
        <w:rPr>
          <w:rFonts w:hint="eastAsia" w:ascii="华文中宋" w:hAnsi="华文中宋" w:eastAsia="华文中宋" w:cs="华文中宋"/>
          <w:sz w:val="26"/>
          <w:szCs w:val="26"/>
        </w:rPr>
        <w:t>二、使用前准备</w:t>
      </w:r>
    </w:p>
    <w:p w14:paraId="20ABB303">
      <w:pPr>
        <w:rPr>
          <w:rFonts w:hint="eastAsia" w:ascii="华文中宋" w:hAnsi="华文中宋" w:eastAsia="华文中宋" w:cs="华文中宋"/>
          <w:sz w:val="26"/>
          <w:szCs w:val="26"/>
        </w:rPr>
      </w:pPr>
      <w:r>
        <w:rPr>
          <w:rFonts w:hint="eastAsia" w:ascii="华文中宋" w:hAnsi="华文中宋" w:eastAsia="华文中宋" w:cs="华文中宋"/>
          <w:sz w:val="26"/>
          <w:szCs w:val="26"/>
        </w:rPr>
        <w:t>1.过敏试验：无需常规进行碘过敏试验，除非产品说明书特别要求。</w:t>
      </w:r>
    </w:p>
    <w:p w14:paraId="0AF4EC4D">
      <w:pPr>
        <w:rPr>
          <w:rFonts w:hint="eastAsia" w:ascii="华文中宋" w:hAnsi="华文中宋" w:eastAsia="华文中宋" w:cs="华文中宋"/>
          <w:sz w:val="26"/>
          <w:szCs w:val="26"/>
        </w:rPr>
      </w:pPr>
      <w:r>
        <w:rPr>
          <w:rFonts w:hint="eastAsia" w:ascii="华文中宋" w:hAnsi="华文中宋" w:eastAsia="华文中宋" w:cs="华文中宋"/>
          <w:sz w:val="26"/>
          <w:szCs w:val="26"/>
        </w:rPr>
        <w:t>2.知情同意：必须向患者或监护人告知风险，并签署知情同意书。</w:t>
      </w:r>
    </w:p>
    <w:p w14:paraId="44131E1B">
      <w:pPr>
        <w:rPr>
          <w:rFonts w:hint="eastAsia" w:ascii="华文中宋" w:hAnsi="华文中宋" w:eastAsia="华文中宋" w:cs="华文中宋"/>
          <w:sz w:val="26"/>
          <w:szCs w:val="26"/>
        </w:rPr>
      </w:pPr>
      <w:r>
        <w:rPr>
          <w:rFonts w:hint="eastAsia" w:ascii="华文中宋" w:hAnsi="华文中宋" w:eastAsia="华文中宋" w:cs="华文中宋"/>
          <w:sz w:val="26"/>
          <w:szCs w:val="26"/>
        </w:rPr>
        <w:t>3.病史询问：重点询问有无碘对比剂中重度不良反应史、哮喘、糖尿病、肾脏疾病、肾毒性药物使用史等，并高度关注甲状腺功能亢进（甲亢）和糖尿病肾病患者。</w:t>
      </w:r>
    </w:p>
    <w:p w14:paraId="3C95C871">
      <w:pPr>
        <w:rPr>
          <w:rFonts w:hint="eastAsia" w:ascii="华文中宋" w:hAnsi="华文中宋" w:eastAsia="华文中宋" w:cs="华文中宋"/>
          <w:sz w:val="26"/>
          <w:szCs w:val="26"/>
        </w:rPr>
      </w:pPr>
      <w:r>
        <w:rPr>
          <w:rFonts w:hint="eastAsia" w:ascii="华文中宋" w:hAnsi="华文中宋" w:eastAsia="华文中宋" w:cs="华文中宋"/>
          <w:sz w:val="26"/>
          <w:szCs w:val="26"/>
        </w:rPr>
        <w:t>4.对比剂处理：存放需符合说明书要求，使用前建议加温至37℃。</w:t>
      </w:r>
    </w:p>
    <w:p w14:paraId="4683AF8D">
      <w:pPr>
        <w:rPr>
          <w:rFonts w:hint="eastAsia" w:ascii="华文中宋" w:hAnsi="华文中宋" w:eastAsia="华文中宋" w:cs="华文中宋"/>
          <w:sz w:val="26"/>
          <w:szCs w:val="26"/>
        </w:rPr>
      </w:pPr>
      <w:r>
        <w:rPr>
          <w:rFonts w:hint="eastAsia" w:ascii="华文中宋" w:hAnsi="华文中宋" w:eastAsia="华文中宋" w:cs="华文中宋"/>
          <w:sz w:val="26"/>
          <w:szCs w:val="26"/>
        </w:rPr>
        <w:t>5.水化：关键预防措施。建议在使用碘对比剂前6~12小时至使用后24小时内对患者进行水化。</w:t>
      </w:r>
    </w:p>
    <w:p w14:paraId="42781AB3">
      <w:pPr>
        <w:rPr>
          <w:rFonts w:hint="eastAsia" w:ascii="华文中宋" w:hAnsi="华文中宋" w:eastAsia="华文中宋" w:cs="华文中宋"/>
          <w:sz w:val="26"/>
          <w:szCs w:val="26"/>
        </w:rPr>
      </w:pPr>
      <w:r>
        <w:rPr>
          <w:rFonts w:hint="eastAsia" w:ascii="华文中宋" w:hAnsi="华文中宋" w:eastAsia="华文中宋" w:cs="华文中宋"/>
          <w:sz w:val="26"/>
          <w:szCs w:val="26"/>
        </w:rPr>
        <w:t>6.动脉内用药者：推荐静脉补充生理盐水或碳酸氢钠溶液，速率不少于100ml/h。</w:t>
      </w:r>
    </w:p>
    <w:p w14:paraId="0473CEFB">
      <w:pPr>
        <w:rPr>
          <w:rFonts w:hint="eastAsia" w:ascii="华文中宋" w:hAnsi="华文中宋" w:eastAsia="华文中宋" w:cs="华文中宋"/>
          <w:sz w:val="26"/>
          <w:szCs w:val="26"/>
        </w:rPr>
      </w:pPr>
      <w:r>
        <w:rPr>
          <w:rFonts w:hint="eastAsia" w:ascii="华文中宋" w:hAnsi="华文中宋" w:eastAsia="华文中宋" w:cs="华文中宋"/>
          <w:sz w:val="26"/>
          <w:szCs w:val="26"/>
        </w:rPr>
        <w:t>7.静脉内用药者：可采用口服补液（水或生理盐水，100ml/h），条件允许时建议采用与动脉内用药相同的水化方案。</w:t>
      </w:r>
    </w:p>
    <w:p w14:paraId="568B6AE7">
      <w:pPr>
        <w:rPr>
          <w:rFonts w:hint="eastAsia" w:ascii="华文中宋" w:hAnsi="华文中宋" w:eastAsia="华文中宋" w:cs="华文中宋"/>
          <w:sz w:val="26"/>
          <w:szCs w:val="26"/>
        </w:rPr>
      </w:pPr>
      <w:r>
        <w:rPr>
          <w:rFonts w:hint="eastAsia" w:ascii="华文中宋" w:hAnsi="华文中宋" w:eastAsia="华文中宋" w:cs="华文中宋"/>
          <w:sz w:val="26"/>
          <w:szCs w:val="26"/>
        </w:rPr>
        <w:t>三、使用原则与注意事项</w:t>
      </w:r>
    </w:p>
    <w:p w14:paraId="005EEC85">
      <w:pPr>
        <w:rPr>
          <w:rFonts w:hint="eastAsia" w:ascii="华文中宋" w:hAnsi="华文中宋" w:eastAsia="华文中宋" w:cs="华文中宋"/>
          <w:sz w:val="26"/>
          <w:szCs w:val="26"/>
        </w:rPr>
      </w:pPr>
      <w:r>
        <w:rPr>
          <w:rFonts w:hint="eastAsia" w:ascii="华文中宋" w:hAnsi="华文中宋" w:eastAsia="华文中宋" w:cs="华文中宋"/>
          <w:sz w:val="26"/>
          <w:szCs w:val="26"/>
        </w:rPr>
        <w:t>1.剂量与选择：使用能达到诊断目的的最小剂量。推荐最大用量公式：5ml × 体重(kg) / 基础血清肌酐(mg/dl)。</w:t>
      </w:r>
    </w:p>
    <w:p w14:paraId="222EDC8D">
      <w:pPr>
        <w:rPr>
          <w:rFonts w:hint="eastAsia" w:ascii="华文中宋" w:hAnsi="华文中宋" w:eastAsia="华文中宋" w:cs="华文中宋"/>
          <w:sz w:val="26"/>
          <w:szCs w:val="26"/>
        </w:rPr>
      </w:pPr>
      <w:r>
        <w:rPr>
          <w:rFonts w:hint="eastAsia" w:ascii="华文中宋" w:hAnsi="华文中宋" w:eastAsia="华文中宋" w:cs="华文中宋"/>
          <w:sz w:val="26"/>
          <w:szCs w:val="26"/>
        </w:rPr>
        <w:t>2.重复使用间隔：避免短时间内重复使用。如确有必要，建议两次使用间隔时间最好≥14天。72小时内重复使用是发生对比剂肾病（CIN）的独立预测因子。</w:t>
      </w:r>
    </w:p>
    <w:p w14:paraId="2E3F9CBF">
      <w:pPr>
        <w:rPr>
          <w:rFonts w:hint="eastAsia" w:ascii="华文中宋" w:hAnsi="华文中宋" w:eastAsia="华文中宋" w:cs="华文中宋"/>
          <w:sz w:val="26"/>
          <w:szCs w:val="26"/>
        </w:rPr>
      </w:pPr>
      <w:r>
        <w:rPr>
          <w:rFonts w:hint="eastAsia" w:ascii="华文中宋" w:hAnsi="华文中宋" w:eastAsia="华文中宋" w:cs="华文中宋"/>
          <w:sz w:val="26"/>
          <w:szCs w:val="26"/>
        </w:rPr>
        <w:t>3.肾功能不全者：严重肾功能不全者（如eGFR&lt;30 ml/min/1.73㎡），应尽量选用不需要含碘对比剂的替代检查方法。</w:t>
      </w:r>
    </w:p>
    <w:p w14:paraId="12A3FBB9">
      <w:pPr>
        <w:rPr>
          <w:rFonts w:hint="eastAsia" w:ascii="华文中宋" w:hAnsi="华文中宋" w:eastAsia="华文中宋" w:cs="华文中宋"/>
          <w:sz w:val="26"/>
          <w:szCs w:val="26"/>
        </w:rPr>
      </w:pPr>
      <w:r>
        <w:rPr>
          <w:rFonts w:hint="eastAsia" w:ascii="华文中宋" w:hAnsi="华文中宋" w:eastAsia="华文中宋" w:cs="华文中宋"/>
          <w:sz w:val="26"/>
          <w:szCs w:val="26"/>
        </w:rPr>
        <w:t>4.肾毒性药物：使用肾毒性药物者，需停用至少24小时后再使用碘对比剂。</w:t>
      </w:r>
    </w:p>
    <w:p w14:paraId="0DDD49BD">
      <w:pPr>
        <w:rPr>
          <w:rFonts w:hint="eastAsia" w:ascii="华文中宋" w:hAnsi="华文中宋" w:eastAsia="华文中宋" w:cs="华文中宋"/>
          <w:sz w:val="26"/>
          <w:szCs w:val="26"/>
        </w:rPr>
      </w:pPr>
      <w:r>
        <w:rPr>
          <w:rFonts w:hint="eastAsia" w:ascii="华文中宋" w:hAnsi="华文中宋" w:eastAsia="华文中宋" w:cs="华文中宋"/>
          <w:sz w:val="26"/>
          <w:szCs w:val="26"/>
        </w:rPr>
        <w:t>5.择期与急诊检查：</w:t>
      </w:r>
    </w:p>
    <w:p w14:paraId="69EEAB69">
      <w:pPr>
        <w:rPr>
          <w:rFonts w:hint="eastAsia" w:ascii="华文中宋" w:hAnsi="华文中宋" w:eastAsia="华文中宋" w:cs="华文中宋"/>
          <w:sz w:val="26"/>
          <w:szCs w:val="26"/>
        </w:rPr>
      </w:pPr>
      <w:r>
        <w:rPr>
          <w:rFonts w:hint="eastAsia" w:ascii="华文中宋" w:hAnsi="华文中宋" w:eastAsia="华文中宋" w:cs="华文中宋"/>
          <w:sz w:val="26"/>
          <w:szCs w:val="26"/>
        </w:rPr>
        <w:t>择期检查：应在检查前7天内查血清肌酐。急诊检查：危及生命时，可不进行血清肌酐检查。</w:t>
      </w:r>
    </w:p>
    <w:p w14:paraId="06547565">
      <w:pPr>
        <w:rPr>
          <w:rFonts w:hint="eastAsia" w:ascii="华文中宋" w:hAnsi="华文中宋" w:eastAsia="华文中宋" w:cs="华文中宋"/>
          <w:sz w:val="26"/>
          <w:szCs w:val="26"/>
        </w:rPr>
      </w:pPr>
      <w:r>
        <w:rPr>
          <w:rFonts w:hint="eastAsia" w:ascii="华文中宋" w:hAnsi="华文中宋" w:eastAsia="华文中宋" w:cs="华文中宋"/>
          <w:sz w:val="26"/>
          <w:szCs w:val="26"/>
        </w:rPr>
        <w:t>6.糖尿病患者：</w:t>
      </w:r>
    </w:p>
    <w:p w14:paraId="645ACC2A">
      <w:pPr>
        <w:rPr>
          <w:rFonts w:hint="eastAsia" w:ascii="华文中宋" w:hAnsi="华文中宋" w:eastAsia="华文中宋" w:cs="华文中宋"/>
          <w:sz w:val="26"/>
          <w:szCs w:val="26"/>
        </w:rPr>
      </w:pPr>
      <w:r>
        <w:rPr>
          <w:rFonts w:hint="eastAsia" w:ascii="华文中宋" w:hAnsi="华文中宋" w:eastAsia="华文中宋" w:cs="华文中宋"/>
          <w:sz w:val="26"/>
          <w:szCs w:val="26"/>
        </w:rPr>
        <w:t>尽可能择期检查。使用前48小时必须停用双胍类药物（如二甲双胍）。</w:t>
      </w:r>
    </w:p>
    <w:p w14:paraId="620574E1">
      <w:pPr>
        <w:rPr>
          <w:rFonts w:hint="eastAsia" w:ascii="华文中宋" w:hAnsi="华文中宋" w:eastAsia="华文中宋" w:cs="华文中宋"/>
          <w:sz w:val="26"/>
          <w:szCs w:val="26"/>
        </w:rPr>
      </w:pPr>
      <w:r>
        <w:rPr>
          <w:rFonts w:hint="eastAsia" w:ascii="华文中宋" w:hAnsi="华文中宋" w:eastAsia="华文中宋" w:cs="华文中宋"/>
          <w:sz w:val="26"/>
          <w:szCs w:val="26"/>
        </w:rPr>
        <w:t>使用后至少48小时且肾功能恢复正常或恢复到基线水平后才能再次使用双胍类药物。</w:t>
      </w:r>
    </w:p>
    <w:p w14:paraId="78FA8992">
      <w:pPr>
        <w:rPr>
          <w:rFonts w:hint="eastAsia" w:ascii="华文中宋" w:hAnsi="华文中宋" w:eastAsia="华文中宋" w:cs="华文中宋"/>
          <w:sz w:val="26"/>
          <w:szCs w:val="26"/>
        </w:rPr>
      </w:pPr>
      <w:r>
        <w:rPr>
          <w:rFonts w:hint="eastAsia" w:ascii="华文中宋" w:hAnsi="华文中宋" w:eastAsia="华文中宋" w:cs="华文中宋"/>
          <w:sz w:val="26"/>
          <w:szCs w:val="26"/>
        </w:rPr>
        <w:t>7.与透析的关系：使用碘对比剂后，无需针对碘对比剂进行透析；也不建议将使用对比剂与血液透析/腹膜透析时间进行关联。</w:t>
      </w:r>
    </w:p>
    <w:p w14:paraId="346FF2E6">
      <w:pPr>
        <w:rPr>
          <w:rFonts w:hint="eastAsia" w:ascii="华文中宋" w:hAnsi="华文中宋" w:eastAsia="华文中宋" w:cs="华文中宋"/>
          <w:sz w:val="26"/>
          <w:szCs w:val="26"/>
        </w:rPr>
      </w:pPr>
      <w:r>
        <w:rPr>
          <w:rFonts w:hint="eastAsia" w:ascii="华文中宋" w:hAnsi="华文中宋" w:eastAsia="华文中宋" w:cs="华文中宋"/>
          <w:sz w:val="26"/>
          <w:szCs w:val="26"/>
        </w:rPr>
        <w:t>四、主要不良反应及处理</w:t>
      </w:r>
    </w:p>
    <w:p w14:paraId="0E44CBB3">
      <w:pPr>
        <w:rPr>
          <w:rFonts w:hint="eastAsia" w:ascii="华文中宋" w:hAnsi="华文中宋" w:eastAsia="华文中宋" w:cs="华文中宋"/>
          <w:sz w:val="26"/>
          <w:szCs w:val="26"/>
        </w:rPr>
      </w:pPr>
      <w:r>
        <w:rPr>
          <w:rFonts w:hint="eastAsia" w:ascii="华文中宋" w:hAnsi="华文中宋" w:eastAsia="华文中宋" w:cs="华文中宋"/>
          <w:sz w:val="26"/>
          <w:szCs w:val="26"/>
        </w:rPr>
        <w:t>1. 对比剂肾病（CIN）</w:t>
      </w:r>
    </w:p>
    <w:p w14:paraId="1A53B25B">
      <w:pPr>
        <w:rPr>
          <w:rFonts w:hint="eastAsia" w:ascii="华文中宋" w:hAnsi="华文中宋" w:eastAsia="华文中宋" w:cs="华文中宋"/>
          <w:sz w:val="26"/>
          <w:szCs w:val="26"/>
        </w:rPr>
      </w:pPr>
      <w:r>
        <w:rPr>
          <w:rFonts w:hint="eastAsia" w:ascii="华文中宋" w:hAnsi="华文中宋" w:eastAsia="华文中宋" w:cs="华文中宋"/>
          <w:sz w:val="26"/>
          <w:szCs w:val="26"/>
        </w:rPr>
        <w:t>1.1定义：排除其他原因，血管内应用碘对比剂后2~3天内，血清肌酐升高≥44μmol/L（0.5 mg/dl）或超过基线值25%。</w:t>
      </w:r>
    </w:p>
    <w:p w14:paraId="3413791F">
      <w:pPr>
        <w:rPr>
          <w:rFonts w:hint="eastAsia" w:ascii="华文中宋" w:hAnsi="华文中宋" w:eastAsia="华文中宋" w:cs="华文中宋"/>
          <w:sz w:val="26"/>
          <w:szCs w:val="26"/>
        </w:rPr>
      </w:pPr>
      <w:r>
        <w:rPr>
          <w:rFonts w:hint="eastAsia" w:ascii="华文中宋" w:hAnsi="华文中宋" w:eastAsia="华文中宋" w:cs="华文中宋"/>
          <w:sz w:val="26"/>
          <w:szCs w:val="26"/>
        </w:rPr>
        <w:t>1.2危险因素：包括高龄（≥75岁）、原有肾功能不全、糖尿病、心力衰竭、使用肾毒性药物、脱水、大剂量使用等。</w:t>
      </w:r>
    </w:p>
    <w:p w14:paraId="3B75CA00">
      <w:pPr>
        <w:rPr>
          <w:rFonts w:hint="eastAsia" w:ascii="华文中宋" w:hAnsi="华文中宋" w:eastAsia="华文中宋" w:cs="华文中宋"/>
          <w:sz w:val="26"/>
          <w:szCs w:val="26"/>
        </w:rPr>
      </w:pPr>
      <w:r>
        <w:rPr>
          <w:rFonts w:hint="eastAsia" w:ascii="华文中宋" w:hAnsi="华文中宋" w:eastAsia="华文中宋" w:cs="华文中宋"/>
          <w:sz w:val="26"/>
          <w:szCs w:val="26"/>
        </w:rPr>
        <w:t>1.3预防：充分水化是核心预防措施。目前没有足够证据证实任何药物可以降低CIN发生率。</w:t>
      </w:r>
    </w:p>
    <w:p w14:paraId="453B358B">
      <w:pPr>
        <w:rPr>
          <w:rFonts w:hint="eastAsia" w:ascii="华文中宋" w:hAnsi="华文中宋" w:eastAsia="华文中宋" w:cs="华文中宋"/>
          <w:sz w:val="26"/>
          <w:szCs w:val="26"/>
        </w:rPr>
      </w:pPr>
      <w:r>
        <w:rPr>
          <w:rFonts w:hint="eastAsia" w:ascii="华文中宋" w:hAnsi="华文中宋" w:eastAsia="华文中宋" w:cs="华文中宋"/>
          <w:sz w:val="26"/>
          <w:szCs w:val="26"/>
        </w:rPr>
        <w:t>2. 碘对比剂血管外渗</w:t>
      </w:r>
    </w:p>
    <w:p w14:paraId="001D6278">
      <w:pPr>
        <w:rPr>
          <w:rFonts w:hint="eastAsia" w:ascii="华文中宋" w:hAnsi="华文中宋" w:eastAsia="华文中宋" w:cs="华文中宋"/>
          <w:sz w:val="26"/>
          <w:szCs w:val="26"/>
        </w:rPr>
      </w:pPr>
      <w:r>
        <w:rPr>
          <w:rFonts w:hint="eastAsia" w:ascii="华文中宋" w:hAnsi="华文中宋" w:eastAsia="华文中宋" w:cs="华文中宋"/>
          <w:sz w:val="26"/>
          <w:szCs w:val="26"/>
        </w:rPr>
        <w:t>2.1预防：选择合适的血管、细致操作、妥善固定穿刺针、与患者沟通。</w:t>
      </w:r>
    </w:p>
    <w:p w14:paraId="6977DDB6">
      <w:pPr>
        <w:rPr>
          <w:rFonts w:hint="eastAsia" w:ascii="华文中宋" w:hAnsi="华文中宋" w:eastAsia="华文中宋" w:cs="华文中宋"/>
          <w:sz w:val="26"/>
          <w:szCs w:val="26"/>
        </w:rPr>
      </w:pPr>
      <w:r>
        <w:rPr>
          <w:rFonts w:hint="eastAsia" w:ascii="华文中宋" w:hAnsi="华文中宋" w:eastAsia="华文中宋" w:cs="华文中宋"/>
          <w:sz w:val="26"/>
          <w:szCs w:val="26"/>
        </w:rPr>
        <w:t>2.2处理：</w:t>
      </w:r>
    </w:p>
    <w:p w14:paraId="277AEE38">
      <w:pPr>
        <w:rPr>
          <w:rFonts w:hint="eastAsia" w:ascii="华文中宋" w:hAnsi="华文中宋" w:eastAsia="华文中宋" w:cs="华文中宋"/>
          <w:sz w:val="26"/>
          <w:szCs w:val="26"/>
        </w:rPr>
      </w:pPr>
      <w:r>
        <w:rPr>
          <w:rFonts w:hint="eastAsia" w:ascii="华文中宋" w:hAnsi="华文中宋" w:eastAsia="华文中宋" w:cs="华文中宋"/>
          <w:sz w:val="26"/>
          <w:szCs w:val="26"/>
        </w:rPr>
        <w:t>轻度：多数无需处理，可观察或局部冷湿敷。中、重度：抬高患肢；早期使用50%硫酸镁保湿冷敷，24小时后改热敷；或外用黏多糖软膏、0.05%地塞米松湿敷；严重者可口服地塞米松。</w:t>
      </w:r>
    </w:p>
    <w:p w14:paraId="5AABBF8B">
      <w:pPr>
        <w:rPr>
          <w:rFonts w:hint="eastAsia" w:ascii="华文中宋" w:hAnsi="华文中宋" w:eastAsia="华文中宋" w:cs="华文中宋"/>
          <w:sz w:val="26"/>
          <w:szCs w:val="26"/>
        </w:rPr>
      </w:pPr>
      <w:r>
        <w:rPr>
          <w:rFonts w:hint="eastAsia" w:ascii="华文中宋" w:hAnsi="华文中宋" w:eastAsia="华文中宋" w:cs="华文中宋"/>
          <w:sz w:val="26"/>
          <w:szCs w:val="26"/>
        </w:rPr>
        <w:t>3. 全身不良反应</w:t>
      </w:r>
    </w:p>
    <w:p w14:paraId="7B7FF61D">
      <w:pPr>
        <w:rPr>
          <w:rFonts w:hint="eastAsia" w:ascii="华文中宋" w:hAnsi="华文中宋" w:eastAsia="华文中宋" w:cs="华文中宋"/>
          <w:sz w:val="26"/>
          <w:szCs w:val="26"/>
        </w:rPr>
      </w:pPr>
      <w:r>
        <w:rPr>
          <w:rFonts w:hint="eastAsia" w:ascii="华文中宋" w:hAnsi="华文中宋" w:eastAsia="华文中宋" w:cs="华文中宋"/>
          <w:sz w:val="26"/>
          <w:szCs w:val="26"/>
        </w:rPr>
        <w:t>3.1危险因素：既往中重度不良反应史、哮喘等。</w:t>
      </w:r>
    </w:p>
    <w:p w14:paraId="58CE773F">
      <w:pPr>
        <w:rPr>
          <w:rFonts w:hint="eastAsia" w:ascii="华文中宋" w:hAnsi="华文中宋" w:eastAsia="华文中宋" w:cs="华文中宋"/>
          <w:sz w:val="26"/>
          <w:szCs w:val="26"/>
        </w:rPr>
      </w:pPr>
      <w:r>
        <w:rPr>
          <w:rFonts w:hint="eastAsia" w:ascii="华文中宋" w:hAnsi="华文中宋" w:eastAsia="华文中宋" w:cs="华文中宋"/>
          <w:sz w:val="26"/>
          <w:szCs w:val="26"/>
        </w:rPr>
        <w:t>3.2预防：使用非离子型对比剂、加温至37℃、不推荐常规预防性用药、注射后需留观30分钟。</w:t>
      </w:r>
    </w:p>
    <w:p w14:paraId="0B4E6AEE">
      <w:pPr>
        <w:rPr>
          <w:rFonts w:hint="eastAsia" w:ascii="华文中宋" w:hAnsi="华文中宋" w:eastAsia="华文中宋" w:cs="华文中宋"/>
          <w:sz w:val="26"/>
          <w:szCs w:val="26"/>
        </w:rPr>
      </w:pPr>
      <w:r>
        <w:rPr>
          <w:rFonts w:hint="eastAsia" w:ascii="华文中宋" w:hAnsi="华文中宋" w:eastAsia="华文中宋" w:cs="华文中宋"/>
          <w:sz w:val="26"/>
          <w:szCs w:val="26"/>
        </w:rPr>
        <w:t>3.3抢救准备：检查室必须常备抢救车、氧气、吸痰设备、简易呼吸器及急救药品（如1:1000肾上腺素、抗组胺药、地塞米松等）。</w:t>
      </w:r>
    </w:p>
    <w:p w14:paraId="0C355602">
      <w:pPr>
        <w:rPr>
          <w:rFonts w:hint="eastAsia" w:ascii="华文中宋" w:hAnsi="华文中宋" w:eastAsia="华文中宋" w:cs="华文中宋"/>
          <w:sz w:val="26"/>
          <w:szCs w:val="26"/>
        </w:rPr>
      </w:pPr>
      <w:r>
        <w:rPr>
          <w:rFonts w:hint="eastAsia" w:ascii="华文中宋" w:hAnsi="华文中宋" w:eastAsia="华文中宋" w:cs="华文中宋"/>
          <w:sz w:val="26"/>
          <w:szCs w:val="26"/>
        </w:rPr>
        <w:t>3.4处理：根据不良反应发生时间分为急性（1小时内）、迟发性（1小时至1周内）和晚迟发性（1周后），并给予相应对症和支持治疗。</w:t>
      </w:r>
    </w:p>
    <w:p w14:paraId="456436AF">
      <w:pPr>
        <w:rPr>
          <w:rFonts w:hint="eastAsia" w:ascii="华文中宋" w:hAnsi="华文中宋" w:eastAsia="华文中宋" w:cs="华文中宋"/>
          <w:sz w:val="26"/>
          <w:szCs w:val="26"/>
        </w:rPr>
      </w:pPr>
      <w:r>
        <w:rPr>
          <w:rFonts w:hint="eastAsia" w:ascii="华文中宋" w:hAnsi="华文中宋" w:eastAsia="华文中宋" w:cs="华文中宋"/>
          <w:sz w:val="26"/>
          <w:szCs w:val="26"/>
        </w:rPr>
        <w:t>五、禁忌证与慎用情况</w:t>
      </w:r>
    </w:p>
    <w:p w14:paraId="5FEAAFA3">
      <w:pPr>
        <w:rPr>
          <w:rFonts w:hint="eastAsia" w:ascii="华文中宋" w:hAnsi="华文中宋" w:eastAsia="华文中宋" w:cs="华文中宋"/>
          <w:sz w:val="26"/>
          <w:szCs w:val="26"/>
        </w:rPr>
      </w:pPr>
      <w:r>
        <w:rPr>
          <w:rFonts w:hint="eastAsia" w:ascii="华文中宋" w:hAnsi="华文中宋" w:eastAsia="华文中宋" w:cs="华文中宋"/>
          <w:sz w:val="26"/>
          <w:szCs w:val="26"/>
        </w:rPr>
        <w:t>1.绝对禁忌证：甲状腺功能亢进尚未治愈的患者。</w:t>
      </w:r>
    </w:p>
    <w:p w14:paraId="1B4BB542">
      <w:pPr>
        <w:rPr>
          <w:rFonts w:hint="eastAsia" w:ascii="华文中宋" w:hAnsi="华文中宋" w:eastAsia="华文中宋" w:cs="华文中宋"/>
          <w:sz w:val="26"/>
          <w:szCs w:val="26"/>
        </w:rPr>
      </w:pPr>
      <w:r>
        <w:rPr>
          <w:rFonts w:hint="eastAsia" w:ascii="华文中宋" w:hAnsi="华文中宋" w:eastAsia="华文中宋" w:cs="华文中宋"/>
          <w:sz w:val="26"/>
          <w:szCs w:val="26"/>
        </w:rPr>
        <w:t>2.慎用情况：</w:t>
      </w:r>
    </w:p>
    <w:p w14:paraId="2308CE10">
      <w:pPr>
        <w:rPr>
          <w:rFonts w:hint="eastAsia" w:ascii="华文中宋" w:hAnsi="华文中宋" w:eastAsia="华文中宋" w:cs="华文中宋"/>
          <w:sz w:val="26"/>
          <w:szCs w:val="26"/>
        </w:rPr>
      </w:pPr>
      <w:r>
        <w:rPr>
          <w:rFonts w:hint="eastAsia" w:ascii="华文中宋" w:hAnsi="华文中宋" w:eastAsia="华文中宋" w:cs="华文中宋"/>
          <w:sz w:val="26"/>
          <w:szCs w:val="26"/>
        </w:rPr>
        <w:t>2.1肺及心脏疾病：如肺动脉高压、支气管哮喘、心力衰竭。</w:t>
      </w:r>
    </w:p>
    <w:p w14:paraId="6922E4F8">
      <w:pPr>
        <w:rPr>
          <w:rFonts w:hint="eastAsia" w:ascii="华文中宋" w:hAnsi="华文中宋" w:eastAsia="华文中宋" w:cs="华文中宋"/>
          <w:sz w:val="26"/>
          <w:szCs w:val="26"/>
        </w:rPr>
      </w:pPr>
      <w:r>
        <w:rPr>
          <w:rFonts w:hint="eastAsia" w:ascii="华文中宋" w:hAnsi="华文中宋" w:eastAsia="华文中宋" w:cs="华文中宋"/>
          <w:sz w:val="26"/>
          <w:szCs w:val="26"/>
        </w:rPr>
        <w:t>2.2妊娠和哺乳期妇女：孕妇可以使用，但胎儿出生后应注意其甲状腺功能；目前认为使用对比剂不影响哺乳。</w:t>
      </w:r>
    </w:p>
    <w:p w14:paraId="5A404C6B">
      <w:pPr>
        <w:rPr>
          <w:rFonts w:hint="eastAsia" w:ascii="华文中宋" w:hAnsi="华文中宋" w:eastAsia="华文中宋" w:cs="华文中宋"/>
          <w:sz w:val="26"/>
          <w:szCs w:val="26"/>
        </w:rPr>
      </w:pPr>
      <w:r>
        <w:rPr>
          <w:rFonts w:hint="eastAsia" w:ascii="华文中宋" w:hAnsi="华文中宋" w:eastAsia="华文中宋" w:cs="华文中宋"/>
          <w:sz w:val="26"/>
          <w:szCs w:val="26"/>
        </w:rPr>
        <w:t>2.3副蛋白血症（如骨髓瘤、球蛋白血症）。</w:t>
      </w:r>
    </w:p>
    <w:p w14:paraId="1EB21F21">
      <w:pPr>
        <w:rPr>
          <w:rFonts w:hint="eastAsia" w:ascii="华文中宋" w:hAnsi="华文中宋" w:eastAsia="华文中宋" w:cs="华文中宋"/>
          <w:sz w:val="26"/>
          <w:szCs w:val="26"/>
        </w:rPr>
      </w:pPr>
      <w:r>
        <w:rPr>
          <w:rFonts w:hint="eastAsia" w:ascii="华文中宋" w:hAnsi="华文中宋" w:eastAsia="华文中宋" w:cs="华文中宋"/>
          <w:sz w:val="26"/>
          <w:szCs w:val="26"/>
        </w:rPr>
        <w:t>2.4高胱氨酸尿。</w:t>
      </w:r>
    </w:p>
    <w:p w14:paraId="2383FC55">
      <w:pPr>
        <w:rPr>
          <w:rFonts w:hint="eastAsia" w:ascii="华文中宋" w:hAnsi="华文中宋" w:eastAsia="华文中宋" w:cs="华文中宋"/>
          <w:sz w:val="26"/>
          <w:szCs w:val="26"/>
        </w:rPr>
      </w:pPr>
    </w:p>
    <w:p w14:paraId="6C734D5B">
      <w:pPr>
        <w:rPr>
          <w:rFonts w:hint="eastAsia" w:ascii="华文中宋" w:hAnsi="华文中宋" w:eastAsia="华文中宋" w:cs="华文中宋"/>
          <w:sz w:val="26"/>
          <w:szCs w:val="26"/>
        </w:rPr>
      </w:pPr>
      <w:r>
        <w:rPr>
          <w:rFonts w:hint="eastAsia" w:ascii="华文中宋" w:hAnsi="华文中宋" w:eastAsia="华文中宋" w:cs="华文中宋"/>
          <w:sz w:val="26"/>
          <w:szCs w:val="26"/>
        </w:rPr>
        <w:t>核心要点总结</w:t>
      </w:r>
    </w:p>
    <w:p w14:paraId="29D85D64">
      <w:pPr>
        <w:rPr>
          <w:rFonts w:hint="eastAsia" w:ascii="华文中宋" w:hAnsi="华文中宋" w:eastAsia="华文中宋" w:cs="华文中宋"/>
          <w:sz w:val="26"/>
          <w:szCs w:val="26"/>
        </w:rPr>
      </w:pPr>
      <w:r>
        <w:rPr>
          <w:rFonts w:hint="eastAsia" w:ascii="华文中宋" w:hAnsi="华文中宋" w:eastAsia="华文中宋" w:cs="华文中宋"/>
          <w:sz w:val="26"/>
          <w:szCs w:val="26"/>
        </w:rPr>
        <w:t>该指南的核心在于建立以患者安全为中心的规范化操作流程，强调风险评估、充分水化、合理选择对比剂（非离子型、等渗/次高渗）、最小有效剂量、以及严密的监测与应急准备。它为临床医生提供了全面、具体、可操作的安全使用框架。</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B512D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2026-06-01T15:38:08Z</dcterms:created>
  <dc:creator>中信</dc:creator>
  <cp:lastModifiedBy>李桂春～拜仁医疗</cp:lastModifiedBy>
  <dcterms:modified xsi:type="dcterms:W3CDTF">2026-06-01T15:38:35Z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eyJoZGlkIjoiMzEwNTM5NzYwMDRjMzkwZTVkZjY2ODkwMGIxNGU0OTUiLCJ1c2VySWQiOiIzNTExNzkwNzUifQ==</vt:lpwstr>
  </property>
  <property fmtid="{D5CDD505-2E9C-101B-9397-08002B2CF9AE}" pid="4" name="ICV">
    <vt:lpwstr>100136EC31FA425EAF39AA5DD4EE374B_12</vt:lpwstr>
  </property>
</Properties>
</file>