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BF9" w:rsidRDefault="004C55E1">
      <w:bookmarkStart w:id="0" w:name="_GoBack"/>
      <w:bookmarkEnd w:id="0"/>
      <w:r>
        <w:rPr>
          <w:rFonts w:hint="eastAsia"/>
        </w:rPr>
        <w:t>This is the readme.txt for kinetic model of SCN8A-</w:t>
      </w:r>
      <w:r>
        <w:t>encoded channel associated with the paper.</w:t>
      </w:r>
    </w:p>
    <w:p w:rsidR="00D30E20" w:rsidRDefault="00D30E20"/>
    <w:p w:rsidR="004C55E1" w:rsidRDefault="00D30E20">
      <w:r>
        <w:rPr>
          <w:rFonts w:hint="eastAsia"/>
        </w:rPr>
        <w:t>Reference:</w:t>
      </w:r>
    </w:p>
    <w:p w:rsidR="004C55E1" w:rsidRDefault="004C55E1">
      <w:proofErr w:type="spellStart"/>
      <w:r w:rsidRPr="004C55E1">
        <w:t>Kuo</w:t>
      </w:r>
      <w:proofErr w:type="spellEnd"/>
      <w:r w:rsidRPr="004C55E1">
        <w:t xml:space="preserve"> PC, Kao ZH, Lee SW, Wu SN. Effects of </w:t>
      </w:r>
      <w:proofErr w:type="spellStart"/>
      <w:r w:rsidRPr="004C55E1">
        <w:t>sesamin</w:t>
      </w:r>
      <w:proofErr w:type="spellEnd"/>
      <w:r w:rsidRPr="004C55E1">
        <w:t xml:space="preserve">, the major </w:t>
      </w:r>
      <w:proofErr w:type="spellStart"/>
      <w:r w:rsidRPr="004C55E1">
        <w:t>furofuran</w:t>
      </w:r>
      <w:proofErr w:type="spellEnd"/>
      <w:r w:rsidRPr="004C55E1">
        <w:t xml:space="preserve"> </w:t>
      </w:r>
      <w:proofErr w:type="spellStart"/>
      <w:r w:rsidRPr="004C55E1">
        <w:t>lignan</w:t>
      </w:r>
      <w:proofErr w:type="spellEnd"/>
      <w:r w:rsidRPr="004C55E1">
        <w:t xml:space="preserve"> </w:t>
      </w:r>
      <w:proofErr w:type="spellStart"/>
      <w:r w:rsidRPr="004C55E1">
        <w:t>ofsesame</w:t>
      </w:r>
      <w:proofErr w:type="spellEnd"/>
      <w:r w:rsidRPr="004C55E1">
        <w:t xml:space="preserve"> oil, on the amplitude and gating of voltage-gated Na+ and K+ currents. Molecules 2020;25(13):3062.</w:t>
      </w:r>
    </w:p>
    <w:p w:rsidR="00D30E20" w:rsidRDefault="00D30E20"/>
    <w:p w:rsidR="004C55E1" w:rsidRDefault="004C55E1">
      <w:pPr>
        <w:rPr>
          <w:rFonts w:hint="eastAsia"/>
        </w:rPr>
      </w:pPr>
      <w:r>
        <w:rPr>
          <w:rFonts w:hint="eastAsia"/>
        </w:rPr>
        <w:t>Abstract:</w:t>
      </w:r>
    </w:p>
    <w:p w:rsidR="004C55E1" w:rsidRDefault="004C55E1">
      <w:pPr>
        <w:pBdr>
          <w:bottom w:val="single" w:sz="6" w:space="1" w:color="auto"/>
        </w:pBdr>
      </w:pPr>
      <w:proofErr w:type="spellStart"/>
      <w:r w:rsidRPr="0010266C">
        <w:t>Sesamin</w:t>
      </w:r>
      <w:proofErr w:type="spellEnd"/>
      <w:r w:rsidRPr="0010266C">
        <w:t xml:space="preserve"> (SSM) and </w:t>
      </w:r>
      <w:proofErr w:type="spellStart"/>
      <w:r w:rsidRPr="0010266C">
        <w:t>sesamolin</w:t>
      </w:r>
      <w:proofErr w:type="spellEnd"/>
      <w:r w:rsidRPr="0010266C">
        <w:t xml:space="preserve"> (</w:t>
      </w:r>
      <w:proofErr w:type="spellStart"/>
      <w:r w:rsidRPr="0010266C">
        <w:t>SesA</w:t>
      </w:r>
      <w:proofErr w:type="spellEnd"/>
      <w:r w:rsidRPr="0010266C">
        <w:t xml:space="preserve">) are the two major </w:t>
      </w:r>
      <w:proofErr w:type="spellStart"/>
      <w:r w:rsidRPr="0010266C">
        <w:t>furofuran</w:t>
      </w:r>
      <w:proofErr w:type="spellEnd"/>
      <w:r w:rsidRPr="0010266C">
        <w:t xml:space="preserve"> </w:t>
      </w:r>
      <w:proofErr w:type="spellStart"/>
      <w:r w:rsidRPr="0010266C">
        <w:t>lignans</w:t>
      </w:r>
      <w:proofErr w:type="spellEnd"/>
      <w:r w:rsidRPr="0010266C">
        <w:t xml:space="preserve"> of sesame oil and they have been previously noticed to exert various biological actions. However, their modulatory actions on different types of ionic currents in electrically excitable cells remain largely unresolved. The present experiments were undertaken to explore </w:t>
      </w:r>
      <w:r>
        <w:t xml:space="preserve">the </w:t>
      </w:r>
      <w:r w:rsidRPr="0010266C">
        <w:t xml:space="preserve">possible perturbations of SSM and </w:t>
      </w:r>
      <w:proofErr w:type="spellStart"/>
      <w:r w:rsidRPr="0010266C">
        <w:t>SesA</w:t>
      </w:r>
      <w:proofErr w:type="spellEnd"/>
      <w:r w:rsidRPr="0010266C">
        <w:t xml:space="preserve"> on different types of ionic currents, e.g., voltage-gated Na</w:t>
      </w:r>
      <w:r w:rsidRPr="0010266C">
        <w:rPr>
          <w:vertAlign w:val="superscript"/>
        </w:rPr>
        <w:t>+</w:t>
      </w:r>
      <w:r w:rsidRPr="0010266C">
        <w:t xml:space="preserve"> current</w:t>
      </w:r>
      <w:r>
        <w:t>s</w:t>
      </w:r>
      <w:r w:rsidRPr="0010266C">
        <w:t xml:space="preserve"> (</w:t>
      </w:r>
      <w:proofErr w:type="spellStart"/>
      <w:r w:rsidRPr="0010266C">
        <w:rPr>
          <w:i/>
        </w:rPr>
        <w:t>I</w:t>
      </w:r>
      <w:r w:rsidRPr="0010266C">
        <w:rPr>
          <w:vertAlign w:val="subscript"/>
        </w:rPr>
        <w:t>Na</w:t>
      </w:r>
      <w:proofErr w:type="spellEnd"/>
      <w:r w:rsidRPr="0010266C">
        <w:t xml:space="preserve">), </w:t>
      </w:r>
      <w:r w:rsidRPr="0010266C">
        <w:rPr>
          <w:i/>
        </w:rPr>
        <w:t>erg</w:t>
      </w:r>
      <w:r w:rsidRPr="0010266C">
        <w:t>-mediated K</w:t>
      </w:r>
      <w:r w:rsidRPr="0010266C">
        <w:rPr>
          <w:vertAlign w:val="superscript"/>
        </w:rPr>
        <w:t>+</w:t>
      </w:r>
      <w:r w:rsidRPr="0010266C">
        <w:t xml:space="preserve"> current</w:t>
      </w:r>
      <w:r>
        <w:t>s</w:t>
      </w:r>
      <w:r w:rsidRPr="0010266C">
        <w:t xml:space="preserve"> (</w:t>
      </w:r>
      <w:r w:rsidRPr="0010266C">
        <w:rPr>
          <w:i/>
        </w:rPr>
        <w:t>I</w:t>
      </w:r>
      <w:r w:rsidRPr="0010266C">
        <w:rPr>
          <w:vertAlign w:val="subscript"/>
        </w:rPr>
        <w:t>K(erg)</w:t>
      </w:r>
      <w:r w:rsidRPr="0010266C">
        <w:t>), M-type K</w:t>
      </w:r>
      <w:r w:rsidRPr="0010266C">
        <w:rPr>
          <w:vertAlign w:val="superscript"/>
        </w:rPr>
        <w:t>+</w:t>
      </w:r>
      <w:r w:rsidRPr="0010266C">
        <w:t xml:space="preserve"> current</w:t>
      </w:r>
      <w:r>
        <w:t>s</w:t>
      </w:r>
      <w:r w:rsidRPr="0010266C">
        <w:t xml:space="preserve"> (</w:t>
      </w:r>
      <w:r w:rsidRPr="0010266C">
        <w:rPr>
          <w:i/>
        </w:rPr>
        <w:t>I</w:t>
      </w:r>
      <w:r w:rsidRPr="0010266C">
        <w:rPr>
          <w:vertAlign w:val="subscript"/>
        </w:rPr>
        <w:t>K(M)</w:t>
      </w:r>
      <w:r w:rsidRPr="0010266C">
        <w:t>), delayed-rectifier K</w:t>
      </w:r>
      <w:r w:rsidRPr="0010266C">
        <w:rPr>
          <w:vertAlign w:val="superscript"/>
        </w:rPr>
        <w:t>+</w:t>
      </w:r>
      <w:r w:rsidRPr="0010266C">
        <w:t xml:space="preserve"> current</w:t>
      </w:r>
      <w:r>
        <w:t>s</w:t>
      </w:r>
      <w:r w:rsidRPr="0010266C">
        <w:t xml:space="preserve"> (</w:t>
      </w:r>
      <w:r w:rsidRPr="0010266C">
        <w:rPr>
          <w:i/>
        </w:rPr>
        <w:t>I</w:t>
      </w:r>
      <w:r w:rsidRPr="0010266C">
        <w:rPr>
          <w:vertAlign w:val="subscript"/>
        </w:rPr>
        <w:t>K(DR)</w:t>
      </w:r>
      <w:r w:rsidRPr="0010266C">
        <w:t>) and hyperpolarization-activated cation current</w:t>
      </w:r>
      <w:r>
        <w:t>s</w:t>
      </w:r>
      <w:r w:rsidRPr="0010266C">
        <w:t xml:space="preserve"> (</w:t>
      </w:r>
      <w:proofErr w:type="spellStart"/>
      <w:r w:rsidRPr="0010266C">
        <w:rPr>
          <w:i/>
        </w:rPr>
        <w:t>I</w:t>
      </w:r>
      <w:r w:rsidRPr="0010266C">
        <w:rPr>
          <w:vertAlign w:val="subscript"/>
        </w:rPr>
        <w:t>h</w:t>
      </w:r>
      <w:proofErr w:type="spellEnd"/>
      <w:r w:rsidRPr="0010266C">
        <w:t>) identified from pituitary tumor (GH</w:t>
      </w:r>
      <w:r w:rsidRPr="0010266C">
        <w:rPr>
          <w:vertAlign w:val="subscript"/>
        </w:rPr>
        <w:t>3</w:t>
      </w:r>
      <w:r w:rsidRPr="0010266C">
        <w:t xml:space="preserve">) cells. The exposure to SSM or </w:t>
      </w:r>
      <w:proofErr w:type="spellStart"/>
      <w:r w:rsidRPr="0010266C">
        <w:t>SesA</w:t>
      </w:r>
      <w:proofErr w:type="spellEnd"/>
      <w:r w:rsidRPr="0010266C">
        <w:t xml:space="preserve"> depress</w:t>
      </w:r>
      <w:r>
        <w:t>ed</w:t>
      </w:r>
      <w:r w:rsidRPr="0010266C">
        <w:t xml:space="preserve"> the transient and late components of </w:t>
      </w:r>
      <w:proofErr w:type="spellStart"/>
      <w:r w:rsidRPr="0010266C">
        <w:rPr>
          <w:i/>
        </w:rPr>
        <w:t>I</w:t>
      </w:r>
      <w:r w:rsidRPr="0010266C">
        <w:rPr>
          <w:vertAlign w:val="subscript"/>
        </w:rPr>
        <w:t>Na</w:t>
      </w:r>
      <w:proofErr w:type="spellEnd"/>
      <w:r w:rsidRPr="0010266C">
        <w:t xml:space="preserve"> with different potencies. The IC</w:t>
      </w:r>
      <w:r w:rsidRPr="0010266C">
        <w:rPr>
          <w:vertAlign w:val="subscript"/>
        </w:rPr>
        <w:t>50</w:t>
      </w:r>
      <w:r w:rsidRPr="0010266C">
        <w:t xml:space="preserve"> value of SSM needed to lessen </w:t>
      </w:r>
      <w:r>
        <w:t xml:space="preserve">the </w:t>
      </w:r>
      <w:r w:rsidRPr="0010266C">
        <w:t xml:space="preserve">peak or sustained </w:t>
      </w:r>
      <w:proofErr w:type="spellStart"/>
      <w:r w:rsidRPr="0010266C">
        <w:rPr>
          <w:i/>
        </w:rPr>
        <w:t>I</w:t>
      </w:r>
      <w:r w:rsidRPr="0010266C">
        <w:rPr>
          <w:vertAlign w:val="subscript"/>
        </w:rPr>
        <w:t>Na</w:t>
      </w:r>
      <w:proofErr w:type="spellEnd"/>
      <w:r w:rsidRPr="0010266C">
        <w:t xml:space="preserve"> was calculated to be 7.2 or 0.6 </w:t>
      </w:r>
      <w:proofErr w:type="spellStart"/>
      <w:r w:rsidRPr="0010266C">
        <w:t>μM</w:t>
      </w:r>
      <w:proofErr w:type="spellEnd"/>
      <w:r w:rsidRPr="0010266C">
        <w:t xml:space="preserve">, while that of </w:t>
      </w:r>
      <w:proofErr w:type="spellStart"/>
      <w:r w:rsidRPr="0010266C">
        <w:t>SesA</w:t>
      </w:r>
      <w:proofErr w:type="spellEnd"/>
      <w:r w:rsidRPr="0010266C">
        <w:t xml:space="preserve"> was 9.8 or 2.5 </w:t>
      </w:r>
      <w:proofErr w:type="spellStart"/>
      <w:r w:rsidRPr="0010266C">
        <w:t>μM</w:t>
      </w:r>
      <w:proofErr w:type="spellEnd"/>
      <w:r w:rsidRPr="0010266C">
        <w:t xml:space="preserve">, respectively. The dissociation constant of SSM-perturbed inhibition on </w:t>
      </w:r>
      <w:proofErr w:type="spellStart"/>
      <w:r w:rsidRPr="0010266C">
        <w:rPr>
          <w:i/>
        </w:rPr>
        <w:t>I</w:t>
      </w:r>
      <w:r w:rsidRPr="0010266C">
        <w:rPr>
          <w:vertAlign w:val="subscript"/>
        </w:rPr>
        <w:t>Na</w:t>
      </w:r>
      <w:proofErr w:type="spellEnd"/>
      <w:r w:rsidRPr="0010266C">
        <w:t xml:space="preserve">, based on the first-order reaction scheme, was measured to be 0.93 </w:t>
      </w:r>
      <w:proofErr w:type="spellStart"/>
      <w:r w:rsidRPr="0010266C">
        <w:t>μM</w:t>
      </w:r>
      <w:proofErr w:type="spellEnd"/>
      <w:r w:rsidRPr="0010266C">
        <w:t>, a value very similar to the IC</w:t>
      </w:r>
      <w:r w:rsidRPr="0010266C">
        <w:rPr>
          <w:vertAlign w:val="subscript"/>
        </w:rPr>
        <w:t>50</w:t>
      </w:r>
      <w:r w:rsidRPr="0010266C">
        <w:t xml:space="preserve"> for its depressant action on sustained </w:t>
      </w:r>
      <w:proofErr w:type="spellStart"/>
      <w:r w:rsidRPr="0010266C">
        <w:rPr>
          <w:i/>
        </w:rPr>
        <w:t>I</w:t>
      </w:r>
      <w:r w:rsidRPr="0010266C">
        <w:rPr>
          <w:vertAlign w:val="subscript"/>
        </w:rPr>
        <w:t>Na</w:t>
      </w:r>
      <w:proofErr w:type="spellEnd"/>
      <w:r w:rsidRPr="0010266C">
        <w:t xml:space="preserve">. The </w:t>
      </w:r>
      <w:r>
        <w:t xml:space="preserve">addition of </w:t>
      </w:r>
      <w:r w:rsidRPr="0010266C">
        <w:t xml:space="preserve">SSM was also effective at suppressing the amplitude of resurgent </w:t>
      </w:r>
      <w:proofErr w:type="spellStart"/>
      <w:r w:rsidRPr="0010266C">
        <w:rPr>
          <w:i/>
        </w:rPr>
        <w:t>I</w:t>
      </w:r>
      <w:r w:rsidRPr="0010266C">
        <w:rPr>
          <w:vertAlign w:val="subscript"/>
        </w:rPr>
        <w:t>Na</w:t>
      </w:r>
      <w:proofErr w:type="spellEnd"/>
      <w:r w:rsidRPr="0010266C">
        <w:t xml:space="preserve">. The addition of SSM could concentration-dependently inhibit the </w:t>
      </w:r>
      <w:r w:rsidRPr="0010266C">
        <w:rPr>
          <w:i/>
        </w:rPr>
        <w:t>I</w:t>
      </w:r>
      <w:r w:rsidRPr="0010266C">
        <w:rPr>
          <w:vertAlign w:val="subscript"/>
        </w:rPr>
        <w:t xml:space="preserve">K(M) </w:t>
      </w:r>
      <w:r w:rsidRPr="0010266C">
        <w:t>amplitude with an IC</w:t>
      </w:r>
      <w:r w:rsidRPr="0010266C">
        <w:rPr>
          <w:vertAlign w:val="subscript"/>
        </w:rPr>
        <w:t>50</w:t>
      </w:r>
      <w:r w:rsidRPr="0010266C">
        <w:t xml:space="preserve"> value of 4.8 </w:t>
      </w:r>
      <w:proofErr w:type="spellStart"/>
      <w:r w:rsidRPr="0010266C">
        <w:t>μM</w:t>
      </w:r>
      <w:proofErr w:type="spellEnd"/>
      <w:r w:rsidRPr="0010266C">
        <w:t xml:space="preserve">. SSM at a concentration of 30 </w:t>
      </w:r>
      <w:proofErr w:type="spellStart"/>
      <w:r w:rsidRPr="0010266C">
        <w:t>μM</w:t>
      </w:r>
      <w:proofErr w:type="spellEnd"/>
      <w:r w:rsidRPr="0010266C">
        <w:t xml:space="preserve"> could suppress the amplitude of </w:t>
      </w:r>
      <w:r w:rsidRPr="0010266C">
        <w:rPr>
          <w:i/>
        </w:rPr>
        <w:t>I</w:t>
      </w:r>
      <w:r w:rsidRPr="0010266C">
        <w:rPr>
          <w:vertAlign w:val="subscript"/>
        </w:rPr>
        <w:t>K(erg)</w:t>
      </w:r>
      <w:r w:rsidRPr="0010266C">
        <w:t xml:space="preserve">, while at 10 </w:t>
      </w:r>
      <w:proofErr w:type="spellStart"/>
      <w:r w:rsidRPr="0010266C">
        <w:t>μM</w:t>
      </w:r>
      <w:proofErr w:type="spellEnd"/>
      <w:r>
        <w:t>, it</w:t>
      </w:r>
      <w:r w:rsidRPr="0010266C">
        <w:t xml:space="preserve"> mildly decreased the </w:t>
      </w:r>
      <w:r w:rsidRPr="0010266C">
        <w:rPr>
          <w:i/>
        </w:rPr>
        <w:t>I</w:t>
      </w:r>
      <w:r w:rsidRPr="0010266C">
        <w:rPr>
          <w:vertAlign w:val="subscript"/>
        </w:rPr>
        <w:t>K(DR)</w:t>
      </w:r>
      <w:r w:rsidRPr="0010266C">
        <w:t xml:space="preserve"> amplitude. However, the addition of neither SSM (10 </w:t>
      </w:r>
      <w:proofErr w:type="spellStart"/>
      <w:r w:rsidRPr="0010266C">
        <w:t>μM</w:t>
      </w:r>
      <w:proofErr w:type="spellEnd"/>
      <w:r w:rsidRPr="0010266C">
        <w:t xml:space="preserve">) nor </w:t>
      </w:r>
      <w:proofErr w:type="spellStart"/>
      <w:r w:rsidRPr="0010266C">
        <w:t>SesA</w:t>
      </w:r>
      <w:proofErr w:type="spellEnd"/>
      <w:r w:rsidRPr="0010266C">
        <w:t xml:space="preserve"> (10 </w:t>
      </w:r>
      <w:proofErr w:type="spellStart"/>
      <w:r w:rsidRPr="0010266C">
        <w:t>μM</w:t>
      </w:r>
      <w:proofErr w:type="spellEnd"/>
      <w:r w:rsidRPr="0010266C">
        <w:t>) alter</w:t>
      </w:r>
      <w:r>
        <w:t>ed</w:t>
      </w:r>
      <w:r w:rsidRPr="0010266C">
        <w:t xml:space="preserve"> the amplitude or kinetics of </w:t>
      </w:r>
      <w:proofErr w:type="spellStart"/>
      <w:r w:rsidRPr="0010266C">
        <w:rPr>
          <w:i/>
        </w:rPr>
        <w:t>I</w:t>
      </w:r>
      <w:r w:rsidRPr="0010266C">
        <w:rPr>
          <w:vertAlign w:val="subscript"/>
        </w:rPr>
        <w:t>h</w:t>
      </w:r>
      <w:proofErr w:type="spellEnd"/>
      <w:r w:rsidRPr="0010266C">
        <w:t xml:space="preserve"> in response to long-lasting hyperpolarization. Additionally, in this study, a modified </w:t>
      </w:r>
      <w:r>
        <w:t>M</w:t>
      </w:r>
      <w:r w:rsidRPr="0010266C">
        <w:t xml:space="preserve">arkovian model designed for </w:t>
      </w:r>
      <w:r w:rsidRPr="0010266C">
        <w:rPr>
          <w:i/>
        </w:rPr>
        <w:t>SCN8A</w:t>
      </w:r>
      <w:r w:rsidRPr="0010266C">
        <w:t>-encoded (or Na</w:t>
      </w:r>
      <w:r w:rsidRPr="0010266C">
        <w:rPr>
          <w:vertAlign w:val="subscript"/>
        </w:rPr>
        <w:t>V</w:t>
      </w:r>
      <w:r w:rsidRPr="0010266C">
        <w:t>1.6) channel</w:t>
      </w:r>
      <w:r>
        <w:t>s</w:t>
      </w:r>
      <w:r w:rsidRPr="0010266C">
        <w:t xml:space="preserve"> was implemented to evaluate </w:t>
      </w:r>
      <w:r>
        <w:t xml:space="preserve">the </w:t>
      </w:r>
      <w:r w:rsidRPr="0010266C">
        <w:t xml:space="preserve">plausible modifications of SSM on the gating kinetics of </w:t>
      </w:r>
      <w:proofErr w:type="spellStart"/>
      <w:r w:rsidRPr="0010266C">
        <w:t>Na</w:t>
      </w:r>
      <w:r w:rsidRPr="0010266C">
        <w:rPr>
          <w:vertAlign w:val="subscript"/>
        </w:rPr>
        <w:t>V</w:t>
      </w:r>
      <w:proofErr w:type="spellEnd"/>
      <w:r w:rsidRPr="0010266C">
        <w:t xml:space="preserve"> channel</w:t>
      </w:r>
      <w:r>
        <w:t>s</w:t>
      </w:r>
      <w:r w:rsidRPr="0010266C">
        <w:t xml:space="preserve">. The model demonstrated herein </w:t>
      </w:r>
      <w:r>
        <w:t>was</w:t>
      </w:r>
      <w:r w:rsidRPr="0010266C">
        <w:t xml:space="preserve"> well suited to predict that </w:t>
      </w:r>
      <w:r>
        <w:t xml:space="preserve">the </w:t>
      </w:r>
      <w:r w:rsidRPr="0010266C">
        <w:t xml:space="preserve">SSM-mediated decrease </w:t>
      </w:r>
      <w:r>
        <w:t>i</w:t>
      </w:r>
      <w:r w:rsidRPr="0010266C">
        <w:t xml:space="preserve">n peak </w:t>
      </w:r>
      <w:proofErr w:type="spellStart"/>
      <w:r w:rsidRPr="0010266C">
        <w:rPr>
          <w:i/>
        </w:rPr>
        <w:t>I</w:t>
      </w:r>
      <w:r w:rsidRPr="0010266C">
        <w:rPr>
          <w:vertAlign w:val="subscript"/>
        </w:rPr>
        <w:t>Na</w:t>
      </w:r>
      <w:proofErr w:type="spellEnd"/>
      <w:r>
        <w:t>,</w:t>
      </w:r>
      <w:r w:rsidRPr="0010266C">
        <w:t xml:space="preserve"> followed by increased current inactivation</w:t>
      </w:r>
      <w:r>
        <w:t>,</w:t>
      </w:r>
      <w:r w:rsidRPr="0010266C">
        <w:t xml:space="preserve"> </w:t>
      </w:r>
      <w:r>
        <w:t xml:space="preserve">which </w:t>
      </w:r>
      <w:r w:rsidRPr="0010266C">
        <w:t xml:space="preserve">could largely account for its favorable decrease in the probability of the open-blocked over open state of </w:t>
      </w:r>
      <w:proofErr w:type="spellStart"/>
      <w:r w:rsidRPr="0010266C">
        <w:t>Na</w:t>
      </w:r>
      <w:r w:rsidRPr="0010266C">
        <w:rPr>
          <w:vertAlign w:val="subscript"/>
        </w:rPr>
        <w:t>V</w:t>
      </w:r>
      <w:proofErr w:type="spellEnd"/>
      <w:r w:rsidRPr="0010266C">
        <w:t xml:space="preserve"> channel</w:t>
      </w:r>
      <w:r>
        <w:t>s</w:t>
      </w:r>
      <w:r w:rsidRPr="0010266C">
        <w:t>. Collectively, our study provides evidence t</w:t>
      </w:r>
      <w:r>
        <w:t>hat</w:t>
      </w:r>
      <w:r w:rsidRPr="0010266C">
        <w:t xml:space="preserve"> highlight</w:t>
      </w:r>
      <w:r>
        <w:t>s</w:t>
      </w:r>
      <w:r w:rsidRPr="0010266C">
        <w:t xml:space="preserve"> the notion that SSM or </w:t>
      </w:r>
      <w:proofErr w:type="spellStart"/>
      <w:r w:rsidRPr="0010266C">
        <w:t>SesA</w:t>
      </w:r>
      <w:proofErr w:type="spellEnd"/>
      <w:r w:rsidRPr="0010266C">
        <w:t xml:space="preserve"> could block multiple ion currents</w:t>
      </w:r>
      <w:r>
        <w:t>,</w:t>
      </w:r>
      <w:r w:rsidRPr="0010266C">
        <w:t xml:space="preserve"> such as </w:t>
      </w:r>
      <w:proofErr w:type="spellStart"/>
      <w:r w:rsidRPr="0010266C">
        <w:rPr>
          <w:i/>
        </w:rPr>
        <w:t>I</w:t>
      </w:r>
      <w:r w:rsidRPr="0010266C">
        <w:rPr>
          <w:vertAlign w:val="subscript"/>
        </w:rPr>
        <w:t>Na</w:t>
      </w:r>
      <w:proofErr w:type="spellEnd"/>
      <w:r w:rsidRPr="0010266C">
        <w:t xml:space="preserve"> and </w:t>
      </w:r>
      <w:r w:rsidRPr="0010266C">
        <w:rPr>
          <w:i/>
        </w:rPr>
        <w:t>I</w:t>
      </w:r>
      <w:r w:rsidRPr="0010266C">
        <w:rPr>
          <w:vertAlign w:val="subscript"/>
        </w:rPr>
        <w:t>K(M)</w:t>
      </w:r>
      <w:r>
        <w:t>,</w:t>
      </w:r>
      <w:r w:rsidRPr="0010266C">
        <w:t xml:space="preserve"> and suggests that these actions are potentially important and may participate in the functional activities of various electrically excitable cells </w:t>
      </w:r>
      <w:r w:rsidRPr="0055096A">
        <w:t>in vivo</w:t>
      </w:r>
      <w:r w:rsidRPr="0010266C">
        <w:t>.</w:t>
      </w:r>
    </w:p>
    <w:p w:rsidR="00EB6202" w:rsidRDefault="00EB6202"/>
    <w:p w:rsidR="00EB6202" w:rsidRDefault="00EB6202">
      <w:pPr>
        <w:rPr>
          <w:rFonts w:hint="eastAsia"/>
        </w:rPr>
      </w:pPr>
      <w:r>
        <w:rPr>
          <w:rFonts w:hint="eastAsia"/>
        </w:rPr>
        <w:t>The state diagram for this Markovian model:</w:t>
      </w:r>
    </w:p>
    <w:p w:rsidR="00EB6202" w:rsidRDefault="00EB6202">
      <w:r w:rsidRPr="00E35D6C">
        <w:rPr>
          <w:noProof/>
        </w:rPr>
        <w:drawing>
          <wp:inline distT="0" distB="0" distL="0" distR="0" wp14:anchorId="372CEB40" wp14:editId="5149B530">
            <wp:extent cx="4285615" cy="972541"/>
            <wp:effectExtent l="0" t="0" r="635"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4186" b="76898"/>
                    <a:stretch/>
                  </pic:blipFill>
                  <pic:spPr bwMode="auto">
                    <a:xfrm>
                      <a:off x="0" y="0"/>
                      <a:ext cx="4290607" cy="973674"/>
                    </a:xfrm>
                    <a:prstGeom prst="rect">
                      <a:avLst/>
                    </a:prstGeom>
                    <a:noFill/>
                    <a:ln>
                      <a:noFill/>
                    </a:ln>
                    <a:extLst>
                      <a:ext uri="{53640926-AAD7-44D8-BBD7-CCE9431645EC}">
                        <a14:shadowObscured xmlns:a14="http://schemas.microsoft.com/office/drawing/2010/main"/>
                      </a:ext>
                    </a:extLst>
                  </pic:spPr>
                </pic:pic>
              </a:graphicData>
            </a:graphic>
          </wp:inline>
        </w:drawing>
      </w:r>
    </w:p>
    <w:p w:rsidR="00EB6202" w:rsidRDefault="00EB6202"/>
    <w:p w:rsidR="00EB6202" w:rsidRDefault="00D30E20">
      <w:r>
        <w:t>w</w:t>
      </w:r>
      <w:r w:rsidR="00EB6202">
        <w:rPr>
          <w:rFonts w:hint="eastAsia"/>
        </w:rPr>
        <w:t xml:space="preserve">as </w:t>
      </w:r>
      <w:r w:rsidR="00EB6202">
        <w:t>shown in Figure 9A of the paper</w:t>
      </w:r>
    </w:p>
    <w:p w:rsidR="00EB6202" w:rsidRDefault="00EB6202">
      <w:r>
        <w:rPr>
          <w:rFonts w:hint="eastAsia"/>
        </w:rPr>
        <w:t>------------------------------------------------------------------------------------------</w:t>
      </w:r>
    </w:p>
    <w:p w:rsidR="00D30E20" w:rsidRDefault="00D30E20"/>
    <w:p w:rsidR="00BC0C3C" w:rsidRDefault="00BC0C3C">
      <w:r>
        <w:t>To run the model:</w:t>
      </w:r>
    </w:p>
    <w:p w:rsidR="00BC0C3C" w:rsidRDefault="00BC0C3C">
      <w:r>
        <w:t>XPP: start with the command</w:t>
      </w:r>
    </w:p>
    <w:p w:rsidR="00BC0C3C" w:rsidRDefault="00BC0C3C"/>
    <w:p w:rsidR="00BC0C3C" w:rsidRDefault="00BC0C3C">
      <w:pPr>
        <w:rPr>
          <w:rFonts w:hint="eastAsia"/>
        </w:rPr>
      </w:pPr>
      <w:proofErr w:type="spellStart"/>
      <w:r>
        <w:t>x</w:t>
      </w:r>
      <w:r>
        <w:rPr>
          <w:rFonts w:hint="eastAsia"/>
        </w:rPr>
        <w:t>pp</w:t>
      </w:r>
      <w:proofErr w:type="spellEnd"/>
      <w:r>
        <w:rPr>
          <w:rFonts w:hint="eastAsia"/>
        </w:rPr>
        <w:t xml:space="preserve"> </w:t>
      </w:r>
      <w:r>
        <w:t>ode\</w:t>
      </w:r>
      <w:r>
        <w:rPr>
          <w:rFonts w:hint="eastAsia"/>
        </w:rPr>
        <w:t>RB-I</w:t>
      </w:r>
      <w:r>
        <w:t>n</w:t>
      </w:r>
      <w:r>
        <w:rPr>
          <w:rFonts w:hint="eastAsia"/>
        </w:rPr>
        <w:t>a-</w:t>
      </w:r>
      <w:proofErr w:type="spellStart"/>
      <w:r>
        <w:t>Molecules.ode</w:t>
      </w:r>
      <w:proofErr w:type="spellEnd"/>
    </w:p>
    <w:p w:rsidR="004C55E1" w:rsidRDefault="004C55E1"/>
    <w:p w:rsidR="00BC0C3C" w:rsidRDefault="00BC0C3C">
      <w:r>
        <w:t>For a simple run:</w:t>
      </w:r>
    </w:p>
    <w:p w:rsidR="00BC0C3C" w:rsidRDefault="00BC0C3C">
      <w:r>
        <w:t xml:space="preserve">Mouse click on </w:t>
      </w:r>
      <w:proofErr w:type="spellStart"/>
      <w:r>
        <w:t>Initialconds</w:t>
      </w:r>
      <w:proofErr w:type="spellEnd"/>
      <w:r>
        <w:t>, and then (G)o.</w:t>
      </w:r>
    </w:p>
    <w:p w:rsidR="00E645C4" w:rsidRDefault="00E645C4"/>
    <w:p w:rsidR="00E645C4" w:rsidRPr="00BC0C3C" w:rsidRDefault="00E645C4">
      <w:pPr>
        <w:rPr>
          <w:rFonts w:hint="eastAsia"/>
        </w:rPr>
      </w:pPr>
      <w:r>
        <w:t>To reproduce trace similar to Fig. 9B (trace a) of the paper:</w:t>
      </w:r>
    </w:p>
    <w:p w:rsidR="004C55E1" w:rsidRDefault="004C55E1">
      <w:r w:rsidRPr="004C55E1">
        <w:drawing>
          <wp:inline distT="0" distB="0" distL="0" distR="0" wp14:anchorId="74598B8B" wp14:editId="2A4B5606">
            <wp:extent cx="5274310" cy="28022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02255"/>
                    </a:xfrm>
                    <a:prstGeom prst="rect">
                      <a:avLst/>
                    </a:prstGeom>
                  </pic:spPr>
                </pic:pic>
              </a:graphicData>
            </a:graphic>
          </wp:inline>
        </w:drawing>
      </w:r>
    </w:p>
    <w:p w:rsidR="004C55E1" w:rsidRDefault="004C55E1"/>
    <w:p w:rsidR="00E645C4" w:rsidRDefault="00E645C4">
      <w:pPr>
        <w:rPr>
          <w:rFonts w:hint="eastAsia"/>
        </w:rPr>
      </w:pPr>
      <w:r>
        <w:rPr>
          <w:rFonts w:hint="eastAsia"/>
        </w:rPr>
        <w:t xml:space="preserve">Regarding </w:t>
      </w:r>
      <w:proofErr w:type="spellStart"/>
      <w:r>
        <w:rPr>
          <w:rFonts w:hint="eastAsia"/>
        </w:rPr>
        <w:t>xpp</w:t>
      </w:r>
      <w:proofErr w:type="spellEnd"/>
      <w:r>
        <w:rPr>
          <w:rFonts w:hint="eastAsia"/>
        </w:rPr>
        <w:t xml:space="preserve"> program, please contact with</w:t>
      </w:r>
    </w:p>
    <w:p w:rsidR="00E645C4" w:rsidRDefault="00E645C4">
      <w:r>
        <w:t xml:space="preserve">Bard </w:t>
      </w:r>
      <w:proofErr w:type="spellStart"/>
      <w:r>
        <w:t>Ermentrout’s</w:t>
      </w:r>
      <w:proofErr w:type="spellEnd"/>
      <w:r>
        <w:t xml:space="preserve"> website: </w:t>
      </w:r>
      <w:hyperlink r:id="rId6" w:history="1">
        <w:r w:rsidRPr="00EC5836">
          <w:rPr>
            <w:rStyle w:val="a3"/>
          </w:rPr>
          <w:t>http://www.pitt.edu/~phase/</w:t>
        </w:r>
      </w:hyperlink>
      <w:r>
        <w:t xml:space="preserve">, which describes how to get and use </w:t>
      </w:r>
      <w:proofErr w:type="spellStart"/>
      <w:r>
        <w:t>xpp</w:t>
      </w:r>
      <w:proofErr w:type="spellEnd"/>
      <w:r>
        <w:t>.</w:t>
      </w:r>
    </w:p>
    <w:p w:rsidR="00E645C4" w:rsidRDefault="00E645C4"/>
    <w:p w:rsidR="00E645C4" w:rsidRDefault="00E645C4">
      <w:r>
        <w:lastRenderedPageBreak/>
        <w:t>The model file was submitted by Dr. Sheng-Nan Wu</w:t>
      </w:r>
    </w:p>
    <w:p w:rsidR="00E645C4" w:rsidRDefault="00E645C4">
      <w:r>
        <w:t>Department of Physiology</w:t>
      </w:r>
    </w:p>
    <w:p w:rsidR="00E645C4" w:rsidRDefault="00E645C4">
      <w:r>
        <w:t>National Cheng Kung Un</w:t>
      </w:r>
      <w:r>
        <w:rPr>
          <w:rFonts w:hint="eastAsia"/>
        </w:rPr>
        <w:t xml:space="preserve">iversity </w:t>
      </w:r>
      <w:proofErr w:type="spellStart"/>
      <w:r>
        <w:rPr>
          <w:rFonts w:hint="eastAsia"/>
        </w:rPr>
        <w:t>Unversity</w:t>
      </w:r>
      <w:proofErr w:type="spellEnd"/>
      <w:r>
        <w:rPr>
          <w:rFonts w:hint="eastAsia"/>
        </w:rPr>
        <w:t xml:space="preserve"> Medical College</w:t>
      </w:r>
    </w:p>
    <w:p w:rsidR="00E645C4" w:rsidRDefault="00E645C4"/>
    <w:p w:rsidR="00E645C4" w:rsidRDefault="00E645C4">
      <w:pPr>
        <w:rPr>
          <w:rFonts w:hint="eastAsia"/>
        </w:rPr>
      </w:pPr>
      <w:r>
        <w:t>snwu@mail.ncku.edu.tw</w:t>
      </w:r>
    </w:p>
    <w:sectPr w:rsidR="00E645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E1"/>
    <w:rsid w:val="00180BF9"/>
    <w:rsid w:val="004C55E1"/>
    <w:rsid w:val="00BC0C3C"/>
    <w:rsid w:val="00D30E20"/>
    <w:rsid w:val="00E645C4"/>
    <w:rsid w:val="00EB62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38D0"/>
  <w15:chartTrackingRefBased/>
  <w15:docId w15:val="{F4B2714D-633E-4572-85D0-64DD6745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4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tt.edu/~phas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2898</Characters>
  <Application>Microsoft Office Word</Application>
  <DocSecurity>0</DocSecurity>
  <Lines>24</Lines>
  <Paragraphs>6</Paragraphs>
  <ScaleCrop>false</ScaleCrop>
  <Company>HP</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2020-07-05T03:57:00Z</dcterms:created>
  <dcterms:modified xsi:type="dcterms:W3CDTF">2020-07-05T03:57:00Z</dcterms:modified>
</cp:coreProperties>
</file>