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6F10C" w14:textId="3EAF76D2" w:rsidR="00BE27A8" w:rsidRDefault="000B00EF">
      <w:r>
        <w:t>Metabolic modeling results section</w:t>
      </w:r>
    </w:p>
    <w:p w14:paraId="6C6E2244" w14:textId="14383EB9" w:rsidR="000B00EF" w:rsidRDefault="000B00EF"/>
    <w:p w14:paraId="4CCAF29B" w14:textId="3367A582" w:rsidR="00A75E8E" w:rsidRPr="00A75E8E" w:rsidRDefault="00A75E8E">
      <w:pPr>
        <w:rPr>
          <w:b/>
          <w:bCs/>
        </w:rPr>
      </w:pPr>
      <w:r w:rsidRPr="00A75E8E">
        <w:rPr>
          <w:b/>
          <w:bCs/>
        </w:rPr>
        <w:t>From 11-22-22 Slides</w:t>
      </w:r>
    </w:p>
    <w:p w14:paraId="18939FF4" w14:textId="77777777" w:rsidR="00A75E8E" w:rsidRPr="00A75E8E" w:rsidRDefault="00A75E8E" w:rsidP="00A75E8E">
      <w:r w:rsidRPr="00A75E8E">
        <w:t>Perhaps three overall topics to showcase how the model contributes to our understanding</w:t>
      </w:r>
    </w:p>
    <w:p w14:paraId="726C01CB" w14:textId="554675F5" w:rsidR="00A75E8E" w:rsidRPr="00565CB8" w:rsidRDefault="00A75E8E" w:rsidP="00A75E8E">
      <w:pPr>
        <w:numPr>
          <w:ilvl w:val="0"/>
          <w:numId w:val="2"/>
        </w:numPr>
        <w:rPr>
          <w:strike/>
        </w:rPr>
      </w:pPr>
      <w:r w:rsidRPr="00565CB8">
        <w:rPr>
          <w:strike/>
        </w:rPr>
        <w:t>How we observe known metabolic phenotype patterns for each organism that align with their environmental niches (</w:t>
      </w:r>
      <w:commentRangeStart w:id="0"/>
      <w:r w:rsidRPr="00565CB8">
        <w:rPr>
          <w:strike/>
        </w:rPr>
        <w:t>Glucose-acetate axis in E. coli, and PF lignin byproduct and organic acid consumption</w:t>
      </w:r>
      <w:commentRangeEnd w:id="0"/>
      <w:r w:rsidR="00B75109" w:rsidRPr="00565CB8">
        <w:rPr>
          <w:rStyle w:val="CommentReference"/>
          <w:strike/>
        </w:rPr>
        <w:commentReference w:id="0"/>
      </w:r>
      <w:r w:rsidRPr="00565CB8">
        <w:rPr>
          <w:strike/>
        </w:rPr>
        <w:t xml:space="preserve">) </w:t>
      </w:r>
      <w:commentRangeStart w:id="1"/>
      <w:r w:rsidRPr="00565CB8">
        <w:rPr>
          <w:strike/>
        </w:rPr>
        <w:t xml:space="preserve">Requires some creative writing based on literature precedents </w:t>
      </w:r>
      <w:r w:rsidRPr="00565CB8">
        <w:rPr>
          <w:strike/>
        </w:rPr>
        <w:sym w:font="Wingdings" w:char="F04A"/>
      </w:r>
      <w:r w:rsidRPr="00565CB8">
        <w:rPr>
          <w:strike/>
        </w:rPr>
        <w:t xml:space="preserve"> </w:t>
      </w:r>
      <w:commentRangeEnd w:id="1"/>
      <w:r w:rsidR="00B75109" w:rsidRPr="00565CB8">
        <w:rPr>
          <w:rStyle w:val="CommentReference"/>
          <w:strike/>
        </w:rPr>
        <w:commentReference w:id="1"/>
      </w:r>
      <w:r w:rsidRPr="00565CB8">
        <w:rPr>
          <w:strike/>
        </w:rPr>
        <w:t xml:space="preserve">. </w:t>
      </w:r>
      <w:r w:rsidRPr="00565CB8">
        <w:rPr>
          <w:strike/>
          <w:highlight w:val="yellow"/>
        </w:rPr>
        <w:t>Gen III data (coculture synergy for specific substrates).</w:t>
      </w:r>
    </w:p>
    <w:p w14:paraId="348DC4C1" w14:textId="6532B8F1" w:rsidR="00A75E8E" w:rsidRPr="00A75E8E" w:rsidRDefault="00A75E8E" w:rsidP="00A75E8E">
      <w:pPr>
        <w:numPr>
          <w:ilvl w:val="0"/>
          <w:numId w:val="2"/>
        </w:numPr>
      </w:pPr>
      <w:r w:rsidRPr="00A75E8E">
        <w:t xml:space="preserve">Applying metabolic models to diverse substrates in </w:t>
      </w:r>
      <w:proofErr w:type="spellStart"/>
      <w:r w:rsidRPr="00A75E8E">
        <w:t>biolog</w:t>
      </w:r>
      <w:proofErr w:type="spellEnd"/>
      <w:r w:rsidRPr="00A75E8E">
        <w:t xml:space="preserve"> data – Key data to emphasize how the model can help predict complex interactions. </w:t>
      </w:r>
      <w:r w:rsidRPr="00920DAA">
        <w:rPr>
          <w:strike/>
        </w:rPr>
        <w:t>Cocultured organisms can have very different phenotypic dynamics due to metabolic interactions.</w:t>
      </w:r>
      <w:r w:rsidRPr="00A75E8E">
        <w:t xml:space="preserve"> These can be predicted by </w:t>
      </w:r>
      <w:proofErr w:type="spellStart"/>
      <w:r w:rsidRPr="00A75E8E">
        <w:t>PhenComm</w:t>
      </w:r>
      <w:proofErr w:type="spellEnd"/>
      <w:r w:rsidRPr="00A75E8E">
        <w:t xml:space="preserve"> model. </w:t>
      </w:r>
      <w:commentRangeStart w:id="2"/>
      <w:r w:rsidR="00EB28DA" w:rsidRPr="00EF0422">
        <w:rPr>
          <w:highlight w:val="yellow"/>
        </w:rPr>
        <w:t xml:space="preserve">Introduce EC/PF competition </w:t>
      </w:r>
      <w:r w:rsidR="00EF0422" w:rsidRPr="00EF0422">
        <w:rPr>
          <w:highlight w:val="yellow"/>
        </w:rPr>
        <w:t xml:space="preserve">as a simple model </w:t>
      </w:r>
      <w:r w:rsidR="00EB28DA" w:rsidRPr="00EF0422">
        <w:rPr>
          <w:highlight w:val="yellow"/>
        </w:rPr>
        <w:t xml:space="preserve">and revisit 4HB data from </w:t>
      </w:r>
      <w:proofErr w:type="spellStart"/>
      <w:r w:rsidR="00EB28DA" w:rsidRPr="00EF0422">
        <w:rPr>
          <w:highlight w:val="yellow"/>
        </w:rPr>
        <w:t>Gyorgy</w:t>
      </w:r>
      <w:proofErr w:type="spellEnd"/>
      <w:r w:rsidR="00EB28DA" w:rsidRPr="00EF0422">
        <w:rPr>
          <w:highlight w:val="yellow"/>
        </w:rPr>
        <w:t xml:space="preserve"> (rationale for distinct substrate choice for EC and PF).</w:t>
      </w:r>
      <w:commentRangeEnd w:id="2"/>
      <w:r w:rsidR="00EF0422">
        <w:rPr>
          <w:rStyle w:val="CommentReference"/>
        </w:rPr>
        <w:commentReference w:id="2"/>
      </w:r>
    </w:p>
    <w:p w14:paraId="76E5721D" w14:textId="5F106D26" w:rsidR="00A75E8E" w:rsidRDefault="00A75E8E" w:rsidP="00A75E8E">
      <w:pPr>
        <w:numPr>
          <w:ilvl w:val="0"/>
          <w:numId w:val="2"/>
        </w:numPr>
      </w:pPr>
      <w:commentRangeStart w:id="3"/>
      <w:r w:rsidRPr="00A75E8E">
        <w:t>Some simple engineering is predicted by metabolic models</w:t>
      </w:r>
      <w:commentRangeEnd w:id="3"/>
      <w:r w:rsidR="00EF0422">
        <w:rPr>
          <w:rStyle w:val="CommentReference"/>
        </w:rPr>
        <w:commentReference w:id="3"/>
      </w:r>
      <w:r w:rsidRPr="00A75E8E">
        <w:t xml:space="preserve"> - </w:t>
      </w:r>
      <w:r w:rsidRPr="00B850AD">
        <w:rPr>
          <w:strike/>
        </w:rPr>
        <w:t>shutting down e. coli acetate consumption as a potential phenotype doesn’t significantly impact PF growth in coculture. This supports the idea that PF is consuming acetate before e. coli does. E coli consumes no acetate in the coculture.</w:t>
      </w:r>
    </w:p>
    <w:p w14:paraId="4DF0FFC6" w14:textId="77777777" w:rsidR="00A75E8E" w:rsidRDefault="00A75E8E"/>
    <w:p w14:paraId="2E9D2E16" w14:textId="6A776590" w:rsidR="000B00EF" w:rsidRPr="00A75E8E" w:rsidRDefault="002D1AD2">
      <w:pPr>
        <w:rPr>
          <w:i/>
          <w:iCs/>
        </w:rPr>
      </w:pPr>
      <w:r>
        <w:rPr>
          <w:b/>
          <w:bCs/>
        </w:rPr>
        <w:t xml:space="preserve">Results </w:t>
      </w:r>
      <w:r w:rsidR="00892B77" w:rsidRPr="00A75E8E">
        <w:rPr>
          <w:b/>
          <w:bCs/>
        </w:rPr>
        <w:t>Outline</w:t>
      </w:r>
      <w:r w:rsidR="002E242F" w:rsidRPr="00A75E8E">
        <w:rPr>
          <w:b/>
          <w:bCs/>
        </w:rPr>
        <w:t xml:space="preserve"> – </w:t>
      </w:r>
      <w:r w:rsidR="002E242F" w:rsidRPr="00A75E8E">
        <w:rPr>
          <w:i/>
          <w:iCs/>
        </w:rPr>
        <w:t>(</w:t>
      </w:r>
      <w:r w:rsidR="00CF2994" w:rsidRPr="00A75E8E">
        <w:rPr>
          <w:i/>
          <w:iCs/>
        </w:rPr>
        <w:t xml:space="preserve">Overall flow, but NOT </w:t>
      </w:r>
      <w:r w:rsidR="002E242F" w:rsidRPr="00A75E8E">
        <w:rPr>
          <w:i/>
          <w:iCs/>
        </w:rPr>
        <w:t>numbers</w:t>
      </w:r>
      <w:r w:rsidR="00CF2994" w:rsidRPr="00A75E8E">
        <w:rPr>
          <w:i/>
          <w:iCs/>
        </w:rPr>
        <w:t xml:space="preserve">, </w:t>
      </w:r>
      <w:r w:rsidR="002E242F" w:rsidRPr="00A75E8E">
        <w:rPr>
          <w:i/>
          <w:iCs/>
        </w:rPr>
        <w:t>based on slides)</w:t>
      </w:r>
    </w:p>
    <w:p w14:paraId="5A81CEDE" w14:textId="44D86576" w:rsidR="00892B77" w:rsidRDefault="00892B77" w:rsidP="007074CB">
      <w:pPr>
        <w:pStyle w:val="ListParagraph"/>
        <w:numPr>
          <w:ilvl w:val="0"/>
          <w:numId w:val="1"/>
        </w:numPr>
      </w:pPr>
      <w:r>
        <w:t xml:space="preserve">Initial </w:t>
      </w:r>
      <w:r w:rsidR="00C21CE0">
        <w:t xml:space="preserve">metabolic </w:t>
      </w:r>
      <w:r>
        <w:t>characterization of organisms</w:t>
      </w:r>
      <w:r w:rsidR="00C21CE0">
        <w:t xml:space="preserve"> and challenge presented</w:t>
      </w:r>
    </w:p>
    <w:p w14:paraId="02549DBB" w14:textId="74A344F3" w:rsidR="00892B77" w:rsidRPr="00281C09" w:rsidRDefault="00892B77" w:rsidP="007074CB">
      <w:pPr>
        <w:pStyle w:val="ListParagraph"/>
        <w:numPr>
          <w:ilvl w:val="1"/>
          <w:numId w:val="1"/>
        </w:numPr>
        <w:rPr>
          <w:strike/>
        </w:rPr>
      </w:pPr>
      <w:r w:rsidRPr="00281C09">
        <w:rPr>
          <w:strike/>
        </w:rPr>
        <w:t xml:space="preserve">Organism natural niches are reflected in their metabolic profiles on gen III </w:t>
      </w:r>
      <w:r w:rsidR="00B94156" w:rsidRPr="00281C09">
        <w:rPr>
          <w:strike/>
        </w:rPr>
        <w:t>plates</w:t>
      </w:r>
    </w:p>
    <w:p w14:paraId="3EC8E126" w14:textId="3EB646A6" w:rsidR="00892B77" w:rsidRPr="00115D7C" w:rsidRDefault="004E5316" w:rsidP="007074CB">
      <w:pPr>
        <w:pStyle w:val="ListParagraph"/>
        <w:numPr>
          <w:ilvl w:val="1"/>
          <w:numId w:val="1"/>
        </w:numPr>
        <w:rPr>
          <w:highlight w:val="lightGray"/>
        </w:rPr>
      </w:pPr>
      <w:commentRangeStart w:id="4"/>
      <w:r w:rsidRPr="00115D7C">
        <w:rPr>
          <w:highlight w:val="lightGray"/>
        </w:rPr>
        <w:t xml:space="preserve">Past met model methods predict </w:t>
      </w:r>
      <w:r w:rsidR="00B94156" w:rsidRPr="00115D7C">
        <w:rPr>
          <w:highlight w:val="lightGray"/>
        </w:rPr>
        <w:t xml:space="preserve">gen III plate </w:t>
      </w:r>
      <w:r w:rsidRPr="00115D7C">
        <w:rPr>
          <w:highlight w:val="lightGray"/>
        </w:rPr>
        <w:t>substrate utilization to X degree</w:t>
      </w:r>
      <w:r w:rsidR="003C5FF1">
        <w:rPr>
          <w:highlight w:val="lightGray"/>
        </w:rPr>
        <w:t xml:space="preserve"> (?)</w:t>
      </w:r>
      <w:commentRangeEnd w:id="4"/>
      <w:r w:rsidR="00281C09">
        <w:rPr>
          <w:rStyle w:val="CommentReference"/>
        </w:rPr>
        <w:commentReference w:id="4"/>
      </w:r>
    </w:p>
    <w:p w14:paraId="3F92568A" w14:textId="26E5A53A" w:rsidR="00892B77" w:rsidRDefault="00892B77" w:rsidP="007074CB">
      <w:pPr>
        <w:pStyle w:val="ListParagraph"/>
        <w:numPr>
          <w:ilvl w:val="1"/>
          <w:numId w:val="1"/>
        </w:numPr>
      </w:pPr>
      <w:r>
        <w:t>Coculture data reveals metabolic interactions between species</w:t>
      </w:r>
      <w:r w:rsidR="007074CB">
        <w:t xml:space="preserve"> – </w:t>
      </w:r>
      <w:r w:rsidR="00F21BF0">
        <w:t>(</w:t>
      </w:r>
      <w:r w:rsidR="007074CB">
        <w:t>maltose</w:t>
      </w:r>
      <w:r w:rsidR="00F21BF0">
        <w:t>)</w:t>
      </w:r>
    </w:p>
    <w:p w14:paraId="64071CD4" w14:textId="7F2AD0B5" w:rsidR="00892B77" w:rsidRPr="00115D7C" w:rsidRDefault="004E5316" w:rsidP="007074CB">
      <w:pPr>
        <w:pStyle w:val="ListParagraph"/>
        <w:numPr>
          <w:ilvl w:val="1"/>
          <w:numId w:val="1"/>
        </w:numPr>
        <w:rPr>
          <w:highlight w:val="lightGray"/>
        </w:rPr>
      </w:pPr>
      <w:commentRangeStart w:id="5"/>
      <w:r w:rsidRPr="00115D7C">
        <w:rPr>
          <w:highlight w:val="lightGray"/>
        </w:rPr>
        <w:t>Same past met model methods cannot predict these interactions</w:t>
      </w:r>
      <w:r w:rsidR="003C5FF1">
        <w:rPr>
          <w:highlight w:val="lightGray"/>
        </w:rPr>
        <w:t xml:space="preserve"> (?)</w:t>
      </w:r>
      <w:commentRangeEnd w:id="5"/>
      <w:r w:rsidR="00706671">
        <w:rPr>
          <w:rStyle w:val="CommentReference"/>
        </w:rPr>
        <w:commentReference w:id="5"/>
      </w:r>
    </w:p>
    <w:p w14:paraId="2A1935FB" w14:textId="04291C2F" w:rsidR="005D303A" w:rsidRDefault="005D303A" w:rsidP="005D303A">
      <w:pPr>
        <w:pStyle w:val="ListParagraph"/>
        <w:numPr>
          <w:ilvl w:val="1"/>
          <w:numId w:val="1"/>
        </w:numPr>
      </w:pPr>
      <w:r>
        <w:t xml:space="preserve">Developed the </w:t>
      </w:r>
      <w:proofErr w:type="spellStart"/>
      <w:r>
        <w:t>PhenComm</w:t>
      </w:r>
      <w:proofErr w:type="spellEnd"/>
      <w:r>
        <w:t xml:space="preserve"> model as a versatile yet accurate model for predicting metabolites and organism phenotypes </w:t>
      </w:r>
      <w:commentRangeStart w:id="6"/>
      <w:r>
        <w:t xml:space="preserve">(RNA expression and protein activity?) </w:t>
      </w:r>
      <w:commentRangeEnd w:id="6"/>
      <w:r w:rsidR="00281C09">
        <w:rPr>
          <w:rStyle w:val="CommentReference"/>
        </w:rPr>
        <w:commentReference w:id="6"/>
      </w:r>
      <w:r>
        <w:t xml:space="preserve">over time in complex mixtures. </w:t>
      </w:r>
      <w:commentRangeStart w:id="7"/>
      <w:r>
        <w:t>Will build model and explore efficacy in test case</w:t>
      </w:r>
      <w:commentRangeEnd w:id="7"/>
      <w:r w:rsidR="00281C09">
        <w:rPr>
          <w:rStyle w:val="CommentReference"/>
        </w:rPr>
        <w:commentReference w:id="7"/>
      </w:r>
    </w:p>
    <w:p w14:paraId="1D1DA4E3" w14:textId="630DF913" w:rsidR="007074CB" w:rsidRDefault="007074CB" w:rsidP="007074CB">
      <w:pPr>
        <w:pStyle w:val="ListParagraph"/>
        <w:numPr>
          <w:ilvl w:val="1"/>
          <w:numId w:val="1"/>
        </w:numPr>
      </w:pPr>
      <w:r>
        <w:t>No experimentally compatible PF specific substrate(?), so turned to more carbon sources and found 4-HB to be selective for PF</w:t>
      </w:r>
      <w:r w:rsidR="00E95FCB">
        <w:t xml:space="preserve">. </w:t>
      </w:r>
      <w:r w:rsidR="00A3540A">
        <w:t>Armed with methods and metabolic tools (carbon sources) now r</w:t>
      </w:r>
      <w:r w:rsidR="00E95FCB">
        <w:t>eady to dive deeper into a particular metabolic interaction</w:t>
      </w:r>
      <w:r w:rsidR="00A3540A">
        <w:t xml:space="preserve"> taking place when Maltose is present in coculture</w:t>
      </w:r>
    </w:p>
    <w:p w14:paraId="627B3A2E" w14:textId="6786BC87" w:rsidR="00E95FCB" w:rsidRDefault="00C83C74" w:rsidP="00E95FCB">
      <w:pPr>
        <w:pStyle w:val="ListParagraph"/>
        <w:numPr>
          <w:ilvl w:val="0"/>
          <w:numId w:val="1"/>
        </w:numPr>
      </w:pPr>
      <w:r>
        <w:t>Maltose, 4HB, and acetate</w:t>
      </w:r>
    </w:p>
    <w:p w14:paraId="7167EA50" w14:textId="0EFCB54F" w:rsidR="00C941CF" w:rsidRDefault="00C83C74" w:rsidP="00C941CF">
      <w:pPr>
        <w:pStyle w:val="ListParagraph"/>
        <w:numPr>
          <w:ilvl w:val="1"/>
          <w:numId w:val="1"/>
        </w:numPr>
      </w:pPr>
      <w:commentRangeStart w:id="8"/>
      <w:r>
        <w:t>Basic models, and literature precedents, predict that e. coli produces significant concentrations of acetate when consuming sugars aerobically</w:t>
      </w:r>
      <w:commentRangeEnd w:id="8"/>
      <w:r w:rsidR="00281C09">
        <w:rPr>
          <w:rStyle w:val="CommentReference"/>
        </w:rPr>
        <w:commentReference w:id="8"/>
      </w:r>
      <w:r w:rsidR="00C941CF">
        <w:t xml:space="preserve">. </w:t>
      </w:r>
      <w:r w:rsidR="00C941CF" w:rsidRPr="00281C09">
        <w:rPr>
          <w:strike/>
        </w:rPr>
        <w:t xml:space="preserve">We validated this in our hands by performing metabolomics to track acetate production at several stages of growth. </w:t>
      </w:r>
      <w:r w:rsidR="00C941CF">
        <w:t>Indeed, acetate is produced, but then consumed, by E. coli</w:t>
      </w:r>
    </w:p>
    <w:p w14:paraId="6A823355" w14:textId="05B81D37" w:rsidR="00C941CF" w:rsidRDefault="00C941CF" w:rsidP="00C941CF">
      <w:pPr>
        <w:pStyle w:val="ListParagraph"/>
        <w:numPr>
          <w:ilvl w:val="1"/>
          <w:numId w:val="1"/>
        </w:numPr>
      </w:pPr>
      <w:r>
        <w:t xml:space="preserve">We determined each organism’s response to acetate under different conditions as monocultures, </w:t>
      </w:r>
      <w:commentRangeStart w:id="9"/>
      <w:r>
        <w:t>making several findings that all point to E. coli being inhibited by high concentrations of acetate</w:t>
      </w:r>
      <w:commentRangeEnd w:id="9"/>
      <w:r w:rsidR="00DA6645">
        <w:rPr>
          <w:rStyle w:val="CommentReference"/>
        </w:rPr>
        <w:commentReference w:id="9"/>
      </w:r>
      <w:r>
        <w:t>, and PF being a vigorous consumer of acetate</w:t>
      </w:r>
    </w:p>
    <w:p w14:paraId="6AB909E8" w14:textId="2254BB86" w:rsidR="00504DD0" w:rsidRDefault="00504DD0" w:rsidP="00504DD0">
      <w:pPr>
        <w:pStyle w:val="ListParagraph"/>
        <w:numPr>
          <w:ilvl w:val="1"/>
          <w:numId w:val="1"/>
        </w:numPr>
      </w:pPr>
      <w:r>
        <w:t xml:space="preserve">We performed a battery of coculture experiments altering all carbon sources and compared each organism’s growth pattern to that of the monoculture. </w:t>
      </w:r>
      <w:commentRangeStart w:id="10"/>
      <w:r>
        <w:t>We saw several clear trends including decreased E. coli replication when cocultured with PF and consuming acetate as the only carbon source.</w:t>
      </w:r>
      <w:commentRangeEnd w:id="10"/>
      <w:r w:rsidR="00DA6645">
        <w:rPr>
          <w:rStyle w:val="CommentReference"/>
        </w:rPr>
        <w:commentReference w:id="10"/>
      </w:r>
      <w:r>
        <w:t xml:space="preserve"> We also performed </w:t>
      </w:r>
      <w:r>
        <w:lastRenderedPageBreak/>
        <w:t xml:space="preserve">metabolomics and observed significant changes in acetate production when E. coli are cocultured with PF. </w:t>
      </w:r>
      <w:r w:rsidRPr="00115D7C">
        <w:rPr>
          <w:highlight w:val="lightGray"/>
        </w:rPr>
        <w:t>(RNA transcriptomics goes here as well)</w:t>
      </w:r>
    </w:p>
    <w:p w14:paraId="03458C4B" w14:textId="75C308CC" w:rsidR="00504DD0" w:rsidRPr="00115D7C" w:rsidRDefault="00504DD0" w:rsidP="00504DD0">
      <w:pPr>
        <w:pStyle w:val="ListParagraph"/>
        <w:numPr>
          <w:ilvl w:val="1"/>
          <w:numId w:val="1"/>
        </w:numPr>
        <w:rPr>
          <w:highlight w:val="lightGray"/>
        </w:rPr>
      </w:pPr>
      <w:commentRangeStart w:id="11"/>
      <w:proofErr w:type="spellStart"/>
      <w:r w:rsidRPr="00115D7C">
        <w:rPr>
          <w:highlight w:val="lightGray"/>
        </w:rPr>
        <w:t>PhenComm</w:t>
      </w:r>
      <w:proofErr w:type="spellEnd"/>
      <w:r w:rsidRPr="00115D7C">
        <w:rPr>
          <w:highlight w:val="lightGray"/>
        </w:rPr>
        <w:t xml:space="preserve"> model is improved greatly when X changes are made to account for Y discrepancies between the model and results</w:t>
      </w:r>
      <w:commentRangeEnd w:id="11"/>
      <w:r w:rsidR="00DA6645">
        <w:rPr>
          <w:rStyle w:val="CommentReference"/>
        </w:rPr>
        <w:commentReference w:id="11"/>
      </w:r>
    </w:p>
    <w:p w14:paraId="563571EB" w14:textId="7CDC59C3" w:rsidR="00504DD0" w:rsidRDefault="00504DD0" w:rsidP="00504DD0">
      <w:pPr>
        <w:pStyle w:val="ListParagraph"/>
        <w:numPr>
          <w:ilvl w:val="0"/>
          <w:numId w:val="1"/>
        </w:numPr>
      </w:pPr>
      <w:proofErr w:type="spellStart"/>
      <w:r>
        <w:t>PhenComm</w:t>
      </w:r>
      <w:proofErr w:type="spellEnd"/>
      <w:r>
        <w:t xml:space="preserve"> predicts organism engineering</w:t>
      </w:r>
    </w:p>
    <w:p w14:paraId="424D7727" w14:textId="1ABFF260" w:rsidR="006F3980" w:rsidRPr="00102018" w:rsidRDefault="00684983" w:rsidP="00102018">
      <w:pPr>
        <w:pStyle w:val="ListParagraph"/>
        <w:numPr>
          <w:ilvl w:val="1"/>
          <w:numId w:val="1"/>
        </w:numPr>
      </w:pPr>
      <w:r>
        <w:t xml:space="preserve">Many research goals involve the alteration of an organism’s genome to alter its impacts whether bioproduction or microbiome modification. </w:t>
      </w:r>
      <w:commentRangeStart w:id="12"/>
      <w:r>
        <w:t>Gathered data from several KO strains that eliminate proteins involved in acetate consumption and production.</w:t>
      </w:r>
      <w:r w:rsidR="00102018">
        <w:t xml:space="preserve"> </w:t>
      </w:r>
      <w:r>
        <w:t xml:space="preserve">Due to redundancy, most of these proteins had remarkably minimal </w:t>
      </w:r>
      <w:r w:rsidR="00EB7953">
        <w:t>effect</w:t>
      </w:r>
      <w:r>
        <w:t xml:space="preserve"> on e coli metabolism, which in and of itself is surprising. </w:t>
      </w:r>
      <w:commentRangeEnd w:id="12"/>
      <w:r w:rsidR="004A4A58">
        <w:rPr>
          <w:rStyle w:val="CommentReference"/>
        </w:rPr>
        <w:commentReference w:id="12"/>
      </w:r>
      <w:commentRangeStart w:id="13"/>
      <w:proofErr w:type="spellStart"/>
      <w:r w:rsidR="006F3980" w:rsidRPr="00102018">
        <w:rPr>
          <w:highlight w:val="lightGray"/>
        </w:rPr>
        <w:t>PhenComm</w:t>
      </w:r>
      <w:proofErr w:type="spellEnd"/>
      <w:r w:rsidR="006F3980" w:rsidRPr="00102018">
        <w:rPr>
          <w:highlight w:val="lightGray"/>
        </w:rPr>
        <w:t xml:space="preserve"> did/did not predict these engineering changes</w:t>
      </w:r>
      <w:commentRangeEnd w:id="13"/>
      <w:r w:rsidR="004A4A58">
        <w:rPr>
          <w:rStyle w:val="CommentReference"/>
        </w:rPr>
        <w:commentReference w:id="13"/>
      </w:r>
    </w:p>
    <w:p w14:paraId="2FCFF85A" w14:textId="35C2B183" w:rsidR="00684983" w:rsidRDefault="00684983" w:rsidP="006F3980">
      <w:pPr>
        <w:pStyle w:val="ListParagraph"/>
        <w:numPr>
          <w:ilvl w:val="1"/>
          <w:numId w:val="1"/>
        </w:numPr>
      </w:pPr>
      <w:r>
        <w:t xml:space="preserve">One gene KO, </w:t>
      </w:r>
      <w:proofErr w:type="spellStart"/>
      <w:r w:rsidR="00EA4115">
        <w:t>P</w:t>
      </w:r>
      <w:r>
        <w:t>ta</w:t>
      </w:r>
      <w:proofErr w:type="spellEnd"/>
      <w:r>
        <w:t xml:space="preserve">, did </w:t>
      </w:r>
      <w:proofErr w:type="gramStart"/>
      <w:r>
        <w:t>completely eliminate</w:t>
      </w:r>
      <w:proofErr w:type="gramEnd"/>
      <w:r>
        <w:t xml:space="preserve"> e. coli’s ability to consume acetate.</w:t>
      </w:r>
      <w:r w:rsidR="006F3980">
        <w:t xml:space="preserve"> </w:t>
      </w:r>
      <w:commentRangeStart w:id="14"/>
      <w:r>
        <w:t xml:space="preserve">This major phenotypic change was </w:t>
      </w:r>
      <w:r w:rsidRPr="00115D7C">
        <w:rPr>
          <w:highlight w:val="lightGray"/>
        </w:rPr>
        <w:t>modeled and compared to</w:t>
      </w:r>
      <w:r>
        <w:t xml:space="preserve"> experimental results</w:t>
      </w:r>
      <w:r w:rsidR="009627CC">
        <w:t xml:space="preserve"> in monoculture and coculture with various carbon sources</w:t>
      </w:r>
      <w:commentRangeEnd w:id="14"/>
      <w:r w:rsidR="004A4A58">
        <w:rPr>
          <w:rStyle w:val="CommentReference"/>
        </w:rPr>
        <w:commentReference w:id="14"/>
      </w:r>
    </w:p>
    <w:p w14:paraId="0920B4F4" w14:textId="19687A06" w:rsidR="002F5832" w:rsidRDefault="002F5832" w:rsidP="006F3980">
      <w:pPr>
        <w:pStyle w:val="ListParagraph"/>
        <w:numPr>
          <w:ilvl w:val="1"/>
          <w:numId w:val="1"/>
        </w:numPr>
      </w:pPr>
      <w:r>
        <w:t xml:space="preserve">This </w:t>
      </w:r>
      <w:commentRangeStart w:id="15"/>
      <w:r>
        <w:t xml:space="preserve">KO strain followed our hypothesis that acetate forms the basis of </w:t>
      </w:r>
      <w:proofErr w:type="spellStart"/>
      <w:r>
        <w:t>syntrophy</w:t>
      </w:r>
      <w:proofErr w:type="spellEnd"/>
      <w:r>
        <w:t xml:space="preserve"> </w:t>
      </w:r>
      <w:commentRangeEnd w:id="15"/>
      <w:r w:rsidR="004A4A58">
        <w:rPr>
          <w:rStyle w:val="CommentReference"/>
        </w:rPr>
        <w:commentReference w:id="15"/>
      </w:r>
      <w:r>
        <w:t xml:space="preserve">and that e. coli does not consume a significant amount of acetate in the coculture. </w:t>
      </w:r>
    </w:p>
    <w:p w14:paraId="76E26807" w14:textId="7C7BD5B6" w:rsidR="002F5832" w:rsidRPr="002539BA" w:rsidRDefault="009627CC" w:rsidP="002F5832">
      <w:pPr>
        <w:pStyle w:val="ListParagraph"/>
        <w:numPr>
          <w:ilvl w:val="1"/>
          <w:numId w:val="1"/>
        </w:numPr>
        <w:rPr>
          <w:strike/>
          <w:highlight w:val="lightGray"/>
        </w:rPr>
      </w:pPr>
      <w:commentRangeStart w:id="16"/>
      <w:proofErr w:type="spellStart"/>
      <w:r w:rsidRPr="002539BA">
        <w:rPr>
          <w:strike/>
          <w:highlight w:val="lightGray"/>
        </w:rPr>
        <w:t>PhenComm</w:t>
      </w:r>
      <w:proofErr w:type="spellEnd"/>
      <w:r w:rsidRPr="002539BA">
        <w:rPr>
          <w:strike/>
          <w:highlight w:val="lightGray"/>
        </w:rPr>
        <w:t xml:space="preserve"> predicted X characteristic from altering the entered genome and this mimicked altering the allowed phenotypes, specifically eliminating e. coli acetate consumption as an allowed phenotype</w:t>
      </w:r>
      <w:commentRangeEnd w:id="16"/>
      <w:r w:rsidR="0092088C" w:rsidRPr="002539BA">
        <w:rPr>
          <w:rStyle w:val="CommentReference"/>
          <w:strike/>
        </w:rPr>
        <w:commentReference w:id="16"/>
      </w:r>
    </w:p>
    <w:p w14:paraId="359D9149" w14:textId="6D9B2B20" w:rsidR="001A72ED" w:rsidRDefault="001A72ED" w:rsidP="001A72ED">
      <w:pPr>
        <w:pStyle w:val="ListParagraph"/>
        <w:numPr>
          <w:ilvl w:val="0"/>
          <w:numId w:val="1"/>
        </w:numPr>
      </w:pPr>
      <w:commentRangeStart w:id="17"/>
      <w:proofErr w:type="spellStart"/>
      <w:r>
        <w:t>PhenComm</w:t>
      </w:r>
      <w:proofErr w:type="spellEnd"/>
      <w:r>
        <w:t xml:space="preserve"> predicts </w:t>
      </w:r>
      <w:r w:rsidR="00543A13">
        <w:t xml:space="preserve">diverse </w:t>
      </w:r>
      <w:r>
        <w:t>coculture</w:t>
      </w:r>
      <w:r w:rsidR="00543A13">
        <w:t xml:space="preserve"> metabolic interactions</w:t>
      </w:r>
      <w:commentRangeEnd w:id="17"/>
      <w:r w:rsidR="002539BA">
        <w:rPr>
          <w:rStyle w:val="CommentReference"/>
        </w:rPr>
        <w:commentReference w:id="17"/>
      </w:r>
    </w:p>
    <w:p w14:paraId="33A34351" w14:textId="2B89B734" w:rsidR="001A72ED" w:rsidRPr="00115D7C" w:rsidRDefault="00543A13" w:rsidP="001A72ED">
      <w:pPr>
        <w:pStyle w:val="ListParagraph"/>
        <w:numPr>
          <w:ilvl w:val="1"/>
          <w:numId w:val="1"/>
        </w:numPr>
        <w:rPr>
          <w:highlight w:val="lightGray"/>
        </w:rPr>
      </w:pPr>
      <w:commentRangeStart w:id="18"/>
      <w:r w:rsidRPr="00115D7C">
        <w:rPr>
          <w:highlight w:val="lightGray"/>
        </w:rPr>
        <w:t xml:space="preserve">Applied </w:t>
      </w:r>
      <w:proofErr w:type="spellStart"/>
      <w:r w:rsidRPr="00115D7C">
        <w:rPr>
          <w:highlight w:val="lightGray"/>
        </w:rPr>
        <w:t>PhenComm</w:t>
      </w:r>
      <w:proofErr w:type="spellEnd"/>
      <w:r w:rsidRPr="00115D7C">
        <w:rPr>
          <w:highlight w:val="lightGray"/>
        </w:rPr>
        <w:t xml:space="preserve"> to the </w:t>
      </w:r>
      <w:proofErr w:type="spellStart"/>
      <w:r w:rsidRPr="00115D7C">
        <w:rPr>
          <w:highlight w:val="lightGray"/>
        </w:rPr>
        <w:t>genIII</w:t>
      </w:r>
      <w:proofErr w:type="spellEnd"/>
      <w:r w:rsidRPr="00115D7C">
        <w:rPr>
          <w:highlight w:val="lightGray"/>
        </w:rPr>
        <w:t xml:space="preserve"> coculture dataset and was able to predict X% E. coli growth, Y% PF growth, and Z% interactions/noninteractions</w:t>
      </w:r>
      <w:commentRangeEnd w:id="18"/>
      <w:r w:rsidR="0092088C">
        <w:rPr>
          <w:rStyle w:val="CommentReference"/>
        </w:rPr>
        <w:commentReference w:id="18"/>
      </w:r>
    </w:p>
    <w:p w14:paraId="043BC2C8" w14:textId="15DBCE24" w:rsidR="002231B6" w:rsidRPr="00115D7C" w:rsidRDefault="002231B6" w:rsidP="001A72ED">
      <w:pPr>
        <w:pStyle w:val="ListParagraph"/>
        <w:numPr>
          <w:ilvl w:val="1"/>
          <w:numId w:val="1"/>
        </w:numPr>
        <w:rPr>
          <w:highlight w:val="lightGray"/>
        </w:rPr>
      </w:pPr>
      <w:proofErr w:type="spellStart"/>
      <w:r w:rsidRPr="00115D7C">
        <w:rPr>
          <w:highlight w:val="lightGray"/>
        </w:rPr>
        <w:t>PhenComm</w:t>
      </w:r>
      <w:proofErr w:type="spellEnd"/>
      <w:r w:rsidRPr="00115D7C">
        <w:rPr>
          <w:highlight w:val="lightGray"/>
        </w:rPr>
        <w:t xml:space="preserve"> performed particularly well with </w:t>
      </w:r>
      <w:commentRangeStart w:id="19"/>
      <w:r w:rsidRPr="00115D7C">
        <w:rPr>
          <w:highlight w:val="lightGray"/>
        </w:rPr>
        <w:t>positive/negative coculture interactions</w:t>
      </w:r>
      <w:commentRangeEnd w:id="19"/>
      <w:r w:rsidR="0092088C">
        <w:rPr>
          <w:rStyle w:val="CommentReference"/>
        </w:rPr>
        <w:commentReference w:id="19"/>
      </w:r>
      <w:r w:rsidR="00B6549B" w:rsidRPr="00115D7C">
        <w:rPr>
          <w:highlight w:val="lightGray"/>
        </w:rPr>
        <w:t>, and with EC/PF growth</w:t>
      </w:r>
    </w:p>
    <w:p w14:paraId="2EADD92F" w14:textId="3B8C0B55" w:rsidR="002231B6" w:rsidRPr="00115D7C" w:rsidRDefault="002231B6" w:rsidP="001A72ED">
      <w:pPr>
        <w:pStyle w:val="ListParagraph"/>
        <w:numPr>
          <w:ilvl w:val="1"/>
          <w:numId w:val="1"/>
        </w:numPr>
        <w:rPr>
          <w:highlight w:val="lightGray"/>
        </w:rPr>
      </w:pPr>
      <w:commentRangeStart w:id="20"/>
      <w:proofErr w:type="spellStart"/>
      <w:r w:rsidRPr="00115D7C">
        <w:rPr>
          <w:highlight w:val="lightGray"/>
        </w:rPr>
        <w:t>PhenComm</w:t>
      </w:r>
      <w:proofErr w:type="spellEnd"/>
      <w:r w:rsidRPr="00115D7C">
        <w:rPr>
          <w:highlight w:val="lightGray"/>
        </w:rPr>
        <w:t xml:space="preserve"> predicts that X molecule may be responsible for Y positive interaction literature precedents back this up</w:t>
      </w:r>
    </w:p>
    <w:p w14:paraId="691C566B" w14:textId="74700F64" w:rsidR="002231B6" w:rsidRPr="00115D7C" w:rsidRDefault="002231B6" w:rsidP="001A72ED">
      <w:pPr>
        <w:pStyle w:val="ListParagraph"/>
        <w:numPr>
          <w:ilvl w:val="1"/>
          <w:numId w:val="1"/>
        </w:numPr>
        <w:rPr>
          <w:highlight w:val="lightGray"/>
        </w:rPr>
      </w:pPr>
      <w:proofErr w:type="spellStart"/>
      <w:r w:rsidRPr="00115D7C">
        <w:rPr>
          <w:highlight w:val="lightGray"/>
        </w:rPr>
        <w:t>PhenComm</w:t>
      </w:r>
      <w:proofErr w:type="spellEnd"/>
      <w:r w:rsidRPr="00115D7C">
        <w:rPr>
          <w:highlight w:val="lightGray"/>
        </w:rPr>
        <w:t xml:space="preserve"> predicts that X molecule may be responsible for Y negative interactions literature precedents back this up</w:t>
      </w:r>
      <w:commentRangeEnd w:id="20"/>
      <w:r w:rsidR="0092088C">
        <w:rPr>
          <w:rStyle w:val="CommentReference"/>
        </w:rPr>
        <w:commentReference w:id="20"/>
      </w:r>
    </w:p>
    <w:p w14:paraId="4A3F9AB3" w14:textId="5EF1E99E" w:rsidR="002231B6" w:rsidRDefault="002231B6" w:rsidP="002231B6">
      <w:pPr>
        <w:pStyle w:val="ListParagraph"/>
        <w:ind w:left="1440"/>
      </w:pPr>
      <w:r>
        <w:t xml:space="preserve"> </w:t>
      </w:r>
    </w:p>
    <w:p w14:paraId="1C3D3CB7" w14:textId="1AF8F35F" w:rsidR="00892B77" w:rsidRDefault="00F576BA">
      <w:r w:rsidRPr="00F576BA">
        <w:rPr>
          <w:noProof/>
        </w:rPr>
        <w:drawing>
          <wp:inline distT="0" distB="0" distL="0" distR="0" wp14:anchorId="50C87B58" wp14:editId="4CFC8392">
            <wp:extent cx="5943600" cy="2523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3629" w14:textId="2B01ED30" w:rsidR="007B69B2" w:rsidRDefault="007B69B2">
      <w:r w:rsidRPr="007B69B2">
        <w:rPr>
          <w:noProof/>
        </w:rPr>
        <w:lastRenderedPageBreak/>
        <w:drawing>
          <wp:inline distT="0" distB="0" distL="0" distR="0" wp14:anchorId="03F503E9" wp14:editId="22040E42">
            <wp:extent cx="5943600" cy="2523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AA70" w14:textId="00B8DE54" w:rsidR="00F576BA" w:rsidRDefault="00F576BA">
      <w:r>
        <w:t xml:space="preserve">Figure </w:t>
      </w:r>
      <w:r w:rsidR="0092088C">
        <w:t>1</w:t>
      </w:r>
      <w:r>
        <w:t xml:space="preserve">. Metabolic utilization and stress response of E. coli and P. fluorescens monocultures via </w:t>
      </w:r>
      <w:proofErr w:type="spellStart"/>
      <w:r>
        <w:t>Biolog</w:t>
      </w:r>
      <w:proofErr w:type="spellEnd"/>
      <w:r>
        <w:t xml:space="preserve"> Gen III plates</w:t>
      </w:r>
      <w:r w:rsidR="007B69B2">
        <w:t>. A. Experimental data for P fluorescens. B. Experimental data for E. coli. C. Modeling approximations for P fluorescens. D. Modeling approximations for P. fluorescens</w:t>
      </w:r>
    </w:p>
    <w:p w14:paraId="34F66E81" w14:textId="77777777" w:rsidR="00F576BA" w:rsidRDefault="00F576BA"/>
    <w:p w14:paraId="46792088" w14:textId="0AADFC4C" w:rsidR="002D1AD2" w:rsidRPr="002D1AD2" w:rsidRDefault="002D1AD2">
      <w:r w:rsidRPr="002D1AD2">
        <w:rPr>
          <w:b/>
          <w:bCs/>
        </w:rPr>
        <w:t>Results Text</w:t>
      </w:r>
      <w:r>
        <w:rPr>
          <w:b/>
          <w:bCs/>
        </w:rPr>
        <w:t xml:space="preserve"> – </w:t>
      </w:r>
      <w:r>
        <w:t>Based on outline above</w:t>
      </w:r>
    </w:p>
    <w:p w14:paraId="03909BA4" w14:textId="04554301" w:rsidR="00113BB8" w:rsidRDefault="00437884" w:rsidP="00AC5D1F">
      <w:r>
        <w:t xml:space="preserve">We first sought to characterize the </w:t>
      </w:r>
      <w:r w:rsidR="006E5F20">
        <w:t xml:space="preserve">monoculture </w:t>
      </w:r>
      <w:r w:rsidR="00F576BA">
        <w:t xml:space="preserve">metabolic utilization and </w:t>
      </w:r>
      <w:commentRangeStart w:id="21"/>
      <w:r w:rsidR="00F576BA">
        <w:t>stress response</w:t>
      </w:r>
      <w:r>
        <w:t xml:space="preserve"> of each organism</w:t>
      </w:r>
      <w:commentRangeEnd w:id="21"/>
      <w:r w:rsidR="0020345D">
        <w:rPr>
          <w:rStyle w:val="CommentReference"/>
        </w:rPr>
        <w:commentReference w:id="21"/>
      </w:r>
      <w:r>
        <w:t xml:space="preserve"> - </w:t>
      </w:r>
      <w:r>
        <w:rPr>
          <w:i/>
          <w:iCs/>
        </w:rPr>
        <w:t>E. coli</w:t>
      </w:r>
      <w:r>
        <w:t xml:space="preserve"> MG1655 and </w:t>
      </w:r>
      <w:r>
        <w:rPr>
          <w:i/>
          <w:iCs/>
        </w:rPr>
        <w:t>Pseudomonas fluorescens</w:t>
      </w:r>
      <w:r>
        <w:t xml:space="preserve"> SBW25. </w:t>
      </w:r>
      <w:r w:rsidR="006E5F20">
        <w:t>We observed many differences in carbon source utilization between the two bacteria, which is unsurprising given each organism’s metabolism was tuned in vastly different niche’s for millions of years</w:t>
      </w:r>
      <w:r w:rsidR="00F576BA">
        <w:t xml:space="preserve"> (</w:t>
      </w:r>
      <w:proofErr w:type="gramStart"/>
      <w:r w:rsidR="00F576BA">
        <w:t>Figure !</w:t>
      </w:r>
      <w:r w:rsidR="003C5062">
        <w:t>.A</w:t>
      </w:r>
      <w:proofErr w:type="gramEnd"/>
      <w:r w:rsidR="003C5062">
        <w:t xml:space="preserve"> and B</w:t>
      </w:r>
      <w:r w:rsidR="00F576BA">
        <w:t>)</w:t>
      </w:r>
      <w:r w:rsidR="006E5F20">
        <w:t>.</w:t>
      </w:r>
      <w:r w:rsidR="00113BB8">
        <w:t xml:space="preserve"> Some specific observations highlight this difference…</w:t>
      </w:r>
    </w:p>
    <w:p w14:paraId="55F838A1" w14:textId="77777777" w:rsidR="005E6A50" w:rsidRDefault="005E6A50" w:rsidP="00AC5D1F"/>
    <w:p w14:paraId="721A5849" w14:textId="31236905" w:rsidR="00113BB8" w:rsidRDefault="009520F4" w:rsidP="00AC5D1F">
      <w:r>
        <w:t>Our group previously deployed</w:t>
      </w:r>
      <w:r w:rsidR="00113BB8">
        <w:t xml:space="preserve"> dynamic</w:t>
      </w:r>
      <w:r>
        <w:t xml:space="preserve"> flux balance analysis to predict metabolic profiles of diverse organisms. We applied this method to the metabolic profiling data acquired here and found the model agreed to X degree for E. coli and Y degree for P. fluorescens</w:t>
      </w:r>
      <w:r w:rsidR="003B520B">
        <w:t xml:space="preserve"> (</w:t>
      </w:r>
      <w:proofErr w:type="gramStart"/>
      <w:r w:rsidR="003B520B">
        <w:t>Figure !</w:t>
      </w:r>
      <w:proofErr w:type="gramEnd"/>
      <w:r w:rsidR="003B520B">
        <w:t>.C and D)</w:t>
      </w:r>
      <w:r>
        <w:t xml:space="preserve">. </w:t>
      </w:r>
      <w:r w:rsidR="005E6A50">
        <w:t>Description of results when acquired…</w:t>
      </w:r>
    </w:p>
    <w:p w14:paraId="08907ECB" w14:textId="77777777" w:rsidR="00384B9B" w:rsidRDefault="00384B9B" w:rsidP="00AC5D1F"/>
    <w:p w14:paraId="01C5A551" w14:textId="6BBB1D55" w:rsidR="005E6A50" w:rsidRDefault="00384B9B" w:rsidP="00AC5D1F">
      <w:r>
        <w:t xml:space="preserve">We next </w:t>
      </w:r>
      <w:r w:rsidR="00EF175E">
        <w:t xml:space="preserve">sought to explore whether metabolic models could be deployed to predict more </w:t>
      </w:r>
      <w:r w:rsidR="00305904">
        <w:t>complex</w:t>
      </w:r>
      <w:r w:rsidR="00A472EC">
        <w:t xml:space="preserve"> </w:t>
      </w:r>
      <w:r w:rsidR="007445D1">
        <w:t>facets of metabolism</w:t>
      </w:r>
      <w:r w:rsidR="00A472EC">
        <w:t xml:space="preserve">, specifically </w:t>
      </w:r>
      <w:r w:rsidR="002E4B40">
        <w:t xml:space="preserve">interspecies </w:t>
      </w:r>
      <w:r w:rsidR="00793F2F">
        <w:t>metabolic interactions</w:t>
      </w:r>
      <w:r w:rsidR="00A472EC">
        <w:t>.</w:t>
      </w:r>
      <w:r w:rsidR="00CC4B36">
        <w:t xml:space="preserve"> </w:t>
      </w:r>
    </w:p>
    <w:p w14:paraId="2E535EB9" w14:textId="77777777" w:rsidR="00113BB8" w:rsidRDefault="00113BB8" w:rsidP="00AC5D1F"/>
    <w:p w14:paraId="7FFB3BCD" w14:textId="77B9CF51" w:rsidR="00A80D6B" w:rsidRPr="00437884" w:rsidRDefault="00D51CDA" w:rsidP="00AC5D1F">
      <w:r>
        <w:t xml:space="preserve"> </w:t>
      </w:r>
    </w:p>
    <w:p w14:paraId="736826BF" w14:textId="77777777" w:rsidR="00A80D6B" w:rsidRDefault="00A80D6B" w:rsidP="00AC5D1F"/>
    <w:p w14:paraId="65BC91C7" w14:textId="64322952" w:rsidR="00AC5D1F" w:rsidRDefault="007940B8" w:rsidP="00AC5D1F">
      <w:r>
        <w:t xml:space="preserve">Previous research has found E. coli excretes significant concentrations of acetate while processing rich nutrients such as glucose. </w:t>
      </w:r>
    </w:p>
    <w:p w14:paraId="067113E4" w14:textId="77777777" w:rsidR="002D1AD2" w:rsidRDefault="002D1AD2"/>
    <w:sectPr w:rsidR="002D1A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ntonopoulos, Dionysios A." w:date="2022-11-28T12:32:00Z" w:initials="ADA">
    <w:p w14:paraId="1803419A" w14:textId="77777777" w:rsidR="00B75109" w:rsidRDefault="00B75109" w:rsidP="00C71AF5">
      <w:r>
        <w:rPr>
          <w:rStyle w:val="CommentReference"/>
        </w:rPr>
        <w:annotationRef/>
      </w:r>
      <w:r>
        <w:rPr>
          <w:sz w:val="20"/>
          <w:szCs w:val="20"/>
        </w:rPr>
        <w:t>Alternatively, could be couched in an E. coli aligned with mammalian gut context and P. fluorescence aligned with a soil rhizosphere (agriculture) context.</w:t>
      </w:r>
    </w:p>
  </w:comment>
  <w:comment w:id="1" w:author="Antonopoulos, Dionysios A." w:date="2022-11-28T12:34:00Z" w:initials="ADA">
    <w:p w14:paraId="2F4029B5" w14:textId="77777777" w:rsidR="00EB28DA" w:rsidRDefault="00B75109" w:rsidP="00E65E04">
      <w:r>
        <w:rPr>
          <w:rStyle w:val="CommentReference"/>
        </w:rPr>
        <w:annotationRef/>
      </w:r>
      <w:r w:rsidR="00EB28DA">
        <w:rPr>
          <w:sz w:val="20"/>
          <w:szCs w:val="20"/>
        </w:rPr>
        <w:t>One example was to highlight aspects of short-chain fatty acid sensing by gut microbes (e.g., Salmonella) to know where they’re at in the gut. This was a way to highlight importance of acetate sensing.</w:t>
      </w:r>
    </w:p>
  </w:comment>
  <w:comment w:id="2" w:author="Antonopoulos, Dionysios A." w:date="2022-11-28T12:53:00Z" w:initials="ADA">
    <w:p w14:paraId="1256B478" w14:textId="77777777" w:rsidR="00EF0422" w:rsidRDefault="00EF0422" w:rsidP="00163A58">
      <w:r>
        <w:rPr>
          <w:rStyle w:val="CommentReference"/>
        </w:rPr>
        <w:annotationRef/>
      </w:r>
      <w:r>
        <w:rPr>
          <w:sz w:val="20"/>
          <w:szCs w:val="20"/>
        </w:rPr>
        <w:t>Broke up introduction of Biolog data between topics 1 and 2.</w:t>
      </w:r>
    </w:p>
  </w:comment>
  <w:comment w:id="3" w:author="Antonopoulos, Dionysios A." w:date="2022-11-28T12:54:00Z" w:initials="ADA">
    <w:p w14:paraId="4A05B8A2" w14:textId="77777777" w:rsidR="00EF0422" w:rsidRDefault="00EF0422" w:rsidP="00CC263B">
      <w:r>
        <w:rPr>
          <w:rStyle w:val="CommentReference"/>
        </w:rPr>
        <w:annotationRef/>
      </w:r>
      <w:r>
        <w:rPr>
          <w:sz w:val="20"/>
          <w:szCs w:val="20"/>
        </w:rPr>
        <w:t>We need to engage Andrew/Chris on how to articulate why simple engineering predicted by metabolic models is a big deal.</w:t>
      </w:r>
    </w:p>
  </w:comment>
  <w:comment w:id="4" w:author="Freiburger, Andrew" w:date="2022-11-29T17:02:00Z" w:initials="FA">
    <w:p w14:paraId="44A34F12" w14:textId="122B2AF0" w:rsidR="00281C09" w:rsidRDefault="00281C09">
      <w:pPr>
        <w:pStyle w:val="CommentText"/>
      </w:pPr>
      <w:r>
        <w:rPr>
          <w:rStyle w:val="CommentReference"/>
        </w:rPr>
        <w:annotationRef/>
      </w:r>
      <w:r w:rsidR="00706671">
        <w:rPr>
          <w:rStyle w:val="CommentReference"/>
        </w:rPr>
        <w:t>One paper is identified, but it crudely integrates RNA-seq data. An interesting comparison may be against this method.</w:t>
      </w:r>
    </w:p>
  </w:comment>
  <w:comment w:id="5" w:author="Freiburger, Andrew" w:date="2022-11-30T14:57:00Z" w:initials="FA">
    <w:p w14:paraId="1D1B010C" w14:textId="52442173" w:rsidR="00706671" w:rsidRDefault="00706671">
      <w:pPr>
        <w:pStyle w:val="CommentText"/>
      </w:pPr>
      <w:r>
        <w:rPr>
          <w:rStyle w:val="CommentReference"/>
        </w:rPr>
        <w:annotationRef/>
      </w:r>
      <w:r>
        <w:t xml:space="preserve">A separate FBA simulation via </w:t>
      </w:r>
      <w:proofErr w:type="spellStart"/>
      <w:r>
        <w:t>SteadyCom</w:t>
      </w:r>
      <w:proofErr w:type="spellEnd"/>
      <w:r>
        <w:t xml:space="preserve"> with the models can be simulated and contrasted</w:t>
      </w:r>
    </w:p>
  </w:comment>
  <w:comment w:id="6" w:author="Freiburger, Andrew" w:date="2022-11-29T17:04:00Z" w:initials="FA">
    <w:p w14:paraId="4AEB880A" w14:textId="2878A6AF" w:rsidR="00281C09" w:rsidRDefault="00281C09">
      <w:pPr>
        <w:pStyle w:val="CommentText"/>
      </w:pPr>
      <w:r>
        <w:rPr>
          <w:rStyle w:val="CommentReference"/>
        </w:rPr>
        <w:annotationRef/>
      </w:r>
      <w:r>
        <w:t>This may not be possible to directly predict, but it can be indirectly predicted by assessing which reactions have non-zero fluxes</w:t>
      </w:r>
    </w:p>
  </w:comment>
  <w:comment w:id="7" w:author="Freiburger, Andrew" w:date="2022-11-29T17:06:00Z" w:initials="FA">
    <w:p w14:paraId="379F3E59" w14:textId="7AD3F608" w:rsidR="00281C09" w:rsidRDefault="00281C09">
      <w:pPr>
        <w:pStyle w:val="CommentText"/>
      </w:pPr>
      <w:r>
        <w:rPr>
          <w:rStyle w:val="CommentReference"/>
        </w:rPr>
        <w:annotationRef/>
      </w:r>
      <w:r>
        <w:t>Computational or experimental model?</w:t>
      </w:r>
    </w:p>
  </w:comment>
  <w:comment w:id="8" w:author="Freiburger, Andrew" w:date="2022-11-29T17:10:00Z" w:initials="FA">
    <w:p w14:paraId="027826F7" w14:textId="77777777" w:rsidR="00281C09" w:rsidRDefault="00281C09">
      <w:pPr>
        <w:pStyle w:val="CommentText"/>
      </w:pPr>
      <w:r>
        <w:rPr>
          <w:rStyle w:val="CommentReference"/>
        </w:rPr>
        <w:annotationRef/>
      </w:r>
      <w:r>
        <w:t>Are specific papers acknowledged/suggested, or is this an open inquiry?</w:t>
      </w:r>
    </w:p>
    <w:p w14:paraId="5B983517" w14:textId="77777777" w:rsidR="00AA7137" w:rsidRDefault="00AA7137">
      <w:pPr>
        <w:pStyle w:val="CommentText"/>
      </w:pPr>
    </w:p>
    <w:p w14:paraId="30928ABE" w14:textId="54A5A5E5" w:rsidR="00AA7137" w:rsidRDefault="00AA7137">
      <w:pPr>
        <w:pStyle w:val="CommentText"/>
      </w:pPr>
      <w:r>
        <w:t>Common knowledge: the glucose-acetate axis should be cited</w:t>
      </w:r>
    </w:p>
  </w:comment>
  <w:comment w:id="9" w:author="Freiburger, Andrew" w:date="2022-11-29T17:14:00Z" w:initials="FA">
    <w:p w14:paraId="5AD64985" w14:textId="77777777" w:rsidR="00DA6645" w:rsidRDefault="00DA6645">
      <w:pPr>
        <w:pStyle w:val="CommentText"/>
      </w:pPr>
      <w:r>
        <w:rPr>
          <w:rStyle w:val="CommentReference"/>
        </w:rPr>
        <w:annotationRef/>
      </w:r>
      <w:r>
        <w:t>OD decline in most acetate conditions</w:t>
      </w:r>
    </w:p>
    <w:p w14:paraId="53F4A4FE" w14:textId="77777777" w:rsidR="00AA7137" w:rsidRDefault="00AA7137">
      <w:pPr>
        <w:pStyle w:val="CommentText"/>
      </w:pPr>
    </w:p>
    <w:p w14:paraId="3B9F32C6" w14:textId="6A1DBA72" w:rsidR="00AA7137" w:rsidRDefault="00AA7137">
      <w:pPr>
        <w:pStyle w:val="CommentText"/>
      </w:pPr>
      <w:r>
        <w:t>Acetate addition to maltose lessened growth relative to pure maltose</w:t>
      </w:r>
    </w:p>
  </w:comment>
  <w:comment w:id="10" w:author="Freiburger, Andrew" w:date="2022-11-29T17:17:00Z" w:initials="FA">
    <w:p w14:paraId="12CB74D3" w14:textId="66D5820C" w:rsidR="00DA6645" w:rsidRDefault="00DA6645">
      <w:pPr>
        <w:pStyle w:val="CommentText"/>
      </w:pPr>
      <w:r>
        <w:rPr>
          <w:rStyle w:val="CommentReference"/>
        </w:rPr>
        <w:annotationRef/>
      </w:r>
      <w:r>
        <w:t>How should these datasets be best referenced and shared in the paper?</w:t>
      </w:r>
    </w:p>
  </w:comment>
  <w:comment w:id="11" w:author="Freiburger, Andrew" w:date="2022-11-29T17:20:00Z" w:initials="FA">
    <w:p w14:paraId="7FD65758" w14:textId="3B91970D" w:rsidR="00DA6645" w:rsidRDefault="00DA6645" w:rsidP="00DA6645">
      <w:pPr>
        <w:pStyle w:val="CommentText"/>
        <w:numPr>
          <w:ilvl w:val="0"/>
          <w:numId w:val="3"/>
        </w:numPr>
      </w:pPr>
      <w:r>
        <w:rPr>
          <w:rStyle w:val="CommentReference"/>
        </w:rPr>
        <w:annotationRef/>
      </w:r>
      <w:r>
        <w:t xml:space="preserve"> The raw experimental signal must be translated to a g/L value to be amenable with the metabolic models</w:t>
      </w:r>
    </w:p>
    <w:p w14:paraId="71A05AB2" w14:textId="77777777" w:rsidR="00DA6645" w:rsidRDefault="004A4A58" w:rsidP="00DA6645">
      <w:pPr>
        <w:pStyle w:val="CommentText"/>
        <w:numPr>
          <w:ilvl w:val="0"/>
          <w:numId w:val="3"/>
        </w:numPr>
      </w:pPr>
      <w:r>
        <w:t xml:space="preserve"> [… Chris may have more ideas </w:t>
      </w:r>
      <w:proofErr w:type="gramStart"/>
      <w:r>
        <w:t>… ]</w:t>
      </w:r>
      <w:proofErr w:type="gramEnd"/>
    </w:p>
    <w:p w14:paraId="17E62586" w14:textId="77777777" w:rsidR="00AA7137" w:rsidRDefault="00AA7137" w:rsidP="00AA7137">
      <w:pPr>
        <w:pStyle w:val="CommentText"/>
      </w:pPr>
    </w:p>
    <w:p w14:paraId="27EAF57B" w14:textId="25946747" w:rsidR="00AA7137" w:rsidRDefault="00AA7137" w:rsidP="00AA7137">
      <w:pPr>
        <w:pStyle w:val="CommentText"/>
      </w:pPr>
      <w:r>
        <w:t>Articulate limits of the model and the assumptions</w:t>
      </w:r>
    </w:p>
  </w:comment>
  <w:comment w:id="12" w:author="Freiburger, Andrew" w:date="2022-11-29T17:27:00Z" w:initials="FA">
    <w:p w14:paraId="5E37D00C" w14:textId="22EBADAE" w:rsidR="004A4A58" w:rsidRDefault="004A4A58">
      <w:pPr>
        <w:pStyle w:val="CommentText"/>
      </w:pPr>
      <w:r>
        <w:rPr>
          <w:rStyle w:val="CommentReference"/>
        </w:rPr>
        <w:annotationRef/>
      </w:r>
      <w:r>
        <w:t>Elaborate these experimental methods and biological meanings in the paper</w:t>
      </w:r>
    </w:p>
  </w:comment>
  <w:comment w:id="13" w:author="Freiburger, Andrew" w:date="2022-11-29T17:27:00Z" w:initials="FA">
    <w:p w14:paraId="4672BC4F" w14:textId="7F811D35" w:rsidR="004A4A58" w:rsidRDefault="004A4A58">
      <w:pPr>
        <w:pStyle w:val="CommentText"/>
      </w:pPr>
      <w:r>
        <w:rPr>
          <w:rStyle w:val="CommentReference"/>
        </w:rPr>
        <w:annotationRef/>
      </w:r>
      <w:r>
        <w:t>I believe that this will simply include removing a reaction from the GEM to construct a representative KO model</w:t>
      </w:r>
    </w:p>
  </w:comment>
  <w:comment w:id="14" w:author="Freiburger, Andrew" w:date="2022-11-29T17:30:00Z" w:initials="FA">
    <w:p w14:paraId="174A682D" w14:textId="0142C3E3" w:rsidR="004A4A58" w:rsidRDefault="004A4A58">
      <w:pPr>
        <w:pStyle w:val="CommentText"/>
      </w:pPr>
      <w:r>
        <w:rPr>
          <w:rStyle w:val="CommentReference"/>
        </w:rPr>
        <w:annotationRef/>
      </w:r>
      <w:r>
        <w:t>The prior comment will enable these simulations as well.</w:t>
      </w:r>
    </w:p>
  </w:comment>
  <w:comment w:id="15" w:author="Freiburger, Andrew" w:date="2022-11-29T17:31:00Z" w:initials="FA">
    <w:p w14:paraId="59022993" w14:textId="77777777" w:rsidR="004A4A58" w:rsidRDefault="004A4A58">
      <w:pPr>
        <w:pStyle w:val="CommentText"/>
      </w:pPr>
      <w:r>
        <w:rPr>
          <w:rStyle w:val="CommentReference"/>
        </w:rPr>
        <w:annotationRef/>
      </w:r>
      <w:r>
        <w:t xml:space="preserve">By confirming that Pseudomonas must be consuming the acetate and not E. coli in the given </w:t>
      </w:r>
      <w:proofErr w:type="gramStart"/>
      <w:r>
        <w:t>experiments?</w:t>
      </w:r>
      <w:proofErr w:type="gramEnd"/>
    </w:p>
    <w:p w14:paraId="390A6892" w14:textId="77777777" w:rsidR="00AA7137" w:rsidRDefault="00AA7137">
      <w:pPr>
        <w:pStyle w:val="CommentText"/>
      </w:pPr>
    </w:p>
    <w:p w14:paraId="79617B02" w14:textId="57064813" w:rsidR="00AA7137" w:rsidRDefault="00AA7137">
      <w:pPr>
        <w:pStyle w:val="CommentText"/>
      </w:pPr>
      <w:r>
        <w:t>Not completely validated</w:t>
      </w:r>
    </w:p>
  </w:comment>
  <w:comment w:id="16" w:author="Freiburger, Andrew" w:date="2022-11-29T17:54:00Z" w:initials="FA">
    <w:p w14:paraId="0E24D951" w14:textId="1EBA1B85" w:rsidR="0092088C" w:rsidRDefault="0092088C">
      <w:pPr>
        <w:pStyle w:val="CommentText"/>
      </w:pPr>
      <w:r>
        <w:rPr>
          <w:rStyle w:val="CommentReference"/>
        </w:rPr>
        <w:annotationRef/>
      </w:r>
      <w:r>
        <w:t>What is the allusion of this conclusion?</w:t>
      </w:r>
    </w:p>
  </w:comment>
  <w:comment w:id="17" w:author="Freiburger, Andrew" w:date="2022-11-30T16:24:00Z" w:initials="FA">
    <w:p w14:paraId="47200E1F" w14:textId="079C0803" w:rsidR="002539BA" w:rsidRDefault="002539BA">
      <w:pPr>
        <w:pStyle w:val="CommentText"/>
      </w:pPr>
      <w:r>
        <w:rPr>
          <w:rStyle w:val="CommentReference"/>
        </w:rPr>
        <w:annotationRef/>
      </w:r>
      <w:proofErr w:type="spellStart"/>
      <w:r>
        <w:t>SteadyCom</w:t>
      </w:r>
      <w:proofErr w:type="spellEnd"/>
      <w:r>
        <w:t xml:space="preserve"> predictions, and apply </w:t>
      </w:r>
      <w:proofErr w:type="spellStart"/>
      <w:r>
        <w:t>CommPhitting</w:t>
      </w:r>
      <w:proofErr w:type="spellEnd"/>
      <w:r>
        <w:t xml:space="preserve"> to the most profound constructive interference</w:t>
      </w:r>
    </w:p>
    <w:p w14:paraId="72D87BC2" w14:textId="75A7F2F1" w:rsidR="002539BA" w:rsidRDefault="002539BA">
      <w:pPr>
        <w:pStyle w:val="CommentText"/>
      </w:pPr>
    </w:p>
  </w:comment>
  <w:comment w:id="18" w:author="Freiburger, Andrew" w:date="2022-11-29T17:57:00Z" w:initials="FA">
    <w:p w14:paraId="64BE88EB" w14:textId="7277AAF4" w:rsidR="0092088C" w:rsidRDefault="0092088C">
      <w:pPr>
        <w:pStyle w:val="CommentText"/>
      </w:pPr>
      <w:r>
        <w:rPr>
          <w:rStyle w:val="CommentReference"/>
        </w:rPr>
        <w:annotationRef/>
      </w:r>
      <w:r>
        <w:t xml:space="preserve">% </w:t>
      </w:r>
      <w:proofErr w:type="gramStart"/>
      <w:r>
        <w:t>of</w:t>
      </w:r>
      <w:proofErr w:type="gramEnd"/>
      <w:r>
        <w:t xml:space="preserve"> conditions where each respective outcome was observed?</w:t>
      </w:r>
    </w:p>
  </w:comment>
  <w:comment w:id="19" w:author="Freiburger, Andrew" w:date="2022-11-29T17:58:00Z" w:initials="FA">
    <w:p w14:paraId="73E64521" w14:textId="1E97D171" w:rsidR="0092088C" w:rsidRDefault="0092088C">
      <w:pPr>
        <w:pStyle w:val="CommentText"/>
      </w:pPr>
      <w:r>
        <w:rPr>
          <w:rStyle w:val="CommentReference"/>
        </w:rPr>
        <w:annotationRef/>
      </w:r>
      <w:r>
        <w:t>Existence or absence of interactions?</w:t>
      </w:r>
    </w:p>
  </w:comment>
  <w:comment w:id="20" w:author="Freiburger, Andrew" w:date="2022-11-29T17:59:00Z" w:initials="FA">
    <w:p w14:paraId="414A9C31" w14:textId="043616B4" w:rsidR="0092088C" w:rsidRDefault="0092088C">
      <w:pPr>
        <w:pStyle w:val="CommentText"/>
      </w:pPr>
      <w:r>
        <w:rPr>
          <w:rStyle w:val="CommentReference"/>
        </w:rPr>
        <w:annotationRef/>
      </w:r>
      <w:r>
        <w:t>We must graph the other metabolites besides acetate to expose unexpected results. This can be readily and comprehensively enacted in a Notebook.</w:t>
      </w:r>
    </w:p>
  </w:comment>
  <w:comment w:id="21" w:author="Freiburger, Andrew" w:date="2022-11-29T18:05:00Z" w:initials="FA">
    <w:p w14:paraId="0F158BBC" w14:textId="13E72856" w:rsidR="0020345D" w:rsidRDefault="0020345D">
      <w:pPr>
        <w:pStyle w:val="CommentText"/>
      </w:pPr>
      <w:r>
        <w:rPr>
          <w:rStyle w:val="CommentReference"/>
        </w:rPr>
        <w:annotationRef/>
      </w:r>
      <w:r>
        <w:t>BIOLOG conditions?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03419A" w15:done="0"/>
  <w15:commentEx w15:paraId="2F4029B5" w15:done="0"/>
  <w15:commentEx w15:paraId="1256B478" w15:done="0"/>
  <w15:commentEx w15:paraId="4A05B8A2" w15:done="0"/>
  <w15:commentEx w15:paraId="44A34F12" w15:done="0"/>
  <w15:commentEx w15:paraId="1D1B010C" w15:done="0"/>
  <w15:commentEx w15:paraId="4AEB880A" w15:done="0"/>
  <w15:commentEx w15:paraId="379F3E59" w15:done="0"/>
  <w15:commentEx w15:paraId="30928ABE" w15:done="0"/>
  <w15:commentEx w15:paraId="3B9F32C6" w15:done="0"/>
  <w15:commentEx w15:paraId="12CB74D3" w15:done="0"/>
  <w15:commentEx w15:paraId="27EAF57B" w15:done="0"/>
  <w15:commentEx w15:paraId="5E37D00C" w15:done="0"/>
  <w15:commentEx w15:paraId="4672BC4F" w15:done="0"/>
  <w15:commentEx w15:paraId="174A682D" w15:done="0"/>
  <w15:commentEx w15:paraId="79617B02" w15:done="0"/>
  <w15:commentEx w15:paraId="0E24D951" w15:done="0"/>
  <w15:commentEx w15:paraId="72D87BC2" w15:done="0"/>
  <w15:commentEx w15:paraId="64BE88EB" w15:done="0"/>
  <w15:commentEx w15:paraId="73E64521" w15:done="0"/>
  <w15:commentEx w15:paraId="414A9C31" w15:done="0"/>
  <w15:commentEx w15:paraId="0F158BB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28F2" w16cex:dateUtc="2022-11-28T18:32:00Z"/>
  <w16cex:commentExtensible w16cex:durableId="272F2938" w16cex:dateUtc="2022-11-28T18:34:00Z"/>
  <w16cex:commentExtensible w16cex:durableId="272F2DBF" w16cex:dateUtc="2022-11-28T18:53:00Z"/>
  <w16cex:commentExtensible w16cex:durableId="272F2DF6" w16cex:dateUtc="2022-11-28T18:54:00Z"/>
  <w16cex:commentExtensible w16cex:durableId="2730B9A0" w16cex:dateUtc="2022-11-29T23:02:00Z"/>
  <w16cex:commentExtensible w16cex:durableId="2731EDE0" w16cex:dateUtc="2022-11-30T20:57:00Z"/>
  <w16cex:commentExtensible w16cex:durableId="2730BA35" w16cex:dateUtc="2022-11-29T23:04:00Z"/>
  <w16cex:commentExtensible w16cex:durableId="2730BA8A" w16cex:dateUtc="2022-11-29T23:06:00Z"/>
  <w16cex:commentExtensible w16cex:durableId="2730BB6E" w16cex:dateUtc="2022-11-29T23:10:00Z"/>
  <w16cex:commentExtensible w16cex:durableId="2730BC81" w16cex:dateUtc="2022-11-29T23:14:00Z"/>
  <w16cex:commentExtensible w16cex:durableId="2730BD26" w16cex:dateUtc="2022-11-29T23:17:00Z"/>
  <w16cex:commentExtensible w16cex:durableId="2730BDF4" w16cex:dateUtc="2022-11-29T23:20:00Z"/>
  <w16cex:commentExtensible w16cex:durableId="2730BF80" w16cex:dateUtc="2022-11-29T23:27:00Z"/>
  <w16cex:commentExtensible w16cex:durableId="2730BF9D" w16cex:dateUtc="2022-11-29T23:27:00Z"/>
  <w16cex:commentExtensible w16cex:durableId="2730C02F" w16cex:dateUtc="2022-11-29T23:30:00Z"/>
  <w16cex:commentExtensible w16cex:durableId="2730C07C" w16cex:dateUtc="2022-11-29T23:31:00Z"/>
  <w16cex:commentExtensible w16cex:durableId="2730C5CC" w16cex:dateUtc="2022-11-29T23:54:00Z"/>
  <w16cex:commentExtensible w16cex:durableId="2732022E" w16cex:dateUtc="2022-11-30T22:24:00Z"/>
  <w16cex:commentExtensible w16cex:durableId="2730C677" w16cex:dateUtc="2022-11-29T23:57:00Z"/>
  <w16cex:commentExtensible w16cex:durableId="2730C6B8" w16cex:dateUtc="2022-11-29T23:58:00Z"/>
  <w16cex:commentExtensible w16cex:durableId="2730C713" w16cex:dateUtc="2022-11-29T23:59:00Z"/>
  <w16cex:commentExtensible w16cex:durableId="2730C84C" w16cex:dateUtc="2022-11-30T00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03419A" w16cid:durableId="272F28F2"/>
  <w16cid:commentId w16cid:paraId="2F4029B5" w16cid:durableId="272F2938"/>
  <w16cid:commentId w16cid:paraId="1256B478" w16cid:durableId="272F2DBF"/>
  <w16cid:commentId w16cid:paraId="4A05B8A2" w16cid:durableId="272F2DF6"/>
  <w16cid:commentId w16cid:paraId="44A34F12" w16cid:durableId="2730B9A0"/>
  <w16cid:commentId w16cid:paraId="1D1B010C" w16cid:durableId="2731EDE0"/>
  <w16cid:commentId w16cid:paraId="4AEB880A" w16cid:durableId="2730BA35"/>
  <w16cid:commentId w16cid:paraId="379F3E59" w16cid:durableId="2730BA8A"/>
  <w16cid:commentId w16cid:paraId="30928ABE" w16cid:durableId="2730BB6E"/>
  <w16cid:commentId w16cid:paraId="3B9F32C6" w16cid:durableId="2730BC81"/>
  <w16cid:commentId w16cid:paraId="12CB74D3" w16cid:durableId="2730BD26"/>
  <w16cid:commentId w16cid:paraId="27EAF57B" w16cid:durableId="2730BDF4"/>
  <w16cid:commentId w16cid:paraId="5E37D00C" w16cid:durableId="2730BF80"/>
  <w16cid:commentId w16cid:paraId="4672BC4F" w16cid:durableId="2730BF9D"/>
  <w16cid:commentId w16cid:paraId="174A682D" w16cid:durableId="2730C02F"/>
  <w16cid:commentId w16cid:paraId="79617B02" w16cid:durableId="2730C07C"/>
  <w16cid:commentId w16cid:paraId="0E24D951" w16cid:durableId="2730C5CC"/>
  <w16cid:commentId w16cid:paraId="72D87BC2" w16cid:durableId="2732022E"/>
  <w16cid:commentId w16cid:paraId="64BE88EB" w16cid:durableId="2730C677"/>
  <w16cid:commentId w16cid:paraId="73E64521" w16cid:durableId="2730C6B8"/>
  <w16cid:commentId w16cid:paraId="414A9C31" w16cid:durableId="2730C713"/>
  <w16cid:commentId w16cid:paraId="0F158BBC" w16cid:durableId="2730C8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7C275F"/>
    <w:multiLevelType w:val="hybridMultilevel"/>
    <w:tmpl w:val="ACDE3B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C56BB"/>
    <w:multiLevelType w:val="hybridMultilevel"/>
    <w:tmpl w:val="44EA5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A749A4"/>
    <w:multiLevelType w:val="hybridMultilevel"/>
    <w:tmpl w:val="D696CC06"/>
    <w:lvl w:ilvl="0" w:tplc="8160B2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2A06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462A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02CE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80EF2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5548E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28A8E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840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1473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9828749">
    <w:abstractNumId w:val="1"/>
  </w:num>
  <w:num w:numId="2" w16cid:durableId="376513285">
    <w:abstractNumId w:val="2"/>
  </w:num>
  <w:num w:numId="3" w16cid:durableId="141180545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tonopoulos, Dionysios A.">
    <w15:presenceInfo w15:providerId="AD" w15:userId="S::dantonop@anl.gov::c4c6dfad-e6be-44d0-a0bd-d3af07b7a3f0"/>
  </w15:person>
  <w15:person w15:author="Freiburger, Andrew">
    <w15:presenceInfo w15:providerId="AD" w15:userId="S::afreiburger@anl.gov::efab019e-181b-4941-8f3f-c85d9dbe09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0EF"/>
    <w:rsid w:val="00044304"/>
    <w:rsid w:val="000B00EF"/>
    <w:rsid w:val="000D7544"/>
    <w:rsid w:val="000E217D"/>
    <w:rsid w:val="00102018"/>
    <w:rsid w:val="00113BB8"/>
    <w:rsid w:val="00115D7C"/>
    <w:rsid w:val="00142A7D"/>
    <w:rsid w:val="001A72ED"/>
    <w:rsid w:val="001D38C9"/>
    <w:rsid w:val="0020345D"/>
    <w:rsid w:val="002231B6"/>
    <w:rsid w:val="002539BA"/>
    <w:rsid w:val="00281C09"/>
    <w:rsid w:val="002D1AD2"/>
    <w:rsid w:val="002E242F"/>
    <w:rsid w:val="002E4B40"/>
    <w:rsid w:val="002F5832"/>
    <w:rsid w:val="00305904"/>
    <w:rsid w:val="00384B9B"/>
    <w:rsid w:val="003B520B"/>
    <w:rsid w:val="003C5062"/>
    <w:rsid w:val="003C5FF1"/>
    <w:rsid w:val="00437884"/>
    <w:rsid w:val="004A4A58"/>
    <w:rsid w:val="004E5316"/>
    <w:rsid w:val="00504DD0"/>
    <w:rsid w:val="005276DC"/>
    <w:rsid w:val="00543A13"/>
    <w:rsid w:val="00565CB8"/>
    <w:rsid w:val="005D303A"/>
    <w:rsid w:val="005E6A50"/>
    <w:rsid w:val="00684983"/>
    <w:rsid w:val="006E5F20"/>
    <w:rsid w:val="006F3980"/>
    <w:rsid w:val="00706671"/>
    <w:rsid w:val="007074CB"/>
    <w:rsid w:val="00715DE3"/>
    <w:rsid w:val="007445D1"/>
    <w:rsid w:val="00793F2F"/>
    <w:rsid w:val="007940B8"/>
    <w:rsid w:val="007B69B2"/>
    <w:rsid w:val="00892B77"/>
    <w:rsid w:val="008F2F49"/>
    <w:rsid w:val="0092088C"/>
    <w:rsid w:val="00920DAA"/>
    <w:rsid w:val="009520F4"/>
    <w:rsid w:val="009627CC"/>
    <w:rsid w:val="00A3540A"/>
    <w:rsid w:val="00A472EC"/>
    <w:rsid w:val="00A75E8E"/>
    <w:rsid w:val="00A80D6B"/>
    <w:rsid w:val="00AA7137"/>
    <w:rsid w:val="00AC5D1F"/>
    <w:rsid w:val="00B6549B"/>
    <w:rsid w:val="00B75109"/>
    <w:rsid w:val="00B850AD"/>
    <w:rsid w:val="00B94156"/>
    <w:rsid w:val="00BE27A8"/>
    <w:rsid w:val="00C21CE0"/>
    <w:rsid w:val="00C60753"/>
    <w:rsid w:val="00C83C74"/>
    <w:rsid w:val="00C941CF"/>
    <w:rsid w:val="00CC4B36"/>
    <w:rsid w:val="00CF2994"/>
    <w:rsid w:val="00D51CDA"/>
    <w:rsid w:val="00DA6645"/>
    <w:rsid w:val="00DF767B"/>
    <w:rsid w:val="00E7773C"/>
    <w:rsid w:val="00E95FCB"/>
    <w:rsid w:val="00EA4115"/>
    <w:rsid w:val="00EB28DA"/>
    <w:rsid w:val="00EB7953"/>
    <w:rsid w:val="00EF0422"/>
    <w:rsid w:val="00EF175E"/>
    <w:rsid w:val="00F21BF0"/>
    <w:rsid w:val="00F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3D68"/>
  <w15:chartTrackingRefBased/>
  <w15:docId w15:val="{907DD6CB-047F-C14B-820A-D2F9A03FD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B7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51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51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51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6546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711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2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943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Dewey, Jeffrey Alexander</dc:creator>
  <cp:keywords/>
  <dc:description/>
  <cp:lastModifiedBy>Freiburger, Andrew</cp:lastModifiedBy>
  <cp:revision>37</cp:revision>
  <dcterms:created xsi:type="dcterms:W3CDTF">2022-11-28T18:31:00Z</dcterms:created>
  <dcterms:modified xsi:type="dcterms:W3CDTF">2022-11-30T23:57:00Z</dcterms:modified>
</cp:coreProperties>
</file>