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23C4C807" w:rsidR="00207651" w:rsidRDefault="00207651" w:rsidP="00207651">
      <w:pPr>
        <w:pStyle w:val="BodyText"/>
      </w:pPr>
      <w:r w:rsidRPr="00B15F69">
        <w:t>Date:</w:t>
      </w:r>
      <w:r>
        <w:t xml:space="preserve"> </w:t>
      </w:r>
      <w:r w:rsidR="00FA5F7D">
        <w:t>21</w:t>
      </w:r>
      <w:r>
        <w:t>-Apr-2015</w:t>
      </w:r>
    </w:p>
    <w:p w14:paraId="06B5D4DD" w14:textId="2B0BDC57" w:rsidR="001351A0" w:rsidRDefault="007436C4" w:rsidP="00207651">
      <w:pPr>
        <w:pStyle w:val="ITEABodyText"/>
      </w:pPr>
      <w:r>
        <w:t>Version: 0.1</w:t>
      </w:r>
      <w:r w:rsidR="00125018">
        <w:t>.1</w:t>
      </w:r>
      <w:bookmarkStart w:id="0" w:name="_GoBack"/>
      <w:bookmarkEnd w:id="0"/>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17796"/>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r w:rsidR="00FA5F7D"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48BB3B72" w:rsidR="00FA5F7D" w:rsidRDefault="00FA5F7D" w:rsidP="00FA5F7D">
            <w:pPr>
              <w:pStyle w:val="ITEABodyText"/>
              <w:rPr>
                <w:lang w:eastAsia="en-US"/>
              </w:rPr>
            </w:pPr>
            <w:r>
              <w:rPr>
                <w:lang w:eastAsia="en-US"/>
              </w:rPr>
              <w:t>1.0.0</w:t>
            </w:r>
          </w:p>
        </w:tc>
        <w:tc>
          <w:tcPr>
            <w:tcW w:w="1291" w:type="pct"/>
          </w:tcPr>
          <w:p w14:paraId="644FA15C" w14:textId="51E46A3E" w:rsidR="00FA5F7D" w:rsidRDefault="00FA5F7D"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&lt;name&gt;</w:t>
            </w:r>
          </w:p>
        </w:tc>
        <w:tc>
          <w:tcPr>
            <w:tcW w:w="893" w:type="pct"/>
          </w:tcPr>
          <w:p w14:paraId="5DEE3876" w14:textId="42CCA098" w:rsidR="00FA5F7D" w:rsidRDefault="00FA5F7D"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&lt;date&gt;</w:t>
            </w:r>
          </w:p>
        </w:tc>
        <w:tc>
          <w:tcPr>
            <w:tcW w:w="2271" w:type="pct"/>
          </w:tcPr>
          <w:p w14:paraId="16F8F23E" w14:textId="3F39B96A" w:rsidR="00FA5F7D" w:rsidRDefault="00FA5F7D"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1170B2">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t>10</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Pr>
          <w:noProof/>
        </w:rPr>
        <w:t>11</w:t>
      </w:r>
      <w:r>
        <w:rPr>
          <w:noProof/>
        </w:rPr>
        <w:fldChar w:fldCharType="end"/>
      </w:r>
    </w:p>
    <w:p w14:paraId="488236CA"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_Toc417317808 \h </w:instrText>
      </w:r>
      <w:r>
        <w:rPr>
          <w:noProof/>
        </w:rPr>
      </w:r>
      <w:r>
        <w:rPr>
          <w:noProof/>
        </w:rPr>
        <w:fldChar w:fldCharType="separate"/>
      </w:r>
      <w:r>
        <w:rPr>
          <w:noProof/>
        </w:rPr>
        <w:t>12</w:t>
      </w:r>
      <w:r>
        <w:rPr>
          <w:noProof/>
        </w:rPr>
        <w:fldChar w:fldCharType="end"/>
      </w:r>
    </w:p>
    <w:p w14:paraId="467CBDBF"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w:t>
      </w:r>
      <w:r>
        <w:tab/>
      </w:r>
      <w:r>
        <w:fldChar w:fldCharType="begin"/>
      </w:r>
      <w:r>
        <w:instrText xml:space="preserve"> PAGEREF _Toc417317809 \h </w:instrText>
      </w:r>
      <w:r>
        <w:fldChar w:fldCharType="separate"/>
      </w:r>
      <w:r>
        <w:t>12</w:t>
      </w:r>
      <w:r>
        <w:fldChar w:fldCharType="end"/>
      </w:r>
    </w:p>
    <w:p w14:paraId="7238C7B8" w14:textId="3EB2552A" w:rsidR="00973958" w:rsidRDefault="0049173E" w:rsidP="00781966">
      <w:pPr>
        <w:pStyle w:val="ITEAHeading1"/>
      </w:pPr>
      <w:r w:rsidRPr="009301B2">
        <w:lastRenderedPageBreak/>
        <w:fldChar w:fldCharType="end"/>
      </w:r>
      <w:bookmarkStart w:id="15" w:name="_Toc417317797"/>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17798"/>
      <w:r w:rsidRPr="00973958">
        <w:t>Role of the deliverable</w:t>
      </w:r>
      <w:bookmarkEnd w:id="16"/>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7" w:name="_Toc41731779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8" w:name="_Toc417317800"/>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CECC614" w14:textId="7A7353BE" w:rsidR="001D7564" w:rsidRPr="00A86A03" w:rsidRDefault="00F829CE" w:rsidP="00DF14E8">
            <w:pPr>
              <w:pStyle w:val="ITEABodyText"/>
              <w:rPr>
                <w:color w:val="000000"/>
              </w:rPr>
            </w:pPr>
            <w:r>
              <w:rPr>
                <w:color w:val="000000"/>
              </w:rPr>
              <w:t>BPMN</w:t>
            </w:r>
          </w:p>
        </w:tc>
        <w:tc>
          <w:tcPr>
            <w:tcW w:w="763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14:paraId="093F0771"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7FE1D75" w14:textId="35608CE5" w:rsidR="001D7564" w:rsidRPr="00A86A03" w:rsidRDefault="00F829CE" w:rsidP="00DF14E8">
            <w:pPr>
              <w:pStyle w:val="ITEABodyText"/>
              <w:rPr>
                <w:color w:val="000000"/>
              </w:rPr>
            </w:pPr>
            <w:proofErr w:type="spellStart"/>
            <w:r>
              <w:rPr>
                <w:color w:val="000000"/>
              </w:rPr>
              <w:t>ReqIF</w:t>
            </w:r>
            <w:proofErr w:type="spellEnd"/>
          </w:p>
        </w:tc>
        <w:tc>
          <w:tcPr>
            <w:tcW w:w="7630" w:type="dxa"/>
          </w:tcPr>
          <w:p w14:paraId="0ABCD4DE"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14:paraId="5FE455A7"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C476D7" w14:textId="540A042F" w:rsidR="001D7564" w:rsidRPr="00A86A03" w:rsidRDefault="00F829CE" w:rsidP="00DF14E8">
            <w:pPr>
              <w:pStyle w:val="ITEABodyText"/>
              <w:rPr>
                <w:color w:val="000000"/>
              </w:rPr>
            </w:pPr>
            <w:r>
              <w:rPr>
                <w:color w:val="000000"/>
              </w:rPr>
              <w:t>RMF</w:t>
            </w:r>
          </w:p>
        </w:tc>
        <w:tc>
          <w:tcPr>
            <w:tcW w:w="7630" w:type="dxa"/>
          </w:tcPr>
          <w:p w14:paraId="01100D8C" w14:textId="77777777"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14:paraId="2C7D08BA"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19E4CA4" w14:textId="1F4F547F" w:rsidR="001D7564" w:rsidRPr="00A86A03" w:rsidRDefault="00F829CE" w:rsidP="00DF14E8">
            <w:pPr>
              <w:pStyle w:val="ITEABodyText"/>
              <w:rPr>
                <w:color w:val="000000"/>
              </w:rPr>
            </w:pPr>
            <w:r>
              <w:rPr>
                <w:color w:val="000000"/>
              </w:rPr>
              <w:t>SBVR</w:t>
            </w:r>
          </w:p>
        </w:tc>
        <w:tc>
          <w:tcPr>
            <w:tcW w:w="7630" w:type="dxa"/>
          </w:tcPr>
          <w:p w14:paraId="40EF0419"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14:paraId="489A921A"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784C34" w14:textId="6CE3D7BE" w:rsidR="00F829CE" w:rsidRDefault="00F829CE" w:rsidP="00DF14E8">
            <w:pPr>
              <w:pStyle w:val="ITEABodyText"/>
              <w:rPr>
                <w:color w:val="000000"/>
              </w:rPr>
            </w:pPr>
            <w:r>
              <w:rPr>
                <w:color w:val="000000"/>
              </w:rPr>
              <w:t>IPA</w:t>
            </w:r>
          </w:p>
        </w:tc>
        <w:tc>
          <w:tcPr>
            <w:tcW w:w="7630" w:type="dxa"/>
          </w:tcPr>
          <w:p w14:paraId="1810690B" w14:textId="77777777"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w:t>
      </w:r>
      <w:proofErr w:type="spellStart"/>
      <w:r>
        <w:rPr>
          <w:lang w:eastAsia="en-US"/>
        </w:rPr>
        <w:t>Hisbim</w:t>
      </w:r>
      <w:proofErr w:type="spellEnd"/>
      <w:r>
        <w:rPr>
          <w:lang w:eastAsia="en-US"/>
        </w:rPr>
        <w:t xml:space="preserve">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Pr="004B5638">
        <w:t>UC-TR-01 Production of a proposal in response to an IPA Invitation To Tender</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Pr="004B5638">
        <w:t>UC-TR-02 Collaborative production of a proposal for an IPA project</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t xml:space="preserve">UC-TR-03 Synchronization of </w:t>
      </w:r>
      <w:proofErr w:type="spellStart"/>
      <w:r>
        <w:t>ReqIF</w:t>
      </w:r>
      <w:proofErr w:type="spellEnd"/>
      <w:r>
        <w:t>/Clafer models from requirement specifications</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Pr="00910DC6">
        <w:t>UC-TR-05 Synchronous Business Process Design with Use Cases</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Pr="004B5638">
              <w:t>Production of a proposal in response to an IPA Invitation To Tender</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Pr="00B45605">
              <w:t>Collaborative production of a proposal for an IPA project</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w:t>
            </w:r>
            <w:proofErr w:type="spellStart"/>
            <w:r>
              <w:rPr>
                <w:shd w:val="clear" w:color="auto" w:fill="FFFFFF"/>
              </w:rPr>
              <w:t>ToR</w:t>
            </w:r>
            <w:proofErr w:type="spellEnd"/>
            <w:r>
              <w:rPr>
                <w:shd w:val="clear" w:color="auto" w:fill="FFFFFF"/>
              </w:rPr>
              <w:t>)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 xml:space="preserve">IPA ITT and </w:t>
            </w:r>
            <w:proofErr w:type="spellStart"/>
            <w:r w:rsidRPr="00042CE8">
              <w:rPr>
                <w:lang w:val="en-IE" w:eastAsia="en-IE"/>
              </w:rPr>
              <w:t>ToR</w:t>
            </w:r>
            <w:proofErr w:type="spellEnd"/>
            <w:r w:rsidRPr="00042CE8">
              <w:rPr>
                <w:lang w:val="en-IE" w:eastAsia="en-IE"/>
              </w:rPr>
              <w:t xml:space="preserve">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 xml:space="preserve">UC-TR-03 Synchronization of </w:t>
      </w:r>
      <w:proofErr w:type="spellStart"/>
      <w:r>
        <w:t>ReqIF</w:t>
      </w:r>
      <w:proofErr w:type="spellEnd"/>
      <w:r>
        <w:t>/Clafer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w:t>
      </w:r>
      <w:proofErr w:type="spellStart"/>
      <w:r>
        <w:t>Clafer’s</w:t>
      </w:r>
      <w:proofErr w:type="spellEnd"/>
      <w:r>
        <w:t xml:space="preserve">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13428382" w:rsidR="00B956C1" w:rsidRDefault="00B956C1" w:rsidP="00B956C1">
            <w:pPr>
              <w:pStyle w:val="ITEABodyText"/>
            </w:pPr>
            <w:r w:rsidRPr="00241504">
              <w:t>UC-</w:t>
            </w:r>
            <w:r>
              <w:t>TR-03</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 xml:space="preserve">Synchronization of </w:t>
            </w:r>
            <w:proofErr w:type="spellStart"/>
            <w:r w:rsidRPr="002D045F">
              <w:t>ReqIF</w:t>
            </w:r>
            <w:proofErr w:type="spellEnd"/>
            <w:r w:rsidRPr="002D045F">
              <w:t>/Clafer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Show that the ModelWriter’s artefacts can be fruitful for synchronization of </w:t>
            </w:r>
            <w:proofErr w:type="spellStart"/>
            <w:r>
              <w:rPr>
                <w:color w:val="000000"/>
              </w:rPr>
              <w:t>ReqIF</w:t>
            </w:r>
            <w:proofErr w:type="spellEnd"/>
            <w:r>
              <w:rPr>
                <w:color w:val="000000"/>
              </w:rPr>
              <w:t>/</w:t>
            </w:r>
            <w:proofErr w:type="spellStart"/>
            <w:r>
              <w:rPr>
                <w:color w:val="000000"/>
              </w:rPr>
              <w:t>Clafer’s</w:t>
            </w:r>
            <w:proofErr w:type="spellEnd"/>
            <w:r>
              <w:rPr>
                <w:color w:val="000000"/>
              </w:rPr>
              <w:t xml:space="preserve">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w:t>
            </w:r>
            <w:proofErr w:type="spellStart"/>
            <w:r>
              <w:rPr>
                <w:color w:val="000000"/>
              </w:rPr>
              <w:t>ReqIF</w:t>
            </w:r>
            <w:proofErr w:type="spellEnd"/>
            <w:r>
              <w:rPr>
                <w:color w:val="000000"/>
              </w:rPr>
              <w:t xml:space="preserve">/Clafer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proofErr w:type="spellStart"/>
            <w:r>
              <w:rPr>
                <w:color w:val="000000"/>
              </w:rPr>
              <w:t>ReqIF</w:t>
            </w:r>
            <w:proofErr w:type="spellEnd"/>
            <w:r>
              <w:rPr>
                <w:color w:val="000000"/>
              </w:rPr>
              <w:t>/Clafer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 xml:space="preserve">It is expected that using ModelWriter we will have models from </w:t>
            </w:r>
            <w:proofErr w:type="spellStart"/>
            <w:r>
              <w:rPr>
                <w:color w:val="000000"/>
                <w:lang w:val="en-US"/>
              </w:rPr>
              <w:t>ReqIF</w:t>
            </w:r>
            <w:proofErr w:type="spellEnd"/>
            <w:r>
              <w:rPr>
                <w:color w:val="000000"/>
                <w:lang w:val="en-US"/>
              </w:rPr>
              <w:t>/Clafer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441930EA" w14:textId="77777777" w:rsidR="004F714D" w:rsidRPr="004F714D" w:rsidRDefault="004F714D" w:rsidP="004F714D">
      <w:pPr>
        <w:pStyle w:val="ITEABodyText"/>
      </w:pPr>
      <w:r w:rsidRPr="004F714D">
        <w:t>This Use Case aims at demonstrating the feasibility, utility and usability of the ModelWriter (Text &amp; Model-Synchronized Document Engineering) concept for easing requirement-model consistency. System Modeling addresses use of models to conceptualize and construct systems in business and IT development. These models can be extended using </w:t>
      </w:r>
      <w:hyperlink r:id="rId11" w:tooltip="Functional decomposition" w:history="1">
        <w:r w:rsidRPr="004F714D">
          <w:t>functional decomposition</w:t>
        </w:r>
      </w:hyperlink>
      <w:r w:rsidRPr="004F714D">
        <w:t>, and can be linked to </w:t>
      </w:r>
      <w:hyperlink r:id="rId12" w:tooltip="Requirement" w:history="1">
        <w:r w:rsidRPr="004F714D">
          <w:t>requirements</w:t>
        </w:r>
      </w:hyperlink>
      <w:r w:rsidRPr="004F714D">
        <w:t xml:space="preserve"> models for further systems partition. As the requirements and documents play main role for the systems, in this case study, we are going to target the gap between the requirements and models for system modelling using ModelWriter capabilities. </w:t>
      </w:r>
    </w:p>
    <w:p w14:paraId="71B04DFA" w14:textId="77777777" w:rsidR="004F714D" w:rsidRPr="007D7E1C" w:rsidRDefault="004F714D" w:rsidP="007D7E1C">
      <w:pPr>
        <w:pStyle w:val="ITEABodyText"/>
      </w:pPr>
    </w:p>
    <w:tbl>
      <w:tblPr>
        <w:tblStyle w:val="MediumShading1-Accent2"/>
        <w:tblW w:w="0" w:type="auto"/>
        <w:tblLook w:val="04A0" w:firstRow="1" w:lastRow="0" w:firstColumn="1" w:lastColumn="0" w:noHBand="0" w:noVBand="1"/>
      </w:tblPr>
      <w:tblGrid>
        <w:gridCol w:w="1985"/>
        <w:gridCol w:w="7085"/>
      </w:tblGrid>
      <w:tr w:rsidR="004F714D" w14:paraId="15C2FDCB" w14:textId="77777777" w:rsidTr="004F7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7FE38E" w14:textId="458A5F24" w:rsidR="004F714D" w:rsidRDefault="004F714D" w:rsidP="004F714D">
            <w:pPr>
              <w:pStyle w:val="ITEABodyText"/>
            </w:pPr>
            <w:r>
              <w:t>UC-TR-04</w:t>
            </w:r>
          </w:p>
        </w:tc>
        <w:tc>
          <w:tcPr>
            <w:tcW w:w="7085" w:type="dxa"/>
          </w:tcPr>
          <w:p w14:paraId="6E4986BD" w14:textId="77762735" w:rsidR="004F714D" w:rsidRDefault="004F714D" w:rsidP="004F714D">
            <w:pPr>
              <w:pStyle w:val="ITEABodyText"/>
              <w:cnfStyle w:val="100000000000" w:firstRow="1" w:lastRow="0" w:firstColumn="0" w:lastColumn="0" w:oddVBand="0" w:evenVBand="0" w:oddHBand="0" w:evenHBand="0" w:firstRowFirstColumn="0" w:firstRowLastColumn="0" w:lastRowFirstColumn="0" w:lastRowLastColumn="0"/>
            </w:pPr>
            <w:r>
              <w:t>Requirements Engineering for System Modeling</w:t>
            </w:r>
          </w:p>
        </w:tc>
      </w:tr>
      <w:tr w:rsidR="004F714D" w14:paraId="0323E38A"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48F1568" w14:textId="77777777" w:rsidR="004F714D" w:rsidRDefault="004F714D" w:rsidP="004F714D">
            <w:pPr>
              <w:pStyle w:val="ITEABodyText"/>
            </w:pPr>
            <w:r w:rsidRPr="00A376AD">
              <w:t>Versioning Info</w:t>
            </w:r>
          </w:p>
        </w:tc>
        <w:tc>
          <w:tcPr>
            <w:tcW w:w="7085" w:type="dxa"/>
          </w:tcPr>
          <w:p w14:paraId="30352D9E" w14:textId="36B34CD8"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V4.0.0 dated 24-March-2015</w:t>
            </w:r>
          </w:p>
        </w:tc>
      </w:tr>
      <w:tr w:rsidR="004F714D" w14:paraId="2C7524B8"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DCD025" w14:textId="77777777" w:rsidR="004F714D" w:rsidRDefault="004F714D" w:rsidP="004F714D">
            <w:pPr>
              <w:pStyle w:val="ITEABodyText"/>
            </w:pPr>
            <w:r w:rsidRPr="00A376AD">
              <w:t>Description</w:t>
            </w:r>
          </w:p>
        </w:tc>
        <w:tc>
          <w:tcPr>
            <w:tcW w:w="7085" w:type="dxa"/>
          </w:tcPr>
          <w:p w14:paraId="349964D1"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Demonstrate that the ModelWriter concept can be usefully applied on System design / Requirement generation activities.</w:t>
            </w:r>
          </w:p>
          <w:p w14:paraId="7BBD6490"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 xml:space="preserve">Demonstrate and measure possible gains in productivity: </w:t>
            </w:r>
          </w:p>
          <w:p w14:paraId="2BC7E2D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 xml:space="preserve">quicker initialization of system </w:t>
            </w:r>
            <w:proofErr w:type="spellStart"/>
            <w:r>
              <w:t>modeling</w:t>
            </w:r>
            <w:proofErr w:type="spellEnd"/>
            <w:r>
              <w:t xml:space="preserve"> using an initial set of requirements;</w:t>
            </w:r>
          </w:p>
          <w:p w14:paraId="2E556B88"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quicker writing and updating of the synchronized requirement documentation;</w:t>
            </w:r>
          </w:p>
          <w:p w14:paraId="1E0B00B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accuracy (number of needed requirement not generated from the model)</w:t>
            </w:r>
          </w:p>
          <w:p w14:paraId="3C29D8F6" w14:textId="272680A9"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Consistency (no outdated information in requirement documentation).</w:t>
            </w:r>
          </w:p>
        </w:tc>
      </w:tr>
      <w:tr w:rsidR="004F714D" w14:paraId="584BB33F"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0E6809" w14:textId="77777777" w:rsidR="004F714D" w:rsidRDefault="004F714D" w:rsidP="004F714D">
            <w:pPr>
              <w:pStyle w:val="ITEABodyText"/>
            </w:pPr>
            <w:r w:rsidRPr="00A376AD">
              <w:t>Actors</w:t>
            </w:r>
          </w:p>
        </w:tc>
        <w:tc>
          <w:tcPr>
            <w:tcW w:w="7085" w:type="dxa"/>
          </w:tcPr>
          <w:p w14:paraId="34B9D5CC" w14:textId="4A2C21B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 xml:space="preserve">System Modelling Languages, Methodologies, and Standards, e.g. </w:t>
            </w:r>
            <w:proofErr w:type="spellStart"/>
            <w:r>
              <w:t>SysML</w:t>
            </w:r>
            <w:proofErr w:type="spellEnd"/>
            <w:r>
              <w:t>, IDEF0, and MARTE</w:t>
            </w:r>
          </w:p>
        </w:tc>
      </w:tr>
      <w:tr w:rsidR="004F714D" w14:paraId="2CCF9EF3"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28644E" w14:textId="77777777" w:rsidR="004F714D" w:rsidRDefault="004F714D" w:rsidP="004F714D">
            <w:pPr>
              <w:pStyle w:val="ITEABodyText"/>
            </w:pPr>
            <w:r w:rsidRPr="00A376AD">
              <w:t>Assumptions</w:t>
            </w:r>
          </w:p>
        </w:tc>
        <w:tc>
          <w:tcPr>
            <w:tcW w:w="7085" w:type="dxa"/>
          </w:tcPr>
          <w:p w14:paraId="3A84663C" w14:textId="77777777" w:rsidR="004F714D" w:rsidRDefault="004F714D" w:rsidP="004F714D">
            <w:pPr>
              <w:pStyle w:val="UseCasebody"/>
              <w:numPr>
                <w:ilvl w:val="0"/>
                <w:numId w:val="42"/>
              </w:numPr>
              <w:spacing w:after="0"/>
              <w:ind w:left="317"/>
              <w:cnfStyle w:val="000000010000" w:firstRow="0" w:lastRow="0" w:firstColumn="0" w:lastColumn="0" w:oddVBand="0" w:evenVBand="0" w:oddHBand="0" w:evenHBand="1" w:firstRowFirstColumn="0" w:firstRowLastColumn="0" w:lastRowFirstColumn="0" w:lastRowLastColumn="0"/>
            </w:pPr>
            <w:r>
              <w:t xml:space="preserve">Eclipse-based System Modeling tools for </w:t>
            </w:r>
            <w:proofErr w:type="spellStart"/>
            <w:r>
              <w:t>SysML</w:t>
            </w:r>
            <w:proofErr w:type="spellEnd"/>
            <w:r>
              <w:t xml:space="preserve"> such as OBEO </w:t>
            </w:r>
            <w:proofErr w:type="spellStart"/>
            <w:r>
              <w:t>SysML</w:t>
            </w:r>
            <w:proofErr w:type="spellEnd"/>
            <w:r>
              <w:t xml:space="preserve"> designer can be used</w:t>
            </w:r>
          </w:p>
          <w:p w14:paraId="079CFE2C" w14:textId="0452D3BB"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Non-sensitive simplified models and documents must be drawn from real cases at the beginning of the project</w:t>
            </w:r>
          </w:p>
        </w:tc>
      </w:tr>
      <w:tr w:rsidR="004F714D" w14:paraId="04735269"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4119643" w14:textId="77777777" w:rsidR="004F714D" w:rsidRDefault="004F714D" w:rsidP="004F714D">
            <w:pPr>
              <w:pStyle w:val="ITEABodyText"/>
            </w:pPr>
            <w:r w:rsidRPr="00A376AD">
              <w:t>Steps</w:t>
            </w:r>
          </w:p>
        </w:tc>
        <w:tc>
          <w:tcPr>
            <w:tcW w:w="7085" w:type="dxa"/>
          </w:tcPr>
          <w:p w14:paraId="7E5454FB"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Use Case will show how system models can be used to generate a relevant set of system’s textual requirements, and vice versa: how system diagrams can be generated from system initial set of textual requirements.</w:t>
            </w:r>
          </w:p>
          <w:p w14:paraId="044D2F7A" w14:textId="77777777" w:rsidR="004F714D"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 xml:space="preserve">The Use Case will allow to clearly define the kinds of requirements that can automatically be generated from the various system diagrams concurrently used for the </w:t>
            </w:r>
            <w:proofErr w:type="spellStart"/>
            <w:r>
              <w:t>modeling</w:t>
            </w:r>
            <w:proofErr w:type="spellEnd"/>
            <w:r>
              <w:t xml:space="preserve"> activity. </w:t>
            </w:r>
          </w:p>
          <w:p w14:paraId="20230C67"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gap or differences between the requirements that can be generated and the set of system requirements usually used by the designer will be studied.</w:t>
            </w:r>
          </w:p>
          <w:p w14:paraId="5C27F874" w14:textId="7B9F7DEB"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The Use Case will demonstrate that model and requirement documentation can later be synchronized and updated when models change</w:t>
            </w:r>
            <w:r w:rsidRPr="00CD13A6">
              <w:t>.</w:t>
            </w:r>
          </w:p>
        </w:tc>
      </w:tr>
      <w:tr w:rsidR="004F714D" w14:paraId="3CA8633F"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72D3892" w14:textId="77777777" w:rsidR="004F714D" w:rsidRDefault="004F714D" w:rsidP="004F714D">
            <w:pPr>
              <w:pStyle w:val="ITEABodyText"/>
            </w:pPr>
            <w:r w:rsidRPr="00A376AD">
              <w:lastRenderedPageBreak/>
              <w:t>Variations (optional)</w:t>
            </w:r>
          </w:p>
        </w:tc>
        <w:tc>
          <w:tcPr>
            <w:tcW w:w="7085" w:type="dxa"/>
          </w:tcPr>
          <w:p w14:paraId="7CE01C3E" w14:textId="3305DF2C"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(none)</w:t>
            </w:r>
          </w:p>
        </w:tc>
      </w:tr>
      <w:tr w:rsidR="004F714D" w14:paraId="4A4BD267"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F430F2" w14:textId="77777777" w:rsidR="004F714D" w:rsidRDefault="004F714D" w:rsidP="004F714D">
            <w:pPr>
              <w:pStyle w:val="ITEABodyText"/>
            </w:pPr>
            <w:r w:rsidRPr="00A376AD">
              <w:t>Non-functional (optional)</w:t>
            </w:r>
          </w:p>
        </w:tc>
        <w:tc>
          <w:tcPr>
            <w:tcW w:w="7085" w:type="dxa"/>
          </w:tcPr>
          <w:p w14:paraId="0D066B37" w14:textId="18D484C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Process view can be important (to take into account industrial constraints, validations steps etc.)</w:t>
            </w:r>
          </w:p>
        </w:tc>
      </w:tr>
      <w:tr w:rsidR="004F714D" w14:paraId="26B2DB29"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9D3A6D0" w14:textId="77777777" w:rsidR="004F714D" w:rsidRDefault="004F714D" w:rsidP="004F714D">
            <w:pPr>
              <w:pStyle w:val="ITEABodyText"/>
            </w:pPr>
            <w:r w:rsidRPr="00A376AD">
              <w:t>Issues</w:t>
            </w:r>
          </w:p>
        </w:tc>
        <w:tc>
          <w:tcPr>
            <w:tcW w:w="7085" w:type="dxa"/>
          </w:tcPr>
          <w:p w14:paraId="27B35AE5" w14:textId="050CA8FA"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Integration of semantic parsers within requirement authoring environment should be strongly reactive to enable quick user appropriation and self-adaptation to Model writer semantic capacities.</w:t>
            </w:r>
          </w:p>
        </w:tc>
      </w:tr>
    </w:tbl>
    <w:p w14:paraId="57366D6B" w14:textId="6B8D94A6" w:rsidR="001A7635" w:rsidRDefault="001A7635">
      <w:pPr>
        <w:spacing w:after="200" w:line="276" w:lineRule="auto"/>
        <w:rPr>
          <w:rFonts w:eastAsiaTheme="majorEastAsia" w:cs="Arial"/>
          <w:b/>
          <w:bCs/>
          <w:color w:val="7F7F7F" w:themeColor="text1" w:themeTint="80"/>
          <w:sz w:val="24"/>
        </w:rPr>
      </w:pPr>
    </w:p>
    <w:p w14:paraId="28A008F5" w14:textId="77777777" w:rsidR="0068257D" w:rsidRDefault="009C114E" w:rsidP="00034500">
      <w:pPr>
        <w:pStyle w:val="ITEAHeading2"/>
      </w:pPr>
      <w:bookmarkStart w:id="24" w:name="_Toc417317806"/>
      <w:r>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1B127909" w:rsidR="00BD0F29" w:rsidRDefault="002A5D49"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26" w:name="_Toc417317808"/>
      <w:r>
        <w:lastRenderedPageBreak/>
        <w:t>Appendixes</w:t>
      </w:r>
      <w:bookmarkEnd w:id="26"/>
    </w:p>
    <w:p w14:paraId="47464540" w14:textId="426AA051" w:rsidR="0012145D" w:rsidRDefault="00E81A83" w:rsidP="00A30B7D">
      <w:pPr>
        <w:pStyle w:val="ITEAHeading2"/>
        <w:numPr>
          <w:ilvl w:val="0"/>
          <w:numId w:val="0"/>
        </w:numPr>
        <w:rPr>
          <w:lang w:eastAsia="en-US"/>
        </w:rPr>
      </w:pPr>
      <w:bookmarkStart w:id="27" w:name="_Toc417317809"/>
      <w:r>
        <w:rPr>
          <w:lang w:eastAsia="en-US"/>
        </w:rPr>
        <w:t xml:space="preserve">Appendix </w:t>
      </w:r>
      <w:bookmarkEnd w:id="27"/>
      <w:r w:rsidR="00A30B7D">
        <w:rPr>
          <w:lang w:eastAsia="en-US"/>
        </w:rPr>
        <w:t xml:space="preserve">1 - </w:t>
      </w:r>
      <w:r w:rsidR="00C24366" w:rsidRPr="00A30B7D">
        <w:rPr>
          <w:lang w:eastAsia="en-US"/>
        </w:rPr>
        <w:t>D1.4.2 Corpus for Turkish Use Cases (Public)</w:t>
      </w:r>
    </w:p>
    <w:p w14:paraId="0F952A75" w14:textId="77777777" w:rsidR="00C24366" w:rsidRDefault="00A30B7D" w:rsidP="00C24366">
      <w:pPr>
        <w:pStyle w:val="ITEAHeading2"/>
        <w:numPr>
          <w:ilvl w:val="0"/>
          <w:numId w:val="0"/>
        </w:numPr>
        <w:rPr>
          <w:lang w:eastAsia="en-US"/>
        </w:rPr>
      </w:pPr>
      <w:r>
        <w:rPr>
          <w:lang w:eastAsia="en-US"/>
        </w:rPr>
        <w:t xml:space="preserve">Appendix 2 - </w:t>
      </w:r>
      <w:r w:rsidR="00C24366" w:rsidRPr="000533D9">
        <w:rPr>
          <w:lang w:eastAsia="en-US"/>
        </w:rPr>
        <w:t>D1.4.3 Corpus for Turkish Use Cases (Private)</w:t>
      </w:r>
    </w:p>
    <w:p w14:paraId="09B0D1F6" w14:textId="72710157" w:rsidR="00A30B7D" w:rsidRDefault="00A30B7D" w:rsidP="00A30B7D">
      <w:pPr>
        <w:pStyle w:val="ITEAHeading2"/>
        <w:numPr>
          <w:ilvl w:val="0"/>
          <w:numId w:val="0"/>
        </w:numPr>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87414" w14:textId="77777777" w:rsidR="00F70A2A" w:rsidRDefault="00F70A2A" w:rsidP="00963638">
      <w:r>
        <w:separator/>
      </w:r>
    </w:p>
    <w:p w14:paraId="15C9F610" w14:textId="77777777" w:rsidR="00F70A2A" w:rsidRDefault="00F70A2A"/>
  </w:endnote>
  <w:endnote w:type="continuationSeparator" w:id="0">
    <w:p w14:paraId="71935459" w14:textId="77777777" w:rsidR="00F70A2A" w:rsidRDefault="00F70A2A" w:rsidP="00963638">
      <w:r>
        <w:continuationSeparator/>
      </w:r>
    </w:p>
    <w:p w14:paraId="3C17D225" w14:textId="77777777" w:rsidR="00F70A2A" w:rsidRDefault="00F70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25018">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25018">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FA5F7D" w:rsidP="00F506E9">
          <w:pPr>
            <w:pStyle w:val="Footer"/>
            <w:jc w:val="right"/>
            <w:rPr>
              <w:b/>
            </w:rPr>
          </w:pPr>
          <w:hyperlink r:id="rId2" w:history="1">
            <w:r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BB30B" w14:textId="77777777" w:rsidR="00F70A2A" w:rsidRDefault="00F70A2A" w:rsidP="00963638">
      <w:r>
        <w:separator/>
      </w:r>
    </w:p>
    <w:p w14:paraId="7AB06231" w14:textId="77777777" w:rsidR="00F70A2A" w:rsidRDefault="00F70A2A"/>
  </w:footnote>
  <w:footnote w:type="continuationSeparator" w:id="0">
    <w:p w14:paraId="21242471" w14:textId="77777777" w:rsidR="00F70A2A" w:rsidRDefault="00F70A2A" w:rsidP="00963638">
      <w:r>
        <w:continuationSeparator/>
      </w:r>
    </w:p>
    <w:p w14:paraId="0296BA80" w14:textId="77777777" w:rsidR="00F70A2A" w:rsidRDefault="00F70A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125018">
          <w:rPr>
            <w:noProof/>
          </w:rPr>
          <w:t>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Require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Functional_decomposi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3C196FCE-B6EF-4276-95D0-DCCE8E30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101</TotalTime>
  <Pages>12</Pages>
  <Words>1992</Words>
  <Characters>11356</Characters>
  <Application>Microsoft Office Word</Application>
  <DocSecurity>0</DocSecurity>
  <Lines>94</Lines>
  <Paragraphs>26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52</cp:revision>
  <cp:lastPrinted>2015-04-20T10:56:00Z</cp:lastPrinted>
  <dcterms:created xsi:type="dcterms:W3CDTF">2015-04-20T12:55:00Z</dcterms:created>
  <dcterms:modified xsi:type="dcterms:W3CDTF">2015-04-21T07:46:00Z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