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36814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7"/>
        <w:gridCol w:w="2325"/>
        <w:gridCol w:w="1604"/>
        <w:gridCol w:w="4104"/>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368142"/>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204F9061" w14:textId="77777777" w:rsidR="000554A9"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368141" w:history="1">
            <w:r w:rsidR="000554A9" w:rsidRPr="00C2585C">
              <w:rPr>
                <w:rStyle w:val="Hyperlink"/>
              </w:rPr>
              <w:t>Document History</w:t>
            </w:r>
            <w:r w:rsidR="000554A9">
              <w:rPr>
                <w:webHidden/>
              </w:rPr>
              <w:tab/>
            </w:r>
            <w:r w:rsidR="000554A9">
              <w:rPr>
                <w:webHidden/>
              </w:rPr>
              <w:fldChar w:fldCharType="begin"/>
            </w:r>
            <w:r w:rsidR="000554A9">
              <w:rPr>
                <w:webHidden/>
              </w:rPr>
              <w:instrText xml:space="preserve"> PAGEREF _Toc426368141 \h </w:instrText>
            </w:r>
            <w:r w:rsidR="000554A9">
              <w:rPr>
                <w:webHidden/>
              </w:rPr>
            </w:r>
            <w:r w:rsidR="000554A9">
              <w:rPr>
                <w:webHidden/>
              </w:rPr>
              <w:fldChar w:fldCharType="separate"/>
            </w:r>
            <w:r w:rsidR="000554A9">
              <w:rPr>
                <w:webHidden/>
              </w:rPr>
              <w:t>2</w:t>
            </w:r>
            <w:r w:rsidR="000554A9">
              <w:rPr>
                <w:webHidden/>
              </w:rPr>
              <w:fldChar w:fldCharType="end"/>
            </w:r>
          </w:hyperlink>
        </w:p>
        <w:p w14:paraId="276296E8"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42" w:history="1">
            <w:r w:rsidR="000554A9" w:rsidRPr="00C2585C">
              <w:rPr>
                <w:rStyle w:val="Hyperlink"/>
              </w:rPr>
              <w:t>Table of Contents</w:t>
            </w:r>
            <w:r w:rsidR="000554A9">
              <w:rPr>
                <w:webHidden/>
              </w:rPr>
              <w:tab/>
            </w:r>
            <w:r w:rsidR="000554A9">
              <w:rPr>
                <w:webHidden/>
              </w:rPr>
              <w:fldChar w:fldCharType="begin"/>
            </w:r>
            <w:r w:rsidR="000554A9">
              <w:rPr>
                <w:webHidden/>
              </w:rPr>
              <w:instrText xml:space="preserve"> PAGEREF _Toc426368142 \h </w:instrText>
            </w:r>
            <w:r w:rsidR="000554A9">
              <w:rPr>
                <w:webHidden/>
              </w:rPr>
            </w:r>
            <w:r w:rsidR="000554A9">
              <w:rPr>
                <w:webHidden/>
              </w:rPr>
              <w:fldChar w:fldCharType="separate"/>
            </w:r>
            <w:r w:rsidR="000554A9">
              <w:rPr>
                <w:webHidden/>
              </w:rPr>
              <w:t>3</w:t>
            </w:r>
            <w:r w:rsidR="000554A9">
              <w:rPr>
                <w:webHidden/>
              </w:rPr>
              <w:fldChar w:fldCharType="end"/>
            </w:r>
          </w:hyperlink>
        </w:p>
        <w:p w14:paraId="0C440891"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43" w:history="1">
            <w:r w:rsidR="000554A9" w:rsidRPr="00C2585C">
              <w:rPr>
                <w:rStyle w:val="Hyperlink"/>
              </w:rPr>
              <w:t>1. Introduction</w:t>
            </w:r>
            <w:r w:rsidR="000554A9">
              <w:rPr>
                <w:webHidden/>
              </w:rPr>
              <w:tab/>
            </w:r>
            <w:r w:rsidR="000554A9">
              <w:rPr>
                <w:webHidden/>
              </w:rPr>
              <w:fldChar w:fldCharType="begin"/>
            </w:r>
            <w:r w:rsidR="000554A9">
              <w:rPr>
                <w:webHidden/>
              </w:rPr>
              <w:instrText xml:space="preserve"> PAGEREF _Toc426368143 \h </w:instrText>
            </w:r>
            <w:r w:rsidR="000554A9">
              <w:rPr>
                <w:webHidden/>
              </w:rPr>
            </w:r>
            <w:r w:rsidR="000554A9">
              <w:rPr>
                <w:webHidden/>
              </w:rPr>
              <w:fldChar w:fldCharType="separate"/>
            </w:r>
            <w:r w:rsidR="000554A9">
              <w:rPr>
                <w:webHidden/>
              </w:rPr>
              <w:t>4</w:t>
            </w:r>
            <w:r w:rsidR="000554A9">
              <w:rPr>
                <w:webHidden/>
              </w:rPr>
              <w:fldChar w:fldCharType="end"/>
            </w:r>
          </w:hyperlink>
        </w:p>
        <w:p w14:paraId="290964B0" w14:textId="77777777" w:rsidR="000554A9" w:rsidRDefault="00AF1FD1">
          <w:pPr>
            <w:pStyle w:val="TOC3"/>
            <w:rPr>
              <w:rFonts w:asciiTheme="minorHAnsi" w:eastAsiaTheme="minorEastAsia" w:hAnsiTheme="minorHAnsi" w:cstheme="minorBidi"/>
              <w:i w:val="0"/>
              <w:iCs w:val="0"/>
              <w:color w:val="auto"/>
              <w:spacing w:val="0"/>
              <w:sz w:val="22"/>
              <w:szCs w:val="22"/>
              <w:lang w:val="en-US" w:eastAsia="en-US"/>
            </w:rPr>
          </w:pPr>
          <w:hyperlink w:anchor="_Toc426368144"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0554A9" w:rsidRPr="00C2585C">
              <w:rPr>
                <w:rStyle w:val="Hyperlink"/>
              </w:rPr>
              <w:t xml:space="preserve"> Role of the deliverable</w:t>
            </w:r>
            <w:r w:rsidR="000554A9">
              <w:rPr>
                <w:webHidden/>
              </w:rPr>
              <w:tab/>
            </w:r>
            <w:r w:rsidR="000554A9">
              <w:rPr>
                <w:webHidden/>
              </w:rPr>
              <w:fldChar w:fldCharType="begin"/>
            </w:r>
            <w:r w:rsidR="000554A9">
              <w:rPr>
                <w:webHidden/>
              </w:rPr>
              <w:instrText xml:space="preserve"> PAGEREF _Toc426368144 \h </w:instrText>
            </w:r>
            <w:r w:rsidR="000554A9">
              <w:rPr>
                <w:webHidden/>
              </w:rPr>
            </w:r>
            <w:r w:rsidR="000554A9">
              <w:rPr>
                <w:webHidden/>
              </w:rPr>
              <w:fldChar w:fldCharType="separate"/>
            </w:r>
            <w:r w:rsidR="000554A9">
              <w:rPr>
                <w:webHidden/>
              </w:rPr>
              <w:t>4</w:t>
            </w:r>
            <w:r w:rsidR="000554A9">
              <w:rPr>
                <w:webHidden/>
              </w:rPr>
              <w:fldChar w:fldCharType="end"/>
            </w:r>
          </w:hyperlink>
        </w:p>
        <w:p w14:paraId="68688EC0" w14:textId="77777777" w:rsidR="000554A9" w:rsidRDefault="00AF1FD1">
          <w:pPr>
            <w:pStyle w:val="TOC3"/>
            <w:rPr>
              <w:rFonts w:asciiTheme="minorHAnsi" w:eastAsiaTheme="minorEastAsia" w:hAnsiTheme="minorHAnsi" w:cstheme="minorBidi"/>
              <w:i w:val="0"/>
              <w:iCs w:val="0"/>
              <w:color w:val="auto"/>
              <w:spacing w:val="0"/>
              <w:sz w:val="22"/>
              <w:szCs w:val="22"/>
              <w:lang w:val="en-US" w:eastAsia="en-US"/>
            </w:rPr>
          </w:pPr>
          <w:hyperlink w:anchor="_Toc426368145"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0554A9" w:rsidRPr="00C2585C">
              <w:rPr>
                <w:rStyle w:val="Hyperlink"/>
              </w:rPr>
              <w:t xml:space="preserve"> The List of Technical Work Packages</w:t>
            </w:r>
            <w:r w:rsidR="000554A9">
              <w:rPr>
                <w:webHidden/>
              </w:rPr>
              <w:tab/>
            </w:r>
            <w:r w:rsidR="000554A9">
              <w:rPr>
                <w:webHidden/>
              </w:rPr>
              <w:fldChar w:fldCharType="begin"/>
            </w:r>
            <w:r w:rsidR="000554A9">
              <w:rPr>
                <w:webHidden/>
              </w:rPr>
              <w:instrText xml:space="preserve"> PAGEREF _Toc426368145 \h </w:instrText>
            </w:r>
            <w:r w:rsidR="000554A9">
              <w:rPr>
                <w:webHidden/>
              </w:rPr>
            </w:r>
            <w:r w:rsidR="000554A9">
              <w:rPr>
                <w:webHidden/>
              </w:rPr>
              <w:fldChar w:fldCharType="separate"/>
            </w:r>
            <w:r w:rsidR="000554A9">
              <w:rPr>
                <w:webHidden/>
              </w:rPr>
              <w:t>4</w:t>
            </w:r>
            <w:r w:rsidR="000554A9">
              <w:rPr>
                <w:webHidden/>
              </w:rPr>
              <w:fldChar w:fldCharType="end"/>
            </w:r>
          </w:hyperlink>
        </w:p>
        <w:p w14:paraId="0E393B49" w14:textId="77777777" w:rsidR="000554A9" w:rsidRDefault="00AF1FD1">
          <w:pPr>
            <w:pStyle w:val="TOC3"/>
            <w:rPr>
              <w:rFonts w:asciiTheme="minorHAnsi" w:eastAsiaTheme="minorEastAsia" w:hAnsiTheme="minorHAnsi" w:cstheme="minorBidi"/>
              <w:i w:val="0"/>
              <w:iCs w:val="0"/>
              <w:color w:val="auto"/>
              <w:spacing w:val="0"/>
              <w:sz w:val="22"/>
              <w:szCs w:val="22"/>
              <w:lang w:val="en-US" w:eastAsia="en-US"/>
            </w:rPr>
          </w:pPr>
          <w:hyperlink w:anchor="_Toc426368146"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0554A9" w:rsidRPr="00C2585C">
              <w:rPr>
                <w:rStyle w:val="Hyperlink"/>
              </w:rPr>
              <w:t xml:space="preserve"> Structure of the document</w:t>
            </w:r>
            <w:r w:rsidR="000554A9">
              <w:rPr>
                <w:webHidden/>
              </w:rPr>
              <w:tab/>
            </w:r>
            <w:r w:rsidR="000554A9">
              <w:rPr>
                <w:webHidden/>
              </w:rPr>
              <w:fldChar w:fldCharType="begin"/>
            </w:r>
            <w:r w:rsidR="000554A9">
              <w:rPr>
                <w:webHidden/>
              </w:rPr>
              <w:instrText xml:space="preserve"> PAGEREF _Toc426368146 \h </w:instrText>
            </w:r>
            <w:r w:rsidR="000554A9">
              <w:rPr>
                <w:webHidden/>
              </w:rPr>
            </w:r>
            <w:r w:rsidR="000554A9">
              <w:rPr>
                <w:webHidden/>
              </w:rPr>
              <w:fldChar w:fldCharType="separate"/>
            </w:r>
            <w:r w:rsidR="000554A9">
              <w:rPr>
                <w:webHidden/>
              </w:rPr>
              <w:t>4</w:t>
            </w:r>
            <w:r w:rsidR="000554A9">
              <w:rPr>
                <w:webHidden/>
              </w:rPr>
              <w:fldChar w:fldCharType="end"/>
            </w:r>
          </w:hyperlink>
        </w:p>
        <w:p w14:paraId="44A429B3" w14:textId="77777777" w:rsidR="000554A9" w:rsidRDefault="00AF1FD1">
          <w:pPr>
            <w:pStyle w:val="TOC3"/>
            <w:rPr>
              <w:rFonts w:asciiTheme="minorHAnsi" w:eastAsiaTheme="minorEastAsia" w:hAnsiTheme="minorHAnsi" w:cstheme="minorBidi"/>
              <w:i w:val="0"/>
              <w:iCs w:val="0"/>
              <w:color w:val="auto"/>
              <w:spacing w:val="0"/>
              <w:sz w:val="22"/>
              <w:szCs w:val="22"/>
              <w:lang w:val="en-US" w:eastAsia="en-US"/>
            </w:rPr>
          </w:pPr>
          <w:hyperlink w:anchor="_Toc426368147" w:history="1">
            <w:r w:rsidR="000554A9" w:rsidRPr="00C2585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0554A9" w:rsidRPr="00C2585C">
              <w:rPr>
                <w:rStyle w:val="Hyperlink"/>
              </w:rPr>
              <w:t xml:space="preserve"> Terms, abbreviations and definitions</w:t>
            </w:r>
            <w:r w:rsidR="000554A9">
              <w:rPr>
                <w:webHidden/>
              </w:rPr>
              <w:tab/>
            </w:r>
            <w:r w:rsidR="000554A9">
              <w:rPr>
                <w:webHidden/>
              </w:rPr>
              <w:fldChar w:fldCharType="begin"/>
            </w:r>
            <w:r w:rsidR="000554A9">
              <w:rPr>
                <w:webHidden/>
              </w:rPr>
              <w:instrText xml:space="preserve"> PAGEREF _Toc426368147 \h </w:instrText>
            </w:r>
            <w:r w:rsidR="000554A9">
              <w:rPr>
                <w:webHidden/>
              </w:rPr>
            </w:r>
            <w:r w:rsidR="000554A9">
              <w:rPr>
                <w:webHidden/>
              </w:rPr>
              <w:fldChar w:fldCharType="separate"/>
            </w:r>
            <w:r w:rsidR="000554A9">
              <w:rPr>
                <w:webHidden/>
              </w:rPr>
              <w:t>5</w:t>
            </w:r>
            <w:r w:rsidR="000554A9">
              <w:rPr>
                <w:webHidden/>
              </w:rPr>
              <w:fldChar w:fldCharType="end"/>
            </w:r>
          </w:hyperlink>
        </w:p>
        <w:p w14:paraId="68E08B1F"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48" w:history="1">
            <w:r w:rsidR="000554A9" w:rsidRPr="00C2585C">
              <w:rPr>
                <w:rStyle w:val="Hyperlink"/>
              </w:rPr>
              <w:t>2. Preliminary</w:t>
            </w:r>
            <w:r w:rsidR="000554A9">
              <w:rPr>
                <w:webHidden/>
              </w:rPr>
              <w:tab/>
            </w:r>
            <w:r w:rsidR="000554A9">
              <w:rPr>
                <w:webHidden/>
              </w:rPr>
              <w:fldChar w:fldCharType="begin"/>
            </w:r>
            <w:r w:rsidR="000554A9">
              <w:rPr>
                <w:webHidden/>
              </w:rPr>
              <w:instrText xml:space="preserve"> PAGEREF _Toc426368148 \h </w:instrText>
            </w:r>
            <w:r w:rsidR="000554A9">
              <w:rPr>
                <w:webHidden/>
              </w:rPr>
            </w:r>
            <w:r w:rsidR="000554A9">
              <w:rPr>
                <w:webHidden/>
              </w:rPr>
              <w:fldChar w:fldCharType="separate"/>
            </w:r>
            <w:r w:rsidR="000554A9">
              <w:rPr>
                <w:webHidden/>
              </w:rPr>
              <w:t>6</w:t>
            </w:r>
            <w:r w:rsidR="000554A9">
              <w:rPr>
                <w:webHidden/>
              </w:rPr>
              <w:fldChar w:fldCharType="end"/>
            </w:r>
          </w:hyperlink>
        </w:p>
        <w:p w14:paraId="09460EF7"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49" w:history="1">
            <w:r w:rsidR="000554A9" w:rsidRPr="00C2585C">
              <w:rPr>
                <w:rStyle w:val="Hyperlink"/>
              </w:rPr>
              <w:t>3. Transformation Languages, Tools, and Technologies</w:t>
            </w:r>
            <w:r w:rsidR="000554A9">
              <w:rPr>
                <w:webHidden/>
              </w:rPr>
              <w:tab/>
            </w:r>
            <w:r w:rsidR="000554A9">
              <w:rPr>
                <w:webHidden/>
              </w:rPr>
              <w:fldChar w:fldCharType="begin"/>
            </w:r>
            <w:r w:rsidR="000554A9">
              <w:rPr>
                <w:webHidden/>
              </w:rPr>
              <w:instrText xml:space="preserve"> PAGEREF _Toc426368149 \h </w:instrText>
            </w:r>
            <w:r w:rsidR="000554A9">
              <w:rPr>
                <w:webHidden/>
              </w:rPr>
            </w:r>
            <w:r w:rsidR="000554A9">
              <w:rPr>
                <w:webHidden/>
              </w:rPr>
              <w:fldChar w:fldCharType="separate"/>
            </w:r>
            <w:r w:rsidR="000554A9">
              <w:rPr>
                <w:webHidden/>
              </w:rPr>
              <w:t>8</w:t>
            </w:r>
            <w:r w:rsidR="000554A9">
              <w:rPr>
                <w:webHidden/>
              </w:rPr>
              <w:fldChar w:fldCharType="end"/>
            </w:r>
          </w:hyperlink>
        </w:p>
        <w:p w14:paraId="5FB8C004"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50" w:history="1">
            <w:r w:rsidR="000554A9" w:rsidRPr="00C2585C">
              <w:rPr>
                <w:rStyle w:val="Hyperlink"/>
              </w:rPr>
              <w:t>4. Comparison</w:t>
            </w:r>
            <w:r w:rsidR="000554A9">
              <w:rPr>
                <w:webHidden/>
              </w:rPr>
              <w:tab/>
            </w:r>
            <w:r w:rsidR="000554A9">
              <w:rPr>
                <w:webHidden/>
              </w:rPr>
              <w:fldChar w:fldCharType="begin"/>
            </w:r>
            <w:r w:rsidR="000554A9">
              <w:rPr>
                <w:webHidden/>
              </w:rPr>
              <w:instrText xml:space="preserve"> PAGEREF _Toc426368150 \h </w:instrText>
            </w:r>
            <w:r w:rsidR="000554A9">
              <w:rPr>
                <w:webHidden/>
              </w:rPr>
            </w:r>
            <w:r w:rsidR="000554A9">
              <w:rPr>
                <w:webHidden/>
              </w:rPr>
              <w:fldChar w:fldCharType="separate"/>
            </w:r>
            <w:r w:rsidR="000554A9">
              <w:rPr>
                <w:webHidden/>
              </w:rPr>
              <w:t>16</w:t>
            </w:r>
            <w:r w:rsidR="000554A9">
              <w:rPr>
                <w:webHidden/>
              </w:rPr>
              <w:fldChar w:fldCharType="end"/>
            </w:r>
          </w:hyperlink>
        </w:p>
        <w:p w14:paraId="4DAB52B0"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51" w:history="1">
            <w:r w:rsidR="000554A9" w:rsidRPr="00C2585C">
              <w:rPr>
                <w:rStyle w:val="Hyperlink"/>
              </w:rPr>
              <w:t>5. Conclusion and way forward</w:t>
            </w:r>
            <w:r w:rsidR="000554A9">
              <w:rPr>
                <w:webHidden/>
              </w:rPr>
              <w:tab/>
            </w:r>
            <w:r w:rsidR="000554A9">
              <w:rPr>
                <w:webHidden/>
              </w:rPr>
              <w:fldChar w:fldCharType="begin"/>
            </w:r>
            <w:r w:rsidR="000554A9">
              <w:rPr>
                <w:webHidden/>
              </w:rPr>
              <w:instrText xml:space="preserve"> PAGEREF _Toc426368151 \h </w:instrText>
            </w:r>
            <w:r w:rsidR="000554A9">
              <w:rPr>
                <w:webHidden/>
              </w:rPr>
            </w:r>
            <w:r w:rsidR="000554A9">
              <w:rPr>
                <w:webHidden/>
              </w:rPr>
              <w:fldChar w:fldCharType="separate"/>
            </w:r>
            <w:r w:rsidR="000554A9">
              <w:rPr>
                <w:webHidden/>
              </w:rPr>
              <w:t>18</w:t>
            </w:r>
            <w:r w:rsidR="000554A9">
              <w:rPr>
                <w:webHidden/>
              </w:rPr>
              <w:fldChar w:fldCharType="end"/>
            </w:r>
          </w:hyperlink>
        </w:p>
        <w:p w14:paraId="408FFFBB" w14:textId="77777777" w:rsidR="000554A9" w:rsidRDefault="00AF1FD1">
          <w:pPr>
            <w:pStyle w:val="TOC2"/>
            <w:rPr>
              <w:rFonts w:asciiTheme="minorHAnsi" w:eastAsiaTheme="minorEastAsia" w:hAnsiTheme="minorHAnsi" w:cstheme="minorBidi"/>
              <w:smallCaps w:val="0"/>
              <w:color w:val="auto"/>
              <w:spacing w:val="0"/>
              <w:sz w:val="22"/>
              <w:szCs w:val="22"/>
              <w:lang w:val="en-US" w:eastAsia="en-US"/>
            </w:rPr>
          </w:pPr>
          <w:hyperlink w:anchor="_Toc426368152" w:history="1">
            <w:r w:rsidR="000554A9" w:rsidRPr="00C2585C">
              <w:rPr>
                <w:rStyle w:val="Hyperlink"/>
              </w:rPr>
              <w:t>References</w:t>
            </w:r>
            <w:r w:rsidR="000554A9">
              <w:rPr>
                <w:webHidden/>
              </w:rPr>
              <w:tab/>
            </w:r>
            <w:r w:rsidR="000554A9">
              <w:rPr>
                <w:webHidden/>
              </w:rPr>
              <w:fldChar w:fldCharType="begin"/>
            </w:r>
            <w:r w:rsidR="000554A9">
              <w:rPr>
                <w:webHidden/>
              </w:rPr>
              <w:instrText xml:space="preserve"> PAGEREF _Toc426368152 \h </w:instrText>
            </w:r>
            <w:r w:rsidR="000554A9">
              <w:rPr>
                <w:webHidden/>
              </w:rPr>
            </w:r>
            <w:r w:rsidR="000554A9">
              <w:rPr>
                <w:webHidden/>
              </w:rPr>
              <w:fldChar w:fldCharType="separate"/>
            </w:r>
            <w:r w:rsidR="000554A9">
              <w:rPr>
                <w:webHidden/>
              </w:rPr>
              <w:t>19</w:t>
            </w:r>
            <w:r w:rsidR="000554A9">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368143"/>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368144"/>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368145"/>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368146"/>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4C7BAB51" w:rsidR="00B61555" w:rsidRDefault="000554A9" w:rsidP="00B61555">
      <w:pPr>
        <w:pStyle w:val="ITEATableBullets"/>
      </w:pPr>
      <w:r>
        <w:t>Chapter 4</w:t>
      </w:r>
      <w:r w:rsidR="00B61555">
        <w:t xml:space="preserve"> compares the available approaches and compares them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61CBFB52" w14:textId="77777777" w:rsidR="00FE1740" w:rsidRDefault="00FE1740" w:rsidP="00FE1740">
      <w:pPr>
        <w:pStyle w:val="ITEAHeading2"/>
      </w:pPr>
      <w:r w:rsidRPr="009D76D9">
        <w:t>Structure of the document</w:t>
      </w: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5" w:name="_Toc417308511"/>
      <w:bookmarkStart w:id="26" w:name="_Toc426368147"/>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bookmarkStart w:id="27" w:name="_Toc426368148"/>
      <w:r>
        <w:lastRenderedPageBreak/>
        <w:t>Preliminary</w:t>
      </w:r>
      <w:bookmarkEnd w:id="27"/>
    </w:p>
    <w:p w14:paraId="064FE98F" w14:textId="098710F7" w:rsidR="00630F19" w:rsidRPr="00183FA4" w:rsidRDefault="00630F19" w:rsidP="003519EB">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3519EB">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4" w:tooltip="Wikipedia, 2015 #10" w:history="1">
        <w:r w:rsidR="003519EB"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6E7EE2E5" w:rsidR="00630F19" w:rsidRPr="00183FA4" w:rsidRDefault="00630F19" w:rsidP="003519EB">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3519EB" w:rsidRPr="00183FA4">
          <w:rPr>
            <w:noProof/>
            <w:sz w:val="22"/>
            <w:szCs w:val="28"/>
          </w:rPr>
          <w:t>Czarnecki and Helsen, 2006</w:t>
        </w:r>
      </w:hyperlink>
      <w:r w:rsidR="001032FF" w:rsidRPr="00183FA4">
        <w:rPr>
          <w:noProof/>
          <w:sz w:val="22"/>
          <w:szCs w:val="28"/>
        </w:rPr>
        <w:t xml:space="preserve">; </w:t>
      </w:r>
      <w:hyperlink w:anchor="_ENREF_24" w:tooltip="Mens, 2006 #15" w:history="1">
        <w:r w:rsidR="003519EB" w:rsidRPr="00183FA4">
          <w:rPr>
            <w:noProof/>
            <w:sz w:val="22"/>
            <w:szCs w:val="28"/>
          </w:rPr>
          <w:t>Mens and Van Gorp, 2006</w:t>
        </w:r>
      </w:hyperlink>
      <w:r w:rsidR="001032FF" w:rsidRPr="00183FA4">
        <w:rPr>
          <w:noProof/>
          <w:sz w:val="22"/>
          <w:szCs w:val="28"/>
        </w:rPr>
        <w:t xml:space="preserve">; </w:t>
      </w:r>
      <w:hyperlink w:anchor="_ENREF_27" w:tooltip="Stevens, 2008 #8" w:history="1">
        <w:r w:rsidR="003519EB"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46FED088" w:rsidR="00630F19" w:rsidRPr="00183FA4" w:rsidRDefault="00630F19" w:rsidP="003519EB">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3519EB"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209253BC" w:rsidR="00810C51" w:rsidRPr="00183FA4" w:rsidRDefault="00810C51" w:rsidP="003519EB">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5" w:tooltip="Wirth, 1971 #12" w:history="1">
        <w:r w:rsidR="003519EB"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3519EB"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8"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8"/>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bookmarkStart w:id="29" w:name="_Toc426368149"/>
      <w:r>
        <w:lastRenderedPageBreak/>
        <w:t>Transformation Languages</w:t>
      </w:r>
      <w:r w:rsidR="00BE0E02">
        <w:t>, Tools, and Technologies</w:t>
      </w:r>
      <w:bookmarkEnd w:id="29"/>
    </w:p>
    <w:p w14:paraId="1101836B" w14:textId="25B4E427" w:rsidR="00EB4601" w:rsidRPr="00183FA4" w:rsidRDefault="00EB4601" w:rsidP="003519EB">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3519EB">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3519EB">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3519EB">
          <w:rPr>
            <w:noProof/>
            <w:sz w:val="22"/>
            <w:szCs w:val="28"/>
            <w:lang w:eastAsia="en-US"/>
          </w:rPr>
          <w:t>Huber, 2008</w:t>
        </w:r>
      </w:hyperlink>
      <w:r w:rsidR="00483D8B">
        <w:rPr>
          <w:noProof/>
          <w:sz w:val="22"/>
          <w:szCs w:val="28"/>
          <w:lang w:eastAsia="en-US"/>
        </w:rPr>
        <w:t xml:space="preserve">; </w:t>
      </w:r>
      <w:hyperlink w:anchor="_ENREF_23" w:tooltip="Lúcio, 2014 #24" w:history="1">
        <w:r w:rsidR="003519EB">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6EF30BB7" w:rsidR="002C30F3" w:rsidRPr="00183FA4" w:rsidRDefault="006F4045" w:rsidP="003519EB">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3519EB"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3519EB"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547E4736" w:rsidR="000B5C17" w:rsidRPr="00183FA4" w:rsidRDefault="00550277" w:rsidP="003519EB">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3519EB"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0793CCC2" w:rsidR="007B4BFB" w:rsidRPr="00183FA4" w:rsidRDefault="007B4BFB" w:rsidP="003519EB">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3519EB"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3519EB"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6F3DF418" w:rsidR="00BE5555" w:rsidRPr="00183FA4" w:rsidRDefault="00BE5555" w:rsidP="003519EB">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59BBFA13" w:rsidR="00D01B39" w:rsidRPr="00183FA4" w:rsidRDefault="00BE5984" w:rsidP="003519EB">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3519EB">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64E4575" w:rsidR="00D01B39" w:rsidRPr="00183FA4" w:rsidRDefault="00D01B39" w:rsidP="003519EB">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Eclipse UML2, JavaBeans, XML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D11877" w:rsidRDefault="0006143A" w:rsidP="00D11877">
      <w:pPr>
        <w:pStyle w:val="ITEABodyText"/>
        <w:rPr>
          <w:sz w:val="22"/>
          <w:szCs w:val="28"/>
        </w:rPr>
      </w:pPr>
      <w:r w:rsidRPr="00D11877">
        <w:rPr>
          <w:sz w:val="22"/>
          <w:szCs w:val="28"/>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5BCD5BF2" w:rsidR="003B6EEE" w:rsidRPr="00183FA4" w:rsidRDefault="003B6EEE" w:rsidP="003519EB">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3519EB">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w:t>
      </w:r>
      <w:r w:rsidRPr="00D11877">
        <w:rPr>
          <w:sz w:val="22"/>
          <w:szCs w:val="28"/>
        </w:rPr>
        <w:lastRenderedPageBreak/>
        <w:t xml:space="preserve">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4ABE4356" w:rsidR="00775179" w:rsidRPr="00775179" w:rsidRDefault="00775179" w:rsidP="003519EB">
      <w:pPr>
        <w:pStyle w:val="Caption"/>
        <w:rPr>
          <w:rFonts w:cs="Arial"/>
          <w:color w:val="auto"/>
          <w:sz w:val="18"/>
          <w:szCs w:val="18"/>
        </w:rPr>
      </w:pPr>
      <w:bookmarkStart w:id="30"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0"/>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3519EB">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r w:rsidR="00C63AF9" w:rsidRPr="00D11877">
        <w:rPr>
          <w:sz w:val="22"/>
          <w:szCs w:val="28"/>
        </w:rPr>
        <w:t>Lexar</w:t>
      </w:r>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2C5D2F0F" w:rsidR="002147D2" w:rsidRPr="00183FA4" w:rsidRDefault="003F081D" w:rsidP="003519EB">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3519EB"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53CB53C3"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lastRenderedPageBreak/>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3519EB">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3519EB">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161D9E81" w:rsidR="009A501C" w:rsidRPr="002469EC" w:rsidRDefault="006F4045" w:rsidP="003519EB">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3519EB"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Verification using state space tools, Formal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74346CD0" w:rsidR="007D3DD5" w:rsidRPr="00400C0F" w:rsidRDefault="00222C1C" w:rsidP="003519EB">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7" w:tooltip="Kalnins, 2005 #9" w:history="1">
        <w:r w:rsidR="003519EB"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in the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15902F9A"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3519EB">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w:t>
      </w:r>
      <w:r w:rsidR="00561E0C" w:rsidRPr="00561E0C">
        <w:rPr>
          <w:sz w:val="22"/>
          <w:szCs w:val="28"/>
          <w:lang w:bidi="fa-IR"/>
        </w:rPr>
        <w:lastRenderedPageBreak/>
        <w:t xml:space="preserve">and a class that implements a transformation algorithm. The aim is to facilitate a style of programming that incorporates the concept of transformation rules. </w:t>
      </w:r>
    </w:p>
    <w:p w14:paraId="1DE6753B" w14:textId="2250BC87"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1" w:tooltip="Visser, 1998 #21" w:history="1">
        <w:r w:rsidR="003519EB">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3" w:tooltip="Wikipedia, 2009 #36" w:history="1">
        <w:r w:rsidR="003519EB">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48A9C99" w:rsidR="009A501C" w:rsidRPr="00183FA4" w:rsidRDefault="009A501C" w:rsidP="00F921E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3519EB">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397AE1F5" w:rsidR="009A501C" w:rsidRPr="00183FA4" w:rsidRDefault="009A501C" w:rsidP="00F921E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3519EB">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3D6CF7C2" w:rsidR="009A501C" w:rsidRPr="00735E93" w:rsidRDefault="009A501C" w:rsidP="00735E93">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3519EB">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UML-RSDS solves the long-standing problem of how to combine declarative high-level specification of model transformations 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 xml:space="preserve">The tool can be used to quickly sketch designs in UML and immediately generate working code - even </w:t>
      </w:r>
      <w:r w:rsidR="00735E93" w:rsidRPr="00735E93">
        <w:rPr>
          <w:sz w:val="22"/>
          <w:szCs w:val="28"/>
          <w:lang w:bidi="fa-IR"/>
        </w:rPr>
        <w:lastRenderedPageBreak/>
        <w:t>for incomplete models. It can also be used to quickly produce prototypes or test scripts.</w:t>
      </w:r>
    </w:p>
    <w:p w14:paraId="172F2307" w14:textId="245B7058" w:rsidR="002147D2" w:rsidRPr="00183FA4" w:rsidRDefault="009A501C" w:rsidP="00AD7CBF">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3519EB">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31" w:name="_Toc426368150"/>
      <w:r>
        <w:lastRenderedPageBreak/>
        <w:t>Comparison</w:t>
      </w:r>
      <w:bookmarkEnd w:id="31"/>
    </w:p>
    <w:p w14:paraId="140C6782" w14:textId="3F5D8435" w:rsidR="00600CB2" w:rsidRDefault="006110EF" w:rsidP="003519EB">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0493B138" w:rsidR="004301EE" w:rsidRPr="004301EE" w:rsidRDefault="004301EE" w:rsidP="003519EB">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3519EB">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3519EB">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3519EB">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3519EB">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2058EBF5" w:rsidR="00574A0F" w:rsidRDefault="00F03B55" w:rsidP="00D11877">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3519EB">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3519EB">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than with AGG </w:t>
      </w:r>
      <w:r w:rsidRPr="00F03B55">
        <w:rPr>
          <w:rFonts w:cs="Arial"/>
          <w:color w:val="000000"/>
          <w:sz w:val="22"/>
          <w:szCs w:val="22"/>
        </w:rPr>
        <w:lastRenderedPageBreak/>
        <w:t>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02F0FF44" w:rsidR="00574A0F" w:rsidRDefault="00574A0F" w:rsidP="003519EB">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3519EB">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2514AF38"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2" w:name="_Toc426368151"/>
      <w:r>
        <w:lastRenderedPageBreak/>
        <w:t>Conclusion and way forward</w:t>
      </w:r>
      <w:bookmarkEnd w:id="32"/>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7777777"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he has found the most appropriate for authoring his technical information. </w:t>
      </w:r>
    </w:p>
    <w:p w14:paraId="5488949B" w14:textId="77777777"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By “KB-stored model” is meant a part of the Knowledge Base devoted to storing 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4BFC32F9"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w:t>
      </w:r>
      <w:bookmarkStart w:id="33" w:name="_GoBack"/>
      <w:bookmarkEnd w:id="33"/>
      <w:r>
        <w:rPr>
          <w:sz w:val="22"/>
          <w:szCs w:val="22"/>
          <w:lang w:eastAsia="en-US"/>
        </w:rPr>
        <w:t>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0D12D367" w14:textId="7FB4A750" w:rsidR="003519EB" w:rsidRPr="003519EB" w:rsidRDefault="005A5A65" w:rsidP="0049106C">
      <w:pPr>
        <w:pStyle w:val="ITEAHeading1"/>
        <w:numPr>
          <w:ilvl w:val="0"/>
          <w:numId w:val="0"/>
        </w:numPr>
        <w:spacing w:before="480"/>
        <w:ind w:left="461" w:hanging="461"/>
        <w:jc w:val="center"/>
        <w:rPr>
          <w:noProof/>
        </w:rPr>
      </w:pPr>
      <w:bookmarkStart w:id="34" w:name="_Toc417308516"/>
      <w:bookmarkStart w:id="35" w:name="_Toc426368152"/>
      <w:r>
        <w:lastRenderedPageBreak/>
        <w:t>References</w:t>
      </w:r>
      <w:bookmarkEnd w:id="34"/>
      <w:bookmarkEnd w:id="35"/>
      <w:r w:rsidR="006F4045">
        <w:fldChar w:fldCharType="begin"/>
      </w:r>
      <w:r w:rsidR="006F4045">
        <w:instrText xml:space="preserve"> ADDIN EN.REFLIST </w:instrText>
      </w:r>
      <w:r w:rsidR="006F4045">
        <w:fldChar w:fldCharType="separate"/>
      </w:r>
    </w:p>
    <w:p w14:paraId="36643A7D" w14:textId="77777777" w:rsidR="003519EB" w:rsidRPr="003519EB" w:rsidRDefault="003519EB" w:rsidP="003519EB">
      <w:pPr>
        <w:pStyle w:val="EndNoteBibliographyTitle"/>
      </w:pPr>
    </w:p>
    <w:p w14:paraId="70E1B984" w14:textId="77777777" w:rsidR="003519EB" w:rsidRPr="003519EB" w:rsidRDefault="003519EB" w:rsidP="003519EB">
      <w:pPr>
        <w:pStyle w:val="EndNoteBibliography"/>
      </w:pPr>
      <w:bookmarkStart w:id="36" w:name="_ENREF_1"/>
      <w:r w:rsidRPr="003519EB">
        <w:t xml:space="preserve">Akehurst, D. H., Bordbar, B., Evans, M. J., Howells, W. G. J. and McDonald-Maier, K. D. (2006). SiTra: Simple transformations in java. </w:t>
      </w:r>
      <w:r w:rsidRPr="003519EB">
        <w:rPr>
          <w:u w:val="single"/>
        </w:rPr>
        <w:t>Model Driven Engineering Languages and Systems</w:t>
      </w:r>
      <w:r w:rsidRPr="003519EB">
        <w:t>, Springer</w:t>
      </w:r>
      <w:r w:rsidRPr="003519EB">
        <w:rPr>
          <w:b/>
        </w:rPr>
        <w:t xml:space="preserve">: </w:t>
      </w:r>
      <w:r w:rsidRPr="003519EB">
        <w:t>351-364.</w:t>
      </w:r>
      <w:bookmarkEnd w:id="36"/>
    </w:p>
    <w:p w14:paraId="146AC734" w14:textId="77777777" w:rsidR="003519EB" w:rsidRPr="003519EB" w:rsidRDefault="003519EB" w:rsidP="003519EB">
      <w:pPr>
        <w:pStyle w:val="EndNoteBibliography"/>
      </w:pPr>
      <w:bookmarkStart w:id="37" w:name="_ENREF_2"/>
      <w:r w:rsidRPr="003519EB">
        <w:t xml:space="preserve">Arendt, T., Biermann, E., Jurack, S., Krause, C. and Taentzer, G. (2010). Henshin: advanced concepts and tools for in-place EMF model transformations. </w:t>
      </w:r>
      <w:r w:rsidRPr="003519EB">
        <w:rPr>
          <w:u w:val="single"/>
        </w:rPr>
        <w:t>Model Driven Engineering Languages and Systems</w:t>
      </w:r>
      <w:r w:rsidRPr="003519EB">
        <w:t>, Springer</w:t>
      </w:r>
      <w:r w:rsidRPr="003519EB">
        <w:rPr>
          <w:b/>
        </w:rPr>
        <w:t xml:space="preserve">: </w:t>
      </w:r>
      <w:r w:rsidRPr="003519EB">
        <w:t>121-135.</w:t>
      </w:r>
      <w:bookmarkEnd w:id="37"/>
    </w:p>
    <w:p w14:paraId="65DB96F6" w14:textId="77777777" w:rsidR="003519EB" w:rsidRPr="003519EB" w:rsidRDefault="003519EB" w:rsidP="003519EB">
      <w:pPr>
        <w:pStyle w:val="EndNoteBibliography"/>
      </w:pPr>
      <w:bookmarkStart w:id="38" w:name="_ENREF_3"/>
      <w:r w:rsidRPr="003519EB">
        <w:t xml:space="preserve">Back, R.-J. and Wright, J. (2012). </w:t>
      </w:r>
      <w:r w:rsidRPr="003519EB">
        <w:rPr>
          <w:u w:val="single"/>
        </w:rPr>
        <w:t>Refinement calculus: a systematic introduction</w:t>
      </w:r>
      <w:r w:rsidRPr="003519EB">
        <w:t>, Springer Science &amp; Business Media.</w:t>
      </w:r>
      <w:bookmarkEnd w:id="38"/>
    </w:p>
    <w:p w14:paraId="6237F89A" w14:textId="77777777" w:rsidR="003519EB" w:rsidRPr="003519EB" w:rsidRDefault="003519EB" w:rsidP="003519EB">
      <w:pPr>
        <w:pStyle w:val="EndNoteBibliography"/>
      </w:pPr>
      <w:bookmarkStart w:id="39" w:name="_ENREF_4"/>
      <w:r w:rsidRPr="003519EB">
        <w:t xml:space="preserve">Balasubramanian, D., Narayanan, A., van Buskirk, C. and Karsai, G. (2007). "The graph rewriting and transformation language: GReAT." </w:t>
      </w:r>
      <w:r w:rsidRPr="003519EB">
        <w:rPr>
          <w:u w:val="single"/>
        </w:rPr>
        <w:t>Electronic Communications of the EASST</w:t>
      </w:r>
      <w:r w:rsidRPr="003519EB">
        <w:t xml:space="preserve"> </w:t>
      </w:r>
      <w:r w:rsidRPr="003519EB">
        <w:rPr>
          <w:b/>
        </w:rPr>
        <w:t>1</w:t>
      </w:r>
      <w:r w:rsidRPr="003519EB">
        <w:t>.</w:t>
      </w:r>
      <w:bookmarkEnd w:id="39"/>
    </w:p>
    <w:p w14:paraId="7CACE694" w14:textId="77777777" w:rsidR="003519EB" w:rsidRPr="003519EB" w:rsidRDefault="003519EB" w:rsidP="003519EB">
      <w:pPr>
        <w:pStyle w:val="EndNoteBibliography"/>
      </w:pPr>
      <w:bookmarkStart w:id="40" w:name="_ENREF_5"/>
      <w:r w:rsidRPr="003519EB">
        <w:t xml:space="preserve">Balland, E., Brauner, P., Kopetz, R., Moreau, P.-E. and Reilles, A. (2007). Tom: Piggybacking Rewriting on Java. </w:t>
      </w:r>
      <w:r w:rsidRPr="003519EB">
        <w:rPr>
          <w:u w:val="single"/>
        </w:rPr>
        <w:t>Term Rewriting and Applications</w:t>
      </w:r>
      <w:r w:rsidRPr="003519EB">
        <w:t xml:space="preserve">. F. Baader, Springer Berlin Heidelberg. </w:t>
      </w:r>
      <w:r w:rsidRPr="003519EB">
        <w:rPr>
          <w:b/>
        </w:rPr>
        <w:t xml:space="preserve">4533: </w:t>
      </w:r>
      <w:r w:rsidRPr="003519EB">
        <w:t>36-47.</w:t>
      </w:r>
      <w:bookmarkEnd w:id="40"/>
    </w:p>
    <w:p w14:paraId="393D0EDD" w14:textId="77777777" w:rsidR="003519EB" w:rsidRPr="003519EB" w:rsidRDefault="003519EB" w:rsidP="003519EB">
      <w:pPr>
        <w:pStyle w:val="EndNoteBibliography"/>
      </w:pPr>
      <w:bookmarkStart w:id="41" w:name="_ENREF_6"/>
      <w:r w:rsidRPr="003519EB">
        <w:t xml:space="preserve">Cicchetti, A., Di Ruscio, D., Eramo, R. and Pierantonio, A. (2011). JTL: a bidirectional and change propagating transformation language. </w:t>
      </w:r>
      <w:r w:rsidRPr="003519EB">
        <w:rPr>
          <w:u w:val="single"/>
        </w:rPr>
        <w:t>Software Language Engineering</w:t>
      </w:r>
      <w:r w:rsidRPr="003519EB">
        <w:t>, Springer</w:t>
      </w:r>
      <w:r w:rsidRPr="003519EB">
        <w:rPr>
          <w:b/>
        </w:rPr>
        <w:t xml:space="preserve">: </w:t>
      </w:r>
      <w:r w:rsidRPr="003519EB">
        <w:t>183-202.</w:t>
      </w:r>
      <w:bookmarkEnd w:id="41"/>
    </w:p>
    <w:p w14:paraId="49B7BD27" w14:textId="77777777" w:rsidR="003519EB" w:rsidRPr="003519EB" w:rsidRDefault="003519EB" w:rsidP="003519EB">
      <w:pPr>
        <w:pStyle w:val="EndNoteBibliography"/>
      </w:pPr>
      <w:bookmarkStart w:id="42" w:name="_ENREF_7"/>
      <w:r w:rsidRPr="003519EB">
        <w:t xml:space="preserve">Czarnecki, K. and Helsen, S. (2003). </w:t>
      </w:r>
      <w:r w:rsidRPr="003519EB">
        <w:rPr>
          <w:u w:val="single"/>
        </w:rPr>
        <w:t>Classification of model transformation approaches</w:t>
      </w:r>
      <w:r w:rsidRPr="003519EB">
        <w:t>. Proceedings of the 2nd OOPSLA Workshop on Generative Techniques in the Context of the Model Driven Architecture, USA.</w:t>
      </w:r>
      <w:bookmarkEnd w:id="42"/>
    </w:p>
    <w:p w14:paraId="40416238" w14:textId="77777777" w:rsidR="003519EB" w:rsidRPr="003519EB" w:rsidRDefault="003519EB" w:rsidP="003519EB">
      <w:pPr>
        <w:pStyle w:val="EndNoteBibliography"/>
      </w:pPr>
      <w:bookmarkStart w:id="43" w:name="_ENREF_8"/>
      <w:r w:rsidRPr="003519EB">
        <w:t xml:space="preserve">Czarnecki, K. and Helsen, S. (2006). "Feature-based survey of model transformation approaches." </w:t>
      </w:r>
      <w:r w:rsidRPr="003519EB">
        <w:rPr>
          <w:u w:val="single"/>
        </w:rPr>
        <w:t>IBM Systems Journal</w:t>
      </w:r>
      <w:r w:rsidRPr="003519EB">
        <w:t xml:space="preserve"> </w:t>
      </w:r>
      <w:r w:rsidRPr="003519EB">
        <w:rPr>
          <w:b/>
        </w:rPr>
        <w:t>45</w:t>
      </w:r>
      <w:r w:rsidRPr="003519EB">
        <w:t>(3): 621-645.</w:t>
      </w:r>
      <w:bookmarkEnd w:id="43"/>
    </w:p>
    <w:p w14:paraId="2A34F6ED" w14:textId="73AC16AD" w:rsidR="003519EB" w:rsidRPr="003519EB" w:rsidRDefault="003519EB" w:rsidP="003519EB">
      <w:pPr>
        <w:pStyle w:val="EndNoteBibliography"/>
      </w:pPr>
      <w:bookmarkStart w:id="44" w:name="_ENREF_9"/>
      <w:r w:rsidRPr="003519EB">
        <w:t xml:space="preserve">Eclipse. (2009). "Scope of the MOFScript."   Retrieved July, 2015, from </w:t>
      </w:r>
      <w:r w:rsidRPr="000554A9">
        <w:t>http://www.eclipse.org/gmt/mofscript/about.php</w:t>
      </w:r>
      <w:r w:rsidRPr="003519EB">
        <w:t>.</w:t>
      </w:r>
      <w:bookmarkEnd w:id="44"/>
    </w:p>
    <w:p w14:paraId="6BB07250" w14:textId="43B5AF2C" w:rsidR="003519EB" w:rsidRPr="003519EB" w:rsidRDefault="003519EB" w:rsidP="003519EB">
      <w:pPr>
        <w:pStyle w:val="EndNoteBibliography"/>
      </w:pPr>
      <w:bookmarkStart w:id="45" w:name="_ENREF_10"/>
      <w:r w:rsidRPr="003519EB">
        <w:t xml:space="preserve">Fleurey, F., Drey, Z., Vojtisek, D., Faucher, C. and Mahé, V. (2006). "Kermeta Language, Reference Manual." </w:t>
      </w:r>
      <w:r w:rsidRPr="003519EB">
        <w:rPr>
          <w:u w:val="single"/>
        </w:rPr>
        <w:t xml:space="preserve">Internet: </w:t>
      </w:r>
      <w:r w:rsidRPr="00623E04">
        <w:rPr>
          <w:u w:val="single"/>
        </w:rPr>
        <w:t>http://www</w:t>
      </w:r>
      <w:r w:rsidRPr="003519EB">
        <w:rPr>
          <w:u w:val="single"/>
        </w:rPr>
        <w:t>. kermeta. org/docs/KerMeta-Manual. pdf. IRISA</w:t>
      </w:r>
      <w:r w:rsidRPr="003519EB">
        <w:t>.</w:t>
      </w:r>
      <w:bookmarkEnd w:id="45"/>
    </w:p>
    <w:p w14:paraId="7652EACB" w14:textId="77777777" w:rsidR="003519EB" w:rsidRPr="003519EB" w:rsidRDefault="003519EB" w:rsidP="003519EB">
      <w:pPr>
        <w:pStyle w:val="EndNoteBibliography"/>
      </w:pPr>
      <w:bookmarkStart w:id="46" w:name="_ENREF_11"/>
      <w:r w:rsidRPr="003519EB">
        <w:t xml:space="preserve">Greenyer, J. and Kindler, E. (2010). "Comparing relational model transformation technologies: implementing Query/View/Transformation with Triple Graph Grammars." </w:t>
      </w:r>
      <w:r w:rsidRPr="003519EB">
        <w:rPr>
          <w:u w:val="single"/>
        </w:rPr>
        <w:t>Software &amp; Systems Modeling</w:t>
      </w:r>
      <w:r w:rsidRPr="003519EB">
        <w:t xml:space="preserve"> </w:t>
      </w:r>
      <w:r w:rsidRPr="003519EB">
        <w:rPr>
          <w:b/>
        </w:rPr>
        <w:t>9</w:t>
      </w:r>
      <w:r w:rsidRPr="003519EB">
        <w:t>(1): 21-46.</w:t>
      </w:r>
      <w:bookmarkEnd w:id="46"/>
    </w:p>
    <w:p w14:paraId="1CC0D6F7" w14:textId="77777777" w:rsidR="003519EB" w:rsidRPr="003519EB" w:rsidRDefault="003519EB" w:rsidP="003519EB">
      <w:pPr>
        <w:pStyle w:val="EndNoteBibliography"/>
      </w:pPr>
      <w:bookmarkStart w:id="47" w:name="_ENREF_12"/>
      <w:r w:rsidRPr="003519EB">
        <w:t xml:space="preserve">Grønmo, R. (2009). </w:t>
      </w:r>
      <w:r w:rsidRPr="003519EB">
        <w:rPr>
          <w:u w:val="single"/>
        </w:rPr>
        <w:t>Using concrete syntax in graph-based model transformations</w:t>
      </w:r>
      <w:r w:rsidRPr="003519EB">
        <w:t>, University of Oslo.</w:t>
      </w:r>
      <w:bookmarkEnd w:id="47"/>
    </w:p>
    <w:p w14:paraId="3273950A" w14:textId="77777777" w:rsidR="003519EB" w:rsidRPr="003519EB" w:rsidRDefault="003519EB" w:rsidP="003519EB">
      <w:pPr>
        <w:pStyle w:val="EndNoteBibliography"/>
      </w:pPr>
      <w:bookmarkStart w:id="48" w:name="_ENREF_13"/>
      <w:r w:rsidRPr="003519EB">
        <w:t xml:space="preserve">Grønmo, R., Møller-Pedersen, B. and Olsen, G. (2009). Comparison of Three Model Transformation Languages. </w:t>
      </w:r>
      <w:r w:rsidRPr="003519EB">
        <w:rPr>
          <w:u w:val="single"/>
        </w:rPr>
        <w:t>Model Driven Architecture - Foundations and Applications</w:t>
      </w:r>
      <w:r w:rsidRPr="003519EB">
        <w:t xml:space="preserve">. R. Paige, A. Hartman and A. Rensink, Springer Berlin Heidelberg. </w:t>
      </w:r>
      <w:r w:rsidRPr="003519EB">
        <w:rPr>
          <w:b/>
        </w:rPr>
        <w:t xml:space="preserve">5562: </w:t>
      </w:r>
      <w:r w:rsidRPr="003519EB">
        <w:t>2-17.</w:t>
      </w:r>
      <w:bookmarkEnd w:id="48"/>
    </w:p>
    <w:p w14:paraId="7BCA888F" w14:textId="77777777" w:rsidR="003519EB" w:rsidRPr="003519EB" w:rsidRDefault="003519EB" w:rsidP="003519EB">
      <w:pPr>
        <w:pStyle w:val="EndNoteBibliography"/>
      </w:pPr>
      <w:bookmarkStart w:id="49" w:name="_ENREF_14"/>
      <w:r w:rsidRPr="003519EB">
        <w:t xml:space="preserve">Huber, P. (2008). </w:t>
      </w:r>
      <w:r w:rsidRPr="003519EB">
        <w:rPr>
          <w:u w:val="single"/>
        </w:rPr>
        <w:t>The model transformation language jungle: an evaluation and extension of existing approaches</w:t>
      </w:r>
      <w:r w:rsidRPr="003519EB">
        <w:t>, Master Thesis, TU-Wien.</w:t>
      </w:r>
      <w:bookmarkEnd w:id="49"/>
    </w:p>
    <w:p w14:paraId="072B9BE5" w14:textId="77777777" w:rsidR="003519EB" w:rsidRPr="003519EB" w:rsidRDefault="003519EB" w:rsidP="003519EB">
      <w:pPr>
        <w:pStyle w:val="EndNoteBibliography"/>
      </w:pPr>
      <w:bookmarkStart w:id="50" w:name="_ENREF_15"/>
      <w:r w:rsidRPr="003519EB">
        <w:t xml:space="preserve">Jakumeit, E., Buchwald, S., Wagelaar, D., Dan, L., Hegedüs, Á., Herrmannsdörfer, M., Horn, T., Kalnina, E., Krause, C. and Lano, K. (2014). "A survey and comparison of transformation tools based on the transformation tool contest." </w:t>
      </w:r>
      <w:r w:rsidRPr="003519EB">
        <w:rPr>
          <w:u w:val="single"/>
        </w:rPr>
        <w:t>Science of computer programming</w:t>
      </w:r>
      <w:r w:rsidRPr="003519EB">
        <w:t xml:space="preserve"> </w:t>
      </w:r>
      <w:r w:rsidRPr="003519EB">
        <w:rPr>
          <w:b/>
        </w:rPr>
        <w:t>85</w:t>
      </w:r>
      <w:r w:rsidRPr="003519EB">
        <w:t>: 41-99.</w:t>
      </w:r>
      <w:bookmarkEnd w:id="50"/>
    </w:p>
    <w:p w14:paraId="46A93509" w14:textId="77777777" w:rsidR="003519EB" w:rsidRPr="003519EB" w:rsidRDefault="003519EB" w:rsidP="003519EB">
      <w:pPr>
        <w:pStyle w:val="EndNoteBibliography"/>
      </w:pPr>
      <w:bookmarkStart w:id="51" w:name="_ENREF_16"/>
      <w:r w:rsidRPr="003519EB">
        <w:t xml:space="preserve">Jouault, F., Allilaire, F., Bézivin, J., Kurtev, I. and Valduriez, P. (2006). </w:t>
      </w:r>
      <w:r w:rsidRPr="003519EB">
        <w:rPr>
          <w:u w:val="single"/>
        </w:rPr>
        <w:t>ATL: a QVT-like transformation language</w:t>
      </w:r>
      <w:r w:rsidRPr="003519EB">
        <w:t>. Companion to the 21st ACM SIGPLAN symposium on Object-oriented programming systems, languages, and applications, ACM.</w:t>
      </w:r>
      <w:bookmarkEnd w:id="51"/>
    </w:p>
    <w:p w14:paraId="444FD73B" w14:textId="77777777" w:rsidR="003519EB" w:rsidRPr="003519EB" w:rsidRDefault="003519EB" w:rsidP="003519EB">
      <w:pPr>
        <w:pStyle w:val="EndNoteBibliography"/>
      </w:pPr>
      <w:bookmarkStart w:id="52" w:name="_ENREF_17"/>
      <w:r w:rsidRPr="003519EB">
        <w:t xml:space="preserve">Kalnins, A., Celms, E. and Sostaks, A. (2005). </w:t>
      </w:r>
      <w:r w:rsidRPr="003519EB">
        <w:rPr>
          <w:u w:val="single"/>
        </w:rPr>
        <w:t>Model transformation approach based on MOLA</w:t>
      </w:r>
      <w:r w:rsidRPr="003519EB">
        <w:t>. Model Transformations in Practice Workshop at MoDELS, Citeseer.</w:t>
      </w:r>
      <w:bookmarkEnd w:id="52"/>
    </w:p>
    <w:p w14:paraId="296F96AB" w14:textId="77777777" w:rsidR="003519EB" w:rsidRPr="003519EB" w:rsidRDefault="003519EB" w:rsidP="003519EB">
      <w:pPr>
        <w:pStyle w:val="EndNoteBibliography"/>
      </w:pPr>
      <w:bookmarkStart w:id="53" w:name="_ENREF_18"/>
      <w:r w:rsidRPr="003519EB">
        <w:t xml:space="preserve">Kolovos, D. S., Paige, R. F. and Polack, F. A. (2006). </w:t>
      </w:r>
      <w:r w:rsidRPr="003519EB">
        <w:rPr>
          <w:u w:val="single"/>
        </w:rPr>
        <w:t>Eclipse development tools for epsilon</w:t>
      </w:r>
      <w:r w:rsidRPr="003519EB">
        <w:t>. Eclipse Summit Europe, Eclipse Modeling Symposium.</w:t>
      </w:r>
      <w:bookmarkEnd w:id="53"/>
    </w:p>
    <w:p w14:paraId="6C302A25" w14:textId="77777777" w:rsidR="003519EB" w:rsidRPr="003519EB" w:rsidRDefault="003519EB" w:rsidP="003519EB">
      <w:pPr>
        <w:pStyle w:val="EndNoteBibliography"/>
      </w:pPr>
      <w:bookmarkStart w:id="54" w:name="_ENREF_19"/>
      <w:r w:rsidRPr="003519EB">
        <w:t xml:space="preserve">Kolovos, D. S., Paige, R. F. and Polack, F. A. (2008). The epsilon transformation language. </w:t>
      </w:r>
      <w:r w:rsidRPr="003519EB">
        <w:rPr>
          <w:u w:val="single"/>
        </w:rPr>
        <w:t>Theory and practice of model transformations</w:t>
      </w:r>
      <w:r w:rsidRPr="003519EB">
        <w:t>, Springer</w:t>
      </w:r>
      <w:r w:rsidRPr="003519EB">
        <w:rPr>
          <w:b/>
        </w:rPr>
        <w:t xml:space="preserve">: </w:t>
      </w:r>
      <w:r w:rsidRPr="003519EB">
        <w:t>46-60.</w:t>
      </w:r>
      <w:bookmarkEnd w:id="54"/>
    </w:p>
    <w:p w14:paraId="070C8A91" w14:textId="77777777" w:rsidR="003519EB" w:rsidRPr="003519EB" w:rsidRDefault="003519EB" w:rsidP="003519EB">
      <w:pPr>
        <w:pStyle w:val="EndNoteBibliography"/>
      </w:pPr>
      <w:bookmarkStart w:id="55" w:name="_ENREF_20"/>
      <w:r w:rsidRPr="003519EB">
        <w:t>Lano, K. (2013). The UML-RSDS Manual.</w:t>
      </w:r>
      <w:bookmarkEnd w:id="55"/>
    </w:p>
    <w:p w14:paraId="554986D4" w14:textId="77777777" w:rsidR="003519EB" w:rsidRPr="003519EB" w:rsidRDefault="003519EB" w:rsidP="003519EB">
      <w:pPr>
        <w:pStyle w:val="EndNoteBibliography"/>
      </w:pPr>
      <w:bookmarkStart w:id="56" w:name="_ENREF_21"/>
      <w:r w:rsidRPr="003519EB">
        <w:t xml:space="preserve">Lawley, M. and Steel, J. (2006). </w:t>
      </w:r>
      <w:r w:rsidRPr="003519EB">
        <w:rPr>
          <w:u w:val="single"/>
        </w:rPr>
        <w:t>Practical declarative model transformation with Tefkat</w:t>
      </w:r>
      <w:r w:rsidRPr="003519EB">
        <w:t>. Satellite Events at the MoDELS 2005 Conference, Springer.</w:t>
      </w:r>
      <w:bookmarkEnd w:id="56"/>
    </w:p>
    <w:p w14:paraId="78715AC7" w14:textId="77777777" w:rsidR="003519EB" w:rsidRPr="003519EB" w:rsidRDefault="003519EB" w:rsidP="003519EB">
      <w:pPr>
        <w:pStyle w:val="EndNoteBibliography"/>
      </w:pPr>
      <w:bookmarkStart w:id="57" w:name="_ENREF_22"/>
      <w:r w:rsidRPr="003519EB">
        <w:t xml:space="preserve">Lédeczi, Á., Bakay, A., Maroti, M., Völgyesi, P., Nordstrom, G., Sprinkle, J. and Karsai, G. (2001). "Composing domain-specific design environments." </w:t>
      </w:r>
      <w:r w:rsidRPr="003519EB">
        <w:rPr>
          <w:u w:val="single"/>
        </w:rPr>
        <w:t>Computer</w:t>
      </w:r>
      <w:r w:rsidRPr="003519EB">
        <w:t xml:space="preserve"> </w:t>
      </w:r>
      <w:r w:rsidRPr="003519EB">
        <w:rPr>
          <w:b/>
        </w:rPr>
        <w:t>34</w:t>
      </w:r>
      <w:r w:rsidRPr="003519EB">
        <w:t>(11): 44-51.</w:t>
      </w:r>
      <w:bookmarkEnd w:id="57"/>
    </w:p>
    <w:p w14:paraId="05AF5E51" w14:textId="77777777" w:rsidR="003519EB" w:rsidRPr="003519EB" w:rsidRDefault="003519EB" w:rsidP="003519EB">
      <w:pPr>
        <w:pStyle w:val="EndNoteBibliography"/>
      </w:pPr>
      <w:bookmarkStart w:id="58" w:name="_ENREF_23"/>
      <w:r w:rsidRPr="003519EB">
        <w:t xml:space="preserve">Lúcio, L., Amrani, M., Dingel, J., Lambers, L., Salay, R., Selim, G. M., Syriani, E. and Wimmer, M. (2014). "Model transformation intents and their properties." </w:t>
      </w:r>
      <w:r w:rsidRPr="003519EB">
        <w:rPr>
          <w:u w:val="single"/>
        </w:rPr>
        <w:t>Software &amp; Systems Modeling</w:t>
      </w:r>
      <w:r w:rsidRPr="003519EB">
        <w:t>: 1-38.</w:t>
      </w:r>
      <w:bookmarkEnd w:id="58"/>
    </w:p>
    <w:p w14:paraId="3654A178" w14:textId="77777777" w:rsidR="003519EB" w:rsidRPr="003519EB" w:rsidRDefault="003519EB" w:rsidP="003519EB">
      <w:pPr>
        <w:pStyle w:val="EndNoteBibliography"/>
      </w:pPr>
      <w:bookmarkStart w:id="59" w:name="_ENREF_24"/>
      <w:r w:rsidRPr="003519EB">
        <w:t xml:space="preserve">Mens, T. and Van Gorp, P. (2006). "A taxonomy of model transformation." </w:t>
      </w:r>
      <w:r w:rsidRPr="003519EB">
        <w:rPr>
          <w:u w:val="single"/>
        </w:rPr>
        <w:t>Electronic Notes in Theoretical Computer Science</w:t>
      </w:r>
      <w:r w:rsidRPr="003519EB">
        <w:t xml:space="preserve"> </w:t>
      </w:r>
      <w:r w:rsidRPr="003519EB">
        <w:rPr>
          <w:b/>
        </w:rPr>
        <w:t>152</w:t>
      </w:r>
      <w:r w:rsidRPr="003519EB">
        <w:t>: 125-142.</w:t>
      </w:r>
      <w:bookmarkEnd w:id="59"/>
    </w:p>
    <w:p w14:paraId="61BEA8D3" w14:textId="77777777" w:rsidR="003519EB" w:rsidRPr="003519EB" w:rsidRDefault="003519EB" w:rsidP="003519EB">
      <w:pPr>
        <w:pStyle w:val="EndNoteBibliography"/>
      </w:pPr>
      <w:bookmarkStart w:id="60" w:name="_ENREF_25"/>
      <w:r w:rsidRPr="003519EB">
        <w:t>Sendall, S. and Kozaczynski, W. (2003). Model transformation the heart and soul of model-driven software development.</w:t>
      </w:r>
      <w:bookmarkEnd w:id="60"/>
    </w:p>
    <w:p w14:paraId="6DA30A01" w14:textId="77777777" w:rsidR="003519EB" w:rsidRPr="003519EB" w:rsidRDefault="003519EB" w:rsidP="003519EB">
      <w:pPr>
        <w:pStyle w:val="EndNoteBibliography"/>
      </w:pPr>
      <w:bookmarkStart w:id="61" w:name="_ENREF_26"/>
      <w:r w:rsidRPr="003519EB">
        <w:t xml:space="preserve">Stephan, M. and Stevenson, A. (2009). "A comparative look at model transformation languages." </w:t>
      </w:r>
      <w:r w:rsidRPr="003519EB">
        <w:rPr>
          <w:u w:val="single"/>
        </w:rPr>
        <w:t>Software Technology Laboratory at Queens University</w:t>
      </w:r>
      <w:r w:rsidRPr="003519EB">
        <w:t>.</w:t>
      </w:r>
      <w:bookmarkEnd w:id="61"/>
    </w:p>
    <w:p w14:paraId="67A2113E" w14:textId="77777777" w:rsidR="003519EB" w:rsidRPr="003519EB" w:rsidRDefault="003519EB" w:rsidP="003519EB">
      <w:pPr>
        <w:pStyle w:val="EndNoteBibliography"/>
      </w:pPr>
      <w:bookmarkStart w:id="62" w:name="_ENREF_27"/>
      <w:r w:rsidRPr="003519EB">
        <w:lastRenderedPageBreak/>
        <w:t xml:space="preserve">Stevens, P. (2008). A landscape of bidirectional model transformations. </w:t>
      </w:r>
      <w:r w:rsidRPr="003519EB">
        <w:rPr>
          <w:u w:val="single"/>
        </w:rPr>
        <w:t>Generative and transformational techniques in software engineering II</w:t>
      </w:r>
      <w:r w:rsidRPr="003519EB">
        <w:t>, Springer</w:t>
      </w:r>
      <w:r w:rsidRPr="003519EB">
        <w:rPr>
          <w:b/>
        </w:rPr>
        <w:t xml:space="preserve">: </w:t>
      </w:r>
      <w:r w:rsidRPr="003519EB">
        <w:t>408-424.</w:t>
      </w:r>
      <w:bookmarkEnd w:id="62"/>
    </w:p>
    <w:p w14:paraId="6E2697DD" w14:textId="77777777" w:rsidR="003519EB" w:rsidRPr="003519EB" w:rsidRDefault="003519EB" w:rsidP="003519EB">
      <w:pPr>
        <w:pStyle w:val="EndNoteBibliography"/>
      </w:pPr>
      <w:bookmarkStart w:id="63" w:name="_ENREF_28"/>
      <w:r w:rsidRPr="003519EB">
        <w:t xml:space="preserve">Taentzer, G. (2004). AGG: A graph transformation environment for modeling and validation of software. </w:t>
      </w:r>
      <w:r w:rsidRPr="003519EB">
        <w:rPr>
          <w:u w:val="single"/>
        </w:rPr>
        <w:t>Applications of Graph Transformations with Industrial Relevance</w:t>
      </w:r>
      <w:r w:rsidRPr="003519EB">
        <w:t>, Springer</w:t>
      </w:r>
      <w:r w:rsidRPr="003519EB">
        <w:rPr>
          <w:b/>
        </w:rPr>
        <w:t xml:space="preserve">: </w:t>
      </w:r>
      <w:r w:rsidRPr="003519EB">
        <w:t>446-453.</w:t>
      </w:r>
      <w:bookmarkEnd w:id="63"/>
    </w:p>
    <w:p w14:paraId="33A39D93" w14:textId="77777777" w:rsidR="003519EB" w:rsidRPr="003519EB" w:rsidRDefault="003519EB" w:rsidP="003519EB">
      <w:pPr>
        <w:pStyle w:val="EndNoteBibliography"/>
      </w:pPr>
      <w:bookmarkStart w:id="64" w:name="_ENREF_29"/>
      <w:r w:rsidRPr="003519EB">
        <w:t xml:space="preserve">Tisi, M., Jouault, F., Fraternali, P., Ceri, S. and Bézivin, J. (2009). </w:t>
      </w:r>
      <w:r w:rsidRPr="003519EB">
        <w:rPr>
          <w:u w:val="single"/>
        </w:rPr>
        <w:t>On the use of higher-order model transformations</w:t>
      </w:r>
      <w:r w:rsidRPr="003519EB">
        <w:t>. Model Driven Architecture-Foundations and Applications, Springer.</w:t>
      </w:r>
      <w:bookmarkEnd w:id="64"/>
    </w:p>
    <w:p w14:paraId="1A6DC1E4" w14:textId="77777777" w:rsidR="003519EB" w:rsidRPr="003519EB" w:rsidRDefault="003519EB" w:rsidP="003519EB">
      <w:pPr>
        <w:pStyle w:val="EndNoteBibliography"/>
      </w:pPr>
      <w:bookmarkStart w:id="65" w:name="_ENREF_30"/>
      <w:r w:rsidRPr="003519EB">
        <w:t xml:space="preserve">Varró, D. and Balogh, A. (2007). "The model transformation language of the VIATRA2 framework." </w:t>
      </w:r>
      <w:r w:rsidRPr="003519EB">
        <w:rPr>
          <w:u w:val="single"/>
        </w:rPr>
        <w:t>Science of Computer Programming</w:t>
      </w:r>
      <w:r w:rsidRPr="003519EB">
        <w:t xml:space="preserve"> </w:t>
      </w:r>
      <w:r w:rsidRPr="003519EB">
        <w:rPr>
          <w:b/>
        </w:rPr>
        <w:t>68</w:t>
      </w:r>
      <w:r w:rsidRPr="003519EB">
        <w:t>(3): 214-234.</w:t>
      </w:r>
      <w:bookmarkEnd w:id="65"/>
    </w:p>
    <w:p w14:paraId="6D8A4B78" w14:textId="77777777" w:rsidR="003519EB" w:rsidRPr="003519EB" w:rsidRDefault="003519EB" w:rsidP="003519EB">
      <w:pPr>
        <w:pStyle w:val="EndNoteBibliography"/>
      </w:pPr>
      <w:bookmarkStart w:id="66" w:name="_ENREF_31"/>
      <w:r w:rsidRPr="003519EB">
        <w:t xml:space="preserve">Visser, E. and Benaissa, Z.-e.-A. (1998). "A core language for rewriting." </w:t>
      </w:r>
      <w:r w:rsidRPr="003519EB">
        <w:rPr>
          <w:u w:val="single"/>
        </w:rPr>
        <w:t>Electronic Notes in Theoretical Computer Science</w:t>
      </w:r>
      <w:r w:rsidRPr="003519EB">
        <w:t xml:space="preserve"> </w:t>
      </w:r>
      <w:r w:rsidRPr="003519EB">
        <w:rPr>
          <w:b/>
        </w:rPr>
        <w:t>15</w:t>
      </w:r>
      <w:r w:rsidRPr="003519EB">
        <w:t>: 422-441.</w:t>
      </w:r>
      <w:bookmarkEnd w:id="66"/>
    </w:p>
    <w:p w14:paraId="1DF31DD3" w14:textId="77777777" w:rsidR="003519EB" w:rsidRPr="003519EB" w:rsidRDefault="003519EB" w:rsidP="003519EB">
      <w:pPr>
        <w:pStyle w:val="EndNoteBibliography"/>
      </w:pPr>
      <w:bookmarkStart w:id="67" w:name="_ENREF_32"/>
      <w:r w:rsidRPr="003519EB">
        <w:t xml:space="preserve">Warmer, J. B. and Kleppe, A. G. (2003). </w:t>
      </w:r>
      <w:r w:rsidRPr="003519EB">
        <w:rPr>
          <w:u w:val="single"/>
        </w:rPr>
        <w:t>The object constraint language: getting your models ready for MDA</w:t>
      </w:r>
      <w:r w:rsidRPr="003519EB">
        <w:t>, Addison-Wesley Professional.</w:t>
      </w:r>
      <w:bookmarkEnd w:id="67"/>
    </w:p>
    <w:p w14:paraId="0E161C09" w14:textId="77777777" w:rsidR="003519EB" w:rsidRPr="003519EB" w:rsidRDefault="003519EB" w:rsidP="003519EB">
      <w:pPr>
        <w:pStyle w:val="EndNoteBibliography"/>
      </w:pPr>
      <w:bookmarkStart w:id="68" w:name="_ENREF_33"/>
      <w:r w:rsidRPr="003519EB">
        <w:t>Wikipedia. (2009). "</w:t>
      </w:r>
      <w:r w:rsidRPr="003519EB">
        <w:rPr>
          <w:rFonts w:ascii="Arial" w:hAnsi="Arial" w:cs="Arial"/>
        </w:rPr>
        <w:t>Stratego/XT</w:t>
      </w:r>
      <w:r w:rsidRPr="003519EB">
        <w:t>."   Retrieved July, 2015, from https://en.wikipedia.org/wiki/Stratego/XT.</w:t>
      </w:r>
      <w:bookmarkEnd w:id="68"/>
    </w:p>
    <w:p w14:paraId="4C6419ED" w14:textId="77777777" w:rsidR="003519EB" w:rsidRPr="003519EB" w:rsidRDefault="003519EB" w:rsidP="003519EB">
      <w:pPr>
        <w:pStyle w:val="EndNoteBibliography"/>
      </w:pPr>
      <w:bookmarkStart w:id="69" w:name="_ENREF_34"/>
      <w:r w:rsidRPr="003519EB">
        <w:t>Wikipedia. (2015). "Model transformation language."   Retrieved June, 2015, from https://en.wikipedia.org/wiki/Model_transformation_language.</w:t>
      </w:r>
      <w:bookmarkEnd w:id="69"/>
    </w:p>
    <w:p w14:paraId="158FB605" w14:textId="77777777" w:rsidR="003519EB" w:rsidRPr="003519EB" w:rsidRDefault="003519EB" w:rsidP="003519EB">
      <w:pPr>
        <w:pStyle w:val="EndNoteBibliography"/>
      </w:pPr>
      <w:bookmarkStart w:id="70" w:name="_ENREF_35"/>
      <w:r w:rsidRPr="003519EB">
        <w:t xml:space="preserve">Wirth, N. (1971). "Program development by stepwise refinement." </w:t>
      </w:r>
      <w:r w:rsidRPr="003519EB">
        <w:rPr>
          <w:u w:val="single"/>
        </w:rPr>
        <w:t>Communications of the ACM</w:t>
      </w:r>
      <w:r w:rsidRPr="003519EB">
        <w:t xml:space="preserve"> </w:t>
      </w:r>
      <w:r w:rsidRPr="003519EB">
        <w:rPr>
          <w:b/>
        </w:rPr>
        <w:t>14</w:t>
      </w:r>
      <w:r w:rsidRPr="003519EB">
        <w:t>(4): 221-227.</w:t>
      </w:r>
      <w:bookmarkEnd w:id="70"/>
    </w:p>
    <w:p w14:paraId="053DADE6" w14:textId="34074285" w:rsidR="00D27D99" w:rsidRDefault="006F4045" w:rsidP="003519EB">
      <w:pPr>
        <w:pStyle w:val="ITEABodyText"/>
        <w:spacing w:line="276" w:lineRule="auto"/>
        <w:ind w:left="450" w:hanging="454"/>
        <w:rPr>
          <w:lang w:eastAsia="en-US"/>
        </w:rPr>
      </w:pPr>
      <w:r>
        <w:rPr>
          <w:lang w:eastAsia="en-US"/>
        </w:rPr>
        <w:fldChar w:fldCharType="end"/>
      </w:r>
    </w:p>
    <w:p w14:paraId="19271B6E" w14:textId="77777777" w:rsidR="005064D6" w:rsidRPr="00223901" w:rsidRDefault="005064D6" w:rsidP="00AD5ABE">
      <w:pPr>
        <w:pStyle w:val="ITEABodyText"/>
        <w:spacing w:line="276" w:lineRule="auto"/>
        <w:ind w:left="450" w:hanging="450"/>
        <w:rPr>
          <w:lang w:val="en-US" w:eastAsia="en-US" w:bidi="fa-IR"/>
        </w:rPr>
      </w:pPr>
    </w:p>
    <w:p w14:paraId="0C5416B8" w14:textId="77777777" w:rsidR="005064D6" w:rsidRDefault="005064D6" w:rsidP="005064D6">
      <w:pPr>
        <w:pStyle w:val="ITEABodyText"/>
        <w:ind w:left="450" w:hanging="450"/>
        <w:rPr>
          <w:lang w:eastAsia="en-US"/>
        </w:rPr>
      </w:pPr>
    </w:p>
    <w:p w14:paraId="10F83676" w14:textId="4D7C03BF" w:rsidR="005064D6" w:rsidRDefault="005064D6" w:rsidP="005064D6">
      <w:pPr>
        <w:pStyle w:val="ITEABodyText"/>
        <w:ind w:left="450" w:hanging="450"/>
        <w:rPr>
          <w:lang w:eastAsia="en-US"/>
        </w:rPr>
      </w:pPr>
    </w:p>
    <w:sectPr w:rsidR="005064D6" w:rsidSect="006F4045">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B0ADB" w14:textId="77777777" w:rsidR="00AF1FD1" w:rsidRDefault="00AF1FD1" w:rsidP="00963638">
      <w:r>
        <w:separator/>
      </w:r>
    </w:p>
  </w:endnote>
  <w:endnote w:type="continuationSeparator" w:id="0">
    <w:p w14:paraId="12AE6ADD" w14:textId="77777777" w:rsidR="00AF1FD1" w:rsidRDefault="00AF1FD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0621D0" w:rsidRPr="007F744A" w14:paraId="512F458B" w14:textId="77777777" w:rsidTr="00BF5F63">
      <w:trPr>
        <w:trHeight w:val="340"/>
      </w:trPr>
      <w:tc>
        <w:tcPr>
          <w:tcW w:w="1809" w:type="dxa"/>
          <w:shd w:val="clear" w:color="auto" w:fill="auto"/>
        </w:tcPr>
        <w:p w14:paraId="08C30A8D" w14:textId="77777777" w:rsidR="000621D0" w:rsidRPr="00CA166C" w:rsidRDefault="000621D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7B06C5">
            <w:rPr>
              <w:rStyle w:val="PageNumber"/>
              <w:rFonts w:cs="Arial"/>
              <w:noProof/>
              <w:szCs w:val="20"/>
            </w:rPr>
            <w:t>21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7B06C5">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0621D0" w:rsidRPr="00CA166C" w:rsidRDefault="00AF1FD1" w:rsidP="004C4BFE">
          <w:pPr>
            <w:pStyle w:val="Footer"/>
            <w:jc w:val="right"/>
            <w:rPr>
              <w:b/>
            </w:rPr>
          </w:pPr>
          <w:hyperlink r:id="rId2" w:history="1">
            <w:r w:rsidR="000621D0" w:rsidRPr="00151BC5">
              <w:rPr>
                <w:rStyle w:val="Hyperlink"/>
              </w:rPr>
              <w:t>https://github.com/ModelWriter/Deliverables/issues/33</w:t>
            </w:r>
          </w:hyperlink>
        </w:p>
      </w:tc>
    </w:tr>
  </w:tbl>
  <w:p w14:paraId="1D8BCCD3" w14:textId="77777777" w:rsidR="000621D0" w:rsidRPr="007F744A" w:rsidRDefault="000621D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0621D0" w:rsidRDefault="000621D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86A9A" w14:textId="77777777" w:rsidR="00AF1FD1" w:rsidRDefault="00AF1FD1" w:rsidP="00963638">
      <w:r>
        <w:separator/>
      </w:r>
    </w:p>
  </w:footnote>
  <w:footnote w:type="continuationSeparator" w:id="0">
    <w:p w14:paraId="1F8C342D" w14:textId="77777777" w:rsidR="00AF1FD1" w:rsidRDefault="00AF1FD1"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0621D0" w:rsidRPr="00F14F6F" w:rsidRDefault="000621D0" w:rsidP="00CA166C">
        <w:pPr>
          <w:pStyle w:val="Header"/>
          <w:jc w:val="right"/>
          <w:rPr>
            <w:sz w:val="12"/>
            <w:szCs w:val="12"/>
          </w:rPr>
        </w:pPr>
        <w:r>
          <w:fldChar w:fldCharType="begin"/>
        </w:r>
        <w:r>
          <w:instrText xml:space="preserve"> PAGE   \* MERGEFORMAT </w:instrText>
        </w:r>
        <w:r>
          <w:fldChar w:fldCharType="separate"/>
        </w:r>
        <w:r w:rsidR="007B06C5">
          <w:rPr>
            <w:noProof/>
          </w:rPr>
          <w:t>21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0621D0" w:rsidRPr="00F14F6F" w:rsidRDefault="000621D0" w:rsidP="00F14F6F">
    <w:pPr>
      <w:pStyle w:val="Header"/>
      <w:spacing w:before="120" w:after="120"/>
      <w:jc w:val="right"/>
      <w:rPr>
        <w:sz w:val="12"/>
        <w:szCs w:val="12"/>
      </w:rPr>
    </w:pPr>
  </w:p>
  <w:p w14:paraId="3A94CAA6" w14:textId="72E61056" w:rsidR="000621D0" w:rsidRPr="00ED1AF8" w:rsidRDefault="000621D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0621D0" w:rsidRPr="00ED1AF8" w:rsidRDefault="000621D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0621D0" w:rsidRDefault="000621D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751E"/>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CC9FDADE-CFD4-441D-BE11-B2DA1B6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B8EFA00B-AD54-4DB0-9024-2CE0BE11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5852</TotalTime>
  <Pages>1</Pages>
  <Words>11444</Words>
  <Characters>65234</Characters>
  <Application>Microsoft Office Word</Application>
  <DocSecurity>0</DocSecurity>
  <Lines>543</Lines>
  <Paragraphs>153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30</cp:revision>
  <cp:lastPrinted>2015-04-20T10:56:00Z</cp:lastPrinted>
  <dcterms:created xsi:type="dcterms:W3CDTF">2015-04-20T09:59:00Z</dcterms:created>
  <dcterms:modified xsi:type="dcterms:W3CDTF">2015-08-03T12:57:00Z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