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pStyle w:val="Title"/>
      </w:pPr>
      <w:r>
        <w:t xml:space="preserve">SemGen</w:t>
      </w:r>
    </w:p>
    <w:p>
      <w:pPr>
        <w:spacing w:after="600" w:before="200"/>
      </w:pPr>
      <w:r>
        <w:rPr>
          <w:b/>
          <w:bCs/>
          <w:color w:val="2E74B5"/>
          <w:sz w:val="32"/>
          <w:szCs w:val="32"/>
        </w:rPr>
        <w:t xml:space="preserve">Outil de génération de code Java à partir de métamodèles Modelio</w:t>
      </w:r>
    </w:p>
    <w:p>
      <w:pPr>
        <w:spacing w:after="1200"/>
      </w:pPr>
      <w:r>
        <w:rPr>
          <w:i/>
          <w:iCs/>
          <w:color w:val="555555"/>
          <w:sz w:val="22"/>
          <w:szCs w:val="22"/>
        </w:rPr>
        <w:t xml:space="preserve">Documentation technique de référence — le fonctionnement de l'outil SemGen lui-même (profil, propriétés, pipeline de génération), illustré par des captures d'écran issues du métamodèle ArchiMate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color="1F3864" w:val="clear"/>
            <w:tcMar>
              <w:top w:type="dxa" w:w="80"/>
              <w:left w:type="dxa" w:w="100"/>
              <w:bottom w:type="dxa" w:w="80"/>
              <w:right w:type="dxa" w:w="100"/>
            </w:tcMar>
            <w:vAlign w:val="center"/>
          </w:tcPr>
          <w:p>
            <w:r>
              <w:rPr>
                <w:b/>
                <w:bCs/>
                <w:color w:val="FFFFFF"/>
                <w:sz w:val="20"/>
                <w:szCs w:val="20"/>
              </w:rPr>
              <w:t xml:space="preserve">Élément</w:t>
            </w:r>
          </w:p>
        </w:tc>
        <w:tc>
          <w:tcPr>
            <w:tcW w:type="dxa" w:w="6000"/>
            <w:shd w:fill="1F3864" w:color="1F3864" w:val="clear"/>
            <w:tcMar>
              <w:top w:type="dxa" w:w="80"/>
              <w:left w:type="dxa" w:w="100"/>
              <w:bottom w:type="dxa" w:w="80"/>
              <w:right w:type="dxa" w:w="100"/>
            </w:tcMar>
            <w:vAlign w:val="center"/>
          </w:tcPr>
          <w:p>
            <w:r>
              <w:rPr>
                <w:b/>
                <w:bCs/>
                <w:color w:val="FFFFFF"/>
                <w:sz w:val="20"/>
                <w:szCs w:val="20"/>
              </w:rPr>
              <w:t xml:space="preserve">Détail</w:t>
            </w:r>
          </w:p>
        </w:tc>
      </w:tr>
      <w:tr>
        <w:tc>
          <w:tcPr>
            <w:tcW w:type="dxa" w:w="3000"/>
            <w:tcMar>
              <w:top w:type="dxa" w:w="80"/>
              <w:left w:type="dxa" w:w="100"/>
              <w:bottom w:type="dxa" w:w="80"/>
              <w:right w:type="dxa" w:w="100"/>
            </w:tcMar>
          </w:tcPr>
          <w:p>
            <w:r>
              <w:rPr>
                <w:sz w:val="20"/>
                <w:szCs w:val="20"/>
              </w:rPr>
              <w:t xml:space="preserve">Projet</w:t>
            </w:r>
          </w:p>
        </w:tc>
        <w:tc>
          <w:tcPr>
            <w:tcW w:type="dxa" w:w="6000"/>
            <w:tcMar>
              <w:top w:type="dxa" w:w="80"/>
              <w:left w:type="dxa" w:w="100"/>
              <w:bottom w:type="dxa" w:w="80"/>
              <w:right w:type="dxa" w:w="100"/>
            </w:tcMar>
          </w:tcPr>
          <w:p>
            <w:r>
              <w:rPr>
                <w:sz w:val="20"/>
                <w:szCs w:val="20"/>
              </w:rPr>
              <w:t xml:space="preserve">SemGen — outil générique de génération de code Java à partir des métamodèles Modelio</w:t>
            </w:r>
          </w:p>
        </w:tc>
      </w:tr>
      <w:tr>
        <w:tc>
          <w:tcPr>
            <w:tcW w:type="dxa" w:w="3000"/>
            <w:shd w:fill="DEEAF6" w:color="DEEAF6" w:val="clear"/>
            <w:tcMar>
              <w:top w:type="dxa" w:w="80"/>
              <w:left w:type="dxa" w:w="100"/>
              <w:bottom w:type="dxa" w:w="80"/>
              <w:right w:type="dxa" w:w="100"/>
            </w:tcMar>
          </w:tcPr>
          <w:p>
            <w:r>
              <w:rPr>
                <w:sz w:val="20"/>
                <w:szCs w:val="20"/>
              </w:rPr>
              <w:t xml:space="preserve">Type de document</w:t>
            </w:r>
          </w:p>
        </w:tc>
        <w:tc>
          <w:tcPr>
            <w:tcW w:type="dxa" w:w="6000"/>
            <w:shd w:fill="DEEAF6" w:color="DEEAF6" w:val="clear"/>
            <w:tcMar>
              <w:top w:type="dxa" w:w="80"/>
              <w:left w:type="dxa" w:w="100"/>
              <w:bottom w:type="dxa" w:w="80"/>
              <w:right w:type="dxa" w:w="100"/>
            </w:tcMar>
          </w:tcPr>
          <w:p>
            <w:r>
              <w:rPr>
                <w:sz w:val="20"/>
                <w:szCs w:val="20"/>
              </w:rPr>
              <w:t xml:space="preserve">1/2 — Documentation technique de référence sur l'outil SemGen (voir aussi le document compagnon « Règles de métamodélisation Modelio — étude de cas SysML v2 »)</w:t>
            </w:r>
          </w:p>
        </w:tc>
      </w:tr>
      <w:tr>
        <w:tc>
          <w:tcPr>
            <w:tcW w:type="dxa" w:w="3000"/>
            <w:tcMar>
              <w:top w:type="dxa" w:w="80"/>
              <w:left w:type="dxa" w:w="100"/>
              <w:bottom w:type="dxa" w:w="80"/>
              <w:right w:type="dxa" w:w="100"/>
            </w:tcMar>
          </w:tcPr>
          <w:p>
            <w:r>
              <w:rPr>
                <w:sz w:val="20"/>
                <w:szCs w:val="20"/>
              </w:rPr>
              <w:t xml:space="preserve">Rédaction</w:t>
            </w:r>
          </w:p>
        </w:tc>
        <w:tc>
          <w:tcPr>
            <w:tcW w:type="dxa" w:w="6000"/>
            <w:tcMar>
              <w:top w:type="dxa" w:w="80"/>
              <w:left w:type="dxa" w:w="100"/>
              <w:bottom w:type="dxa" w:w="80"/>
              <w:right w:type="dxa" w:w="100"/>
            </w:tcMar>
          </w:tcPr>
          <w:p>
            <w:r>
              <w:rPr>
                <w:sz w:val="20"/>
                <w:szCs w:val="20"/>
              </w:rPr>
              <w:t xml:space="preserve">Rédigé par Claude à partir de la réunion SemGen</w:t>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Contexte et objectif de SemGen</w:t>
      </w:r>
    </w:p>
    <w:p>
      <w:pPr>
        <w:spacing w:after="160"/>
      </w:pPr>
      <w:r>
        <w:t xml:space="preserve">SemGen est un outil interne générique, non dédié à un métamodèle particulier : dans Modelio Studio, il se présente comme une entrée de menu contextuel (clic droit sur le composant métamodèle → SemGen → Generate Metamodel) qui transforme un métamodèle stéréotypé selon les conventions du profil SemGen en deux composants Java (mm.api, mm.impl). Ces composants sont ensuite pris en charge par l'outil Java Architect — un outil Modelio distinct et plus générique — pour produire le code Java final, packagé sous forme de plugin Eclipse.</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555555"/>
          <w:sz w:val="18"/>
          <w:szCs w:val="18"/>
        </w:rPr>
        <w:t xml:space="preserve">Menu contextuel sur le composant métamodèle « Archimate » : SemGen et Java Architect apparaissent comme deux entrées distinctes.</w:t>
      </w:r>
    </w:p>
    <w:p>
      <w:pPr>
        <w:spacing w:after="160"/>
      </w:pPr>
      <w:r>
        <w:t xml:space="preserve">Ce document décrit ce qui relève spécifiquement de SemGen : son profil UML (stéréotypes et propriétés), le pipeline de génération, et la correspondance entre chaque propriété et son effet sur le code Java produit. Les règles de métamodélisation plus générales (Infrastructure, profils UML standards, relations, SysML v2) font l'objet d'un document compagnon, « Règles de métamodélisation Modelio — étude de cas SysML v2 ».</w:t>
      </w:r>
    </w:p>
    <w:p>
      <w:pPr>
        <w:spacing w:after="160"/>
      </w:pPr>
      <w:r>
        <w:t xml:space="preserve">Pour que la génération produise un code Java correct et complet, le métamodèle source doit être modélisé avec une rigueur particulière : chaque propriété SemGen posée sur une métaclasse ou une relation (structural.node, structural.partOf, semantic.orphans.allowed…) se traduit directement dans le code Java produit, quel que soit le métamodèle traité. La démonstration présentée ici a été faite sur le métamodèle ArchiMate, déjà conforme aux conventions SemGen ; le métamodèle SysML v2, en cours de construction, est le cas concret auquel ces règles devront être appliquées.</w:t>
      </w:r>
    </w:p>
    <w:p>
      <w:pPr>
        <w:pStyle w:val="Heading1"/>
        <w:spacing w:after="200" w:before="400"/>
      </w:pPr>
      <w:r>
        <w:t xml:space="preserve">2. Le composant métamodèle : stéréotype SemGen::Metamodel</w:t>
      </w:r>
    </w:p>
    <w:p>
      <w:pPr>
        <w:spacing w:after="160"/>
      </w:pPr>
      <w:r>
        <w:t xml:space="preserve">La racine d'un métamodèle n'est pas un package UML mais un composant UML (« UML - Component ») portant le stéréotype « SemGen::Metamodel ». C'est à ce niveau que sont fixées les propriétés globales du métamodèle :</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90675"/>
                    </a:xfrm>
                    <a:prstGeom prst="rect">
                      <a:avLst/>
                    </a:prstGeom>
                  </pic:spPr>
                </pic:pic>
              </a:graphicData>
            </a:graphic>
          </wp:inline>
        </w:drawing>
      </w:r>
    </w:p>
    <w:p>
      <w:pPr>
        <w:spacing w:after="200"/>
        <w:jc w:val="center"/>
      </w:pPr>
      <w:r>
        <w:rPr>
          <w:i/>
          <w:iCs/>
          <w:color w:val="555555"/>
          <w:sz w:val="18"/>
          <w:szCs w:val="18"/>
        </w:rPr>
        <w:t xml:space="preserve">Composant « Archimate », stéréotypé «Metamodel» (profil SemGen), et ses propriétés.</w:t>
      </w:r>
    </w:p>
    <w:p>
      <w:pPr>
        <w:pStyle w:val="ListParagraph"/>
        <w:numPr>
          <w:ilvl w:val="0"/>
          <w:numId w:val="2"/>
        </w:numPr>
        <w:spacing w:after="80"/>
      </w:pPr>
      <w:r>
        <w:t xml:space="preserve">Name — nom du métamodèle (ex. « Archimate »).</w:t>
      </w:r>
    </w:p>
    <w:p>
      <w:pPr>
        <w:pStyle w:val="ListParagraph"/>
        <w:numPr>
          <w:ilvl w:val="0"/>
          <w:numId w:val="2"/>
        </w:numPr>
        <w:spacing w:after="80"/>
      </w:pPr>
      <w:r>
        <w:t xml:space="preserve">Id — identifiant du métamodèle (ex. « org.modelio.archimate »).</w:t>
      </w:r>
    </w:p>
    <w:p>
      <w:pPr>
        <w:pStyle w:val="ListParagraph"/>
        <w:numPr>
          <w:ilvl w:val="0"/>
          <w:numId w:val="2"/>
        </w:numPr>
        <w:spacing w:after="80"/>
      </w:pPr>
      <w:r>
        <w:t xml:space="preserve">Version — version du métamodèle (ex. « 1.0.4 ») : utilisée pour piloter les migrations et évolutions — toute modification structurante doit s'accompagner d'un incrément de version, car les scripts de migration s'appuient sur cette valeur.</w:t>
      </w:r>
    </w:p>
    <w:p>
      <w:pPr>
        <w:pStyle w:val="ListParagraph"/>
        <w:numPr>
          <w:ilvl w:val="0"/>
          <w:numId w:val="2"/>
        </w:numPr>
        <w:spacing w:after="80"/>
      </w:pPr>
      <w:r>
        <w:t xml:space="preserve">Provider / Provider version — éditeur du métamodèle (ex. « Modeliosoft », « 4.0.00 »).</w:t>
      </w:r>
    </w:p>
    <w:p>
      <w:pPr>
        <w:pStyle w:val="ListParagraph"/>
        <w:numPr>
          <w:ilvl w:val="0"/>
          <w:numId w:val="2"/>
        </w:numPr>
        <w:spacing w:after="80"/>
      </w:pPr>
      <w:r>
        <w:t xml:space="preserve">Production namespace — espace de noms (namespace) Java racine généré pour l'implémentation du métamodèle (ex. « org.modelio.archimate.metamodel »).</w:t>
      </w:r>
    </w:p>
    <w:p>
      <w:pPr>
        <w:pStyle w:val="ListParagraph"/>
        <w:numPr>
          <w:ilvl w:val="0"/>
          <w:numId w:val="2"/>
        </w:numPr>
        <w:spacing w:after="80"/>
      </w:pPr>
      <w:r>
        <w:t xml:space="preserve">Metamodel.isExtension — à cocher systématiquement (confirmé par Cédric Marin) sur tout métamodèle destiné à SemGen.</w:t>
      </w:r>
    </w:p>
    <w:p>
      <w:pPr>
        <w:pStyle w:val="Heading1"/>
        <w:spacing w:after="200" w:before="400"/>
      </w:pPr>
      <w:r>
        <w:t xml:space="preserve">3. Le pipeline de génération : SemGen → Java Architect → plugin Eclipse</w:t>
      </w:r>
    </w:p>
    <w:p>
      <w:pPr>
        <w:spacing w:after="160"/>
      </w:pPr>
      <w:r>
        <w:t xml:space="preserve">La chaîne de génération se déroule en deux temps bien distincts, comme le montre le menu contextuel du composant métamodèle :</w:t>
      </w:r>
    </w:p>
    <w:p>
      <w:pPr>
        <w:pStyle w:val="ListParagraph"/>
        <w:numPr>
          <w:ilvl w:val="0"/>
          <w:numId w:val="2"/>
        </w:numPr>
        <w:spacing w:after="80"/>
      </w:pPr>
      <w:r>
        <w:t xml:space="preserve">SemGen → Generate Metamodel : à partir du métamodèle stéréotypé, génère deux composants UML, « mm.api » (les interfaces Java du métamodèle) et « mm.impl » (les classes Java concrètes), structurés selon le namespace Java défini en Production namespace.</w:t>
      </w:r>
    </w:p>
    <w:p>
      <w:pPr>
        <w:pStyle w:val="ListParagraph"/>
        <w:numPr>
          <w:ilvl w:val="0"/>
          <w:numId w:val="2"/>
        </w:numPr>
        <w:spacing w:after="80"/>
      </w:pPr>
      <w:r>
        <w:t xml:space="preserve">Java Architect : outil Modelio distinct et plus générique, exécuté ensuite sur mm.api et mm.impl pour produire le code source Java définitif, packagé sous forme de plugin Eclipse.</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i/>
          <w:iCs/>
          <w:color w:val="555555"/>
          <w:sz w:val="18"/>
          <w:szCs w:val="18"/>
        </w:rPr>
        <w:t xml:space="preserve">Composants générés « mm.api » et « mm.impl » sous « archimate_implementation », structurés selon le namespace org.modelio.archimate.metamodel.</w:t>
      </w:r>
    </w:p>
    <w:p>
      <w:pPr>
        <w:pBdr>
          <w:left w:val="single" w:color="2E74B5" w:sz="6" w:space="8"/>
        </w:pBdr>
        <w:spacing w:after="160"/>
        <w:ind w:left="200"/>
      </w:pPr>
      <w:r>
        <w:rPr>
          <w:i/>
          <w:iCs/>
          <w:color w:val="666666"/>
          <w:sz w:val="20"/>
          <w:szCs w:val="20"/>
        </w:rPr>
        <w:t xml:space="preserve">Point clé pour SemGen : c'est la qualité et la complétude de la modélisation réalisée en amont (stéréotypes, propriétés, relations — sections 4 et 5) qui détermine directement la justesse du code Java généré, quel que soit le métamodèle traité. Une propriété mal renseignée ou un stéréotype manquant sur une métaclasse se traduit mécaniquement par une erreur ou une lacune dans mm.api / mm.impl. Voir la section 6 pour le détail de ces correspondances.</w:t>
      </w:r>
    </w:p>
    <w:p>
      <w:pPr>
        <w:spacing w:after="160"/>
      </w:pPr>
      <w:r>
        <w:t xml:space="preserve">Ce même mécanisme de génération produit, en parallèle du code, la documentation technique du métamodèle (Javadoc, et une documentation dédiée) à partir des descriptions HTML saisies sur chaque métaclasse dans Modelio Studio (voir le document compagnon, section « Documentation embarquée des métaclasses »).</w:t>
      </w:r>
    </w:p>
    <w:p>
      <w:pPr>
        <w:pStyle w:val="Heading1"/>
        <w:spacing w:after="200" w:before="400"/>
      </w:pPr>
      <w:r>
        <w:t xml:space="preserve">4. Les stéréotypes SemGen sur les métaclasses</w:t>
      </w:r>
    </w:p>
    <w:p>
      <w:pPr>
        <w:spacing w:after="160"/>
      </w:pPr>
      <w:r>
        <w:t xml:space="preserve">Le cœur de tout métamodèle « métier » destiné à SemGen repose sur deux stéréotypes du profil SemGen, appliqués aux classes du diagramme de métamodèle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3864" w:color="1F3864" w:val="clear"/>
            <w:tcMar>
              <w:top w:type="dxa" w:w="80"/>
              <w:left w:type="dxa" w:w="100"/>
              <w:bottom w:type="dxa" w:w="80"/>
              <w:right w:type="dxa" w:w="100"/>
            </w:tcMar>
            <w:vAlign w:val="center"/>
          </w:tcPr>
          <w:p>
            <w:r>
              <w:rPr>
                <w:b/>
                <w:bCs/>
                <w:color w:val="FFFFFF"/>
                <w:sz w:val="20"/>
                <w:szCs w:val="20"/>
              </w:rPr>
              <w:t xml:space="preserve">Stéréotype SemGen</w:t>
            </w:r>
          </w:p>
        </w:tc>
        <w:tc>
          <w:tcPr>
            <w:tcW w:type="dxa" w:w="5800"/>
            <w:shd w:fill="1F3864" w:color="1F3864" w:val="clear"/>
            <w:tcMar>
              <w:top w:type="dxa" w:w="80"/>
              <w:left w:type="dxa" w:w="100"/>
              <w:bottom w:type="dxa" w:w="80"/>
              <w:right w:type="dxa" w:w="100"/>
            </w:tcMar>
            <w:vAlign w:val="center"/>
          </w:tcPr>
          <w:p>
            <w:r>
              <w:rPr>
                <w:b/>
                <w:bCs/>
                <w:color w:val="FFFFFF"/>
                <w:sz w:val="20"/>
                <w:szCs w:val="20"/>
              </w:rPr>
              <w:t xml:space="preserve">Usage</w:t>
            </w:r>
          </w:p>
        </w:tc>
      </w:tr>
      <w:tr>
        <w:tc>
          <w:tcPr>
            <w:tcW w:type="dxa" w:w="3200"/>
            <w:tcMar>
              <w:top w:type="dxa" w:w="80"/>
              <w:left w:type="dxa" w:w="100"/>
              <w:bottom w:type="dxa" w:w="80"/>
              <w:right w:type="dxa" w:w="100"/>
            </w:tcMar>
          </w:tcPr>
          <w:p>
            <w:r>
              <w:rPr>
                <w:sz w:val="20"/>
                <w:szCs w:val="20"/>
              </w:rPr>
              <w:t xml:space="preserve">«Semantic»</w:t>
            </w:r>
          </w:p>
        </w:tc>
        <w:tc>
          <w:tcPr>
            <w:tcW w:type="dxa" w:w="5800"/>
            <w:tcMar>
              <w:top w:type="dxa" w:w="80"/>
              <w:left w:type="dxa" w:w="100"/>
              <w:bottom w:type="dxa" w:w="80"/>
              <w:right w:type="dxa" w:w="100"/>
            </w:tcMar>
          </w:tcPr>
          <w:p>
            <w:r>
              <w:rPr>
                <w:sz w:val="20"/>
                <w:szCs w:val="20"/>
              </w:rPr>
              <w:t xml:space="preserve">Appliqué aux métaclasses représentant les concepts/nœuds du métamodèle (ex. « Concept », « ArchimateAbstractElement » dans ArchiMate). C'est le stéréotype le plus courant.</w:t>
            </w:r>
          </w:p>
        </w:tc>
      </w:tr>
      <w:tr>
        <w:tc>
          <w:tcPr>
            <w:tcW w:type="dxa" w:w="3200"/>
            <w:shd w:fill="DEEAF6" w:color="DEEAF6" w:val="clear"/>
            <w:tcMar>
              <w:top w:type="dxa" w:w="80"/>
              <w:left w:type="dxa" w:w="100"/>
              <w:bottom w:type="dxa" w:w="80"/>
              <w:right w:type="dxa" w:w="100"/>
            </w:tcMar>
          </w:tcPr>
          <w:p>
            <w:r>
              <w:rPr>
                <w:sz w:val="20"/>
                <w:szCs w:val="20"/>
              </w:rPr>
              <w:t xml:space="preserve">«SemanticLinkMetaclass»</w:t>
            </w:r>
          </w:p>
        </w:tc>
        <w:tc>
          <w:tcPr>
            <w:tcW w:type="dxa" w:w="5800"/>
            <w:shd w:fill="DEEAF6" w:color="DEEAF6" w:val="clear"/>
            <w:tcMar>
              <w:top w:type="dxa" w:w="80"/>
              <w:left w:type="dxa" w:w="100"/>
              <w:bottom w:type="dxa" w:w="80"/>
              <w:right w:type="dxa" w:w="100"/>
            </w:tcMar>
          </w:tcPr>
          <w:p>
            <w:r>
              <w:rPr>
                <w:sz w:val="20"/>
                <w:szCs w:val="20"/>
              </w:rPr>
              <w:t xml:space="preserve">Appliqué aux métaclasses représentant des relations/liens sémantiques entre concepts (ex. « Relationship » dans ArchiMate). Distinct du stéréotype des métaclasses-nœuds.</w:t>
            </w:r>
          </w:p>
        </w:tc>
      </w:tr>
    </w:tbl>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904875"/>
                    </a:xfrm>
                    <a:prstGeom prst="rect">
                      <a:avLst/>
                    </a:prstGeom>
                  </pic:spPr>
                </pic:pic>
              </a:graphicData>
            </a:graphic>
          </wp:inline>
        </w:drawing>
      </w:r>
    </w:p>
    <w:p>
      <w:pPr>
        <w:spacing w:after="200"/>
        <w:jc w:val="center"/>
      </w:pPr>
      <w:r>
        <w:rPr>
          <w:i/>
          <w:iCs/>
          <w:color w:val="555555"/>
          <w:sz w:val="18"/>
          <w:szCs w:val="18"/>
        </w:rPr>
        <w:t xml:space="preserve">« Relationship », stéréotype «SemanticLinkMetaclass» — structural.node et Semantic.orphans.allowed non cochés.</w:t>
      </w:r>
    </w:p>
    <w:p>
      <w:pPr>
        <w:pStyle w:val="Heading2"/>
        <w:spacing w:after="150" w:before="300"/>
      </w:pPr>
      <w:r>
        <w:t xml:space="preserve">4.1 structural.node et la persistance</w:t>
      </w:r>
    </w:p>
    <w:p>
      <w:pPr>
        <w:spacing w:after="160"/>
      </w:pPr>
      <w:r>
        <w:t xml:space="preserve">Modelio distingue les métaclasses dont les instances constituent une unité de persistance autonome de celles qui n'en sont pas. La propriété « structural.node » (dans le groupe SemGen de la métaclasse) indique si les instances de cette métaclasse sont enregistrées dans leur propre fichier — on parle alors de « grain » — ou si elles sont stockées avec leur élément parent (par exemple, un attribut reste dans le fichier de sa classe et ne forme pas un grain séparé).</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71625"/>
                    </a:xfrm>
                    <a:prstGeom prst="rect">
                      <a:avLst/>
                    </a:prstGeom>
                  </pic:spPr>
                </pic:pic>
              </a:graphicData>
            </a:graphic>
          </wp:inline>
        </w:drawing>
      </w:r>
    </w:p>
    <w:p>
      <w:pPr>
        <w:spacing w:after="200"/>
        <w:jc w:val="center"/>
      </w:pPr>
      <w:r>
        <w:rPr>
          <w:i/>
          <w:iCs/>
          <w:color w:val="555555"/>
          <w:sz w:val="18"/>
          <w:szCs w:val="18"/>
        </w:rPr>
        <w:t xml:space="preserve">Métaclasse abstraite « ArchimateAbstractElement », stéréotype «Semantic» : structural.node et Semantic.orphans.allowed non cochés (métaclasse abstraite).</w:t>
      </w:r>
    </w:p>
    <w:p>
      <w:pPr>
        <w:pStyle w:val="ListParagraph"/>
        <w:numPr>
          <w:ilvl w:val="0"/>
          <w:numId w:val="2"/>
        </w:numPr>
        <w:spacing w:after="80"/>
      </w:pPr>
      <w:r>
        <w:t xml:space="preserve">structural.node coché = la métaclasse constitue un grain, manipulable et persisté de façon autonome (fichier propre, granularité des commandes collaboratives « Teamwork »).</w:t>
      </w:r>
    </w:p>
    <w:p>
      <w:pPr>
        <w:pStyle w:val="ListParagraph"/>
        <w:numPr>
          <w:ilvl w:val="0"/>
          <w:numId w:val="2"/>
        </w:numPr>
        <w:spacing w:after="80"/>
      </w:pPr>
      <w:r>
        <w:t xml:space="preserve">structural.node non coché = l'élément est persisté avec son parent (cas des attributs, notes, descriptions…).</w:t>
      </w:r>
    </w:p>
    <w:p>
      <w:pPr>
        <w:pStyle w:val="ListParagraph"/>
        <w:numPr>
          <w:ilvl w:val="0"/>
          <w:numId w:val="2"/>
        </w:numPr>
        <w:spacing w:after="80"/>
      </w:pPr>
      <w:r>
        <w:t xml:space="preserve">Les métaclasses abstraites ne cochent jamais structural.node (la propriété n'est pas héritée automatiquement).</w:t>
      </w:r>
    </w:p>
    <w:p>
      <w:pPr>
        <w:pStyle w:val="ListParagraph"/>
        <w:numPr>
          <w:ilvl w:val="0"/>
          <w:numId w:val="2"/>
        </w:numPr>
        <w:spacing w:after="80"/>
      </w:pPr>
      <w:r>
        <w:t xml:space="preserve">Certaines métaclasses abstraites existent uniquement pour être manipulées via l'API mais ne sont jamais persistées.</w:t>
      </w:r>
    </w:p>
    <w:p>
      <w:pPr>
        <w:pBdr>
          <w:left w:val="single" w:color="2E74B5" w:sz="6" w:space="8"/>
        </w:pBdr>
        <w:spacing w:after="160"/>
        <w:ind w:left="200"/>
      </w:pPr>
      <w:r>
        <w:rPr>
          <w:i/>
          <w:iCs/>
          <w:color w:val="666666"/>
          <w:sz w:val="20"/>
          <w:szCs w:val="20"/>
        </w:rPr>
        <w:t xml:space="preserve">Règle pratique : ce choix n'a aucune incidence sur les règles d'héritage ou de composition — il est purement lié à la persistance et à la granularité de manipulation (Teamwork).</w:t>
      </w:r>
    </w:p>
    <w:p>
      <w:pPr>
        <w:pStyle w:val="Heading2"/>
        <w:spacing w:after="150" w:before="300"/>
      </w:pPr>
      <w:r>
        <w:t xml:space="preserve">4.2 semantic.orphans.allowed</w:t>
      </w:r>
    </w:p>
    <w:p>
      <w:pPr>
        <w:spacing w:after="160"/>
      </w:pPr>
      <w:r>
        <w:t xml:space="preserve">Une métaclasse peut porter la propriété « semantic.orphans.allowed » (groupe SemGen) : cochée, elle autorise ses instances à exister sans parent de composition. En pratique, elle n'est cochée que pour les racines de métamodèle — c'est elle qui, techniquement, définit qu'un élément peut être une racine.</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24025"/>
                    </a:xfrm>
                    <a:prstGeom prst="rect">
                      <a:avLst/>
                    </a:prstGeom>
                  </pic:spPr>
                </pic:pic>
              </a:graphicData>
            </a:graphic>
          </wp:inline>
        </w:drawing>
      </w:r>
    </w:p>
    <w:p>
      <w:pPr>
        <w:spacing w:after="200"/>
        <w:jc w:val="center"/>
      </w:pPr>
      <w:r>
        <w:rPr>
          <w:i/>
          <w:iCs/>
          <w:color w:val="555555"/>
          <w:sz w:val="18"/>
          <w:szCs w:val="18"/>
        </w:rPr>
        <w:t xml:space="preserve">« ArchimateProject », racine du métamodèle ArchiMate : structural.node et Semantic.orphans.allowed cochés.</w:t>
      </w:r>
    </w:p>
    <w:p>
      <w:pPr>
        <w:pStyle w:val="Heading2"/>
        <w:spacing w:after="150" w:before="300"/>
      </w:pPr>
      <w:r>
        <w:t xml:space="preserve">4.3 Les attributs sémantiques</w:t>
      </w:r>
    </w:p>
    <w:p>
      <w:pPr>
        <w:spacing w:after="160"/>
      </w:pPr>
      <w:r>
        <w:t xml:space="preserve">Sur les métaclasses stéréotypées «Semantic», les attributs métier sont eux-mêmes stéréotypés «Semantic» (au niveau de l'attribut UML). Chaque attribut précise :</w:t>
      </w:r>
    </w:p>
    <w:p>
      <w:pPr>
        <w:pStyle w:val="ListParagraph"/>
        <w:numPr>
          <w:ilvl w:val="0"/>
          <w:numId w:val="2"/>
        </w:numPr>
        <w:spacing w:after="80"/>
      </w:pPr>
      <w:r>
        <w:t xml:space="preserve">un type Java — limité à un ensemble restreint de types de base supportés par la génération (String, Text, Boolean, Integer, Unsigned, Float) ou un type énuméré ;</w:t>
      </w:r>
    </w:p>
    <w:p>
      <w:pPr>
        <w:pStyle w:val="ListParagraph"/>
        <w:numPr>
          <w:ilvl w:val="0"/>
          <w:numId w:val="2"/>
        </w:numPr>
        <w:spacing w:after="80"/>
      </w:pPr>
      <w:r>
        <w:t xml:space="preserve">une multiplicité min/max toujours égale à 1 sur les attributs (contrairement aux relations, qui peuvent être multivaluées) ;</w:t>
      </w:r>
    </w:p>
    <w:p>
      <w:pPr>
        <w:pStyle w:val="ListParagraph"/>
        <w:numPr>
          <w:ilvl w:val="0"/>
          <w:numId w:val="2"/>
        </w:numPr>
        <w:spacing w:after="80"/>
      </w:pPr>
      <w:r>
        <w:t xml:space="preserve">une valeur par défaut (« Value »), disponible pour tout type d'attribut — pour un type énuméré, elle doit correspondre exactement à l'un des littéraux définis, sous la forme « NomEnum.Littéral » (ex. « PropertyBaseType.String »).</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209675"/>
                    </a:xfrm>
                    <a:prstGeom prst="rect">
                      <a:avLst/>
                    </a:prstGeom>
                  </pic:spPr>
                </pic:pic>
              </a:graphicData>
            </a:graphic>
          </wp:inline>
        </w:drawing>
      </w:r>
    </w:p>
    <w:p>
      <w:pPr>
        <w:spacing w:after="200"/>
        <w:jc w:val="center"/>
      </w:pPr>
      <w:r>
        <w:rPr>
          <w:i/>
          <w:iCs/>
          <w:color w:val="555555"/>
          <w:sz w:val="18"/>
          <w:szCs w:val="18"/>
        </w:rPr>
        <w:t xml:space="preserve">Attribut « BaseType » (type PropertyType), valeur par défaut « PropertyBaseType.String » — exemple d'énumération (String, Text, Boolean, Integer, Unsigned, Float).</w:t>
      </w:r>
    </w:p>
    <w:p>
      <w:pPr>
        <w:pBdr>
          <w:left w:val="single" w:color="2E74B5" w:sz="6" w:space="8"/>
        </w:pBdr>
        <w:spacing w:after="160"/>
        <w:ind w:left="200"/>
      </w:pPr>
      <w:r>
        <w:rPr>
          <w:i/>
          <w:iCs/>
          <w:color w:val="666666"/>
          <w:sz w:val="20"/>
          <w:szCs w:val="20"/>
        </w:rPr>
        <w:t xml:space="preserve">Deux propriétés historiques apparaissent aussi dans le groupe SemGen d'un attribut sémantique, toutes deux confirmées par Cédric Marin comme n'étant plus prises en compte par le moteur de génération actuel : « fpIndexed » (signifiait l'ajout d'un index sur cet attribut — désactivé aujourd'hui, ce qui peut être dommage) et « EInoExternalize » (signifiait « transient », c'est-à-dire non persisté — à ne jamais cocher, cette exclusion n'étant plus honorée par le moteur).</w:t>
      </w:r>
    </w:p>
    <w:p>
      <w:pPr>
        <w:pStyle w:val="Heading1"/>
        <w:spacing w:after="200" w:before="400"/>
      </w:pPr>
      <w:r>
        <w:t xml:space="preserve">5. Les propriétés SemGen sur les relations</w:t>
      </w:r>
    </w:p>
    <w:p>
      <w:pPr>
        <w:spacing w:after="160"/>
      </w:pPr>
      <w:r>
        <w:t xml:space="preserve">La métaclasse « ElementImport » (import d'un élément vers un autre namespace) offre un exemple qui réunit, sur un seul écran, l'ensemble des propriétés SemGen posées sur les rôles d'association (AssociationEnd).</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46386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38675" cy="4572000"/>
                    </a:xfrm>
                    <a:prstGeom prst="rect">
                      <a:avLst/>
                    </a:prstGeom>
                  </pic:spPr>
                </pic:pic>
              </a:graphicData>
            </a:graphic>
          </wp:inline>
        </w:drawing>
      </w:r>
    </w:p>
    <w:p>
      <w:pPr>
        <w:spacing w:after="200"/>
        <w:jc w:val="center"/>
      </w:pPr>
      <w:r>
        <w:rPr>
          <w:i/>
          <w:iCs/>
          <w:color w:val="555555"/>
          <w:sz w:val="18"/>
          <w:szCs w:val="18"/>
        </w:rPr>
        <w:t xml:space="preserve">« ElementImport » : NameSpace et Operation peuvent chacun être source (Semantic.link.source coché sur les deux rôles) ; groupe SemGen de l'AssociationEnd « ImportingNameSpace ».</w:t>
      </w:r>
    </w:p>
    <w:p>
      <w:pPr>
        <w:pStyle w:val="Heading2"/>
        <w:spacing w:after="150" w:before="300"/>
      </w:pPr>
      <w:r>
        <w:t xml:space="preserve">5.1 structural.partOf : sens principal et sens opposé</w:t>
      </w:r>
    </w:p>
    <w:p>
      <w:pPr>
        <w:spacing w:after="160"/>
      </w:pPr>
      <w:r>
        <w:t xml:space="preserve">Une association bidirectionnelle possède toujours un sens principal et un sens opposé, définis rôle par rôle via la propriété « structural.partOf » (groupe SemGen de l'AssociationEnd) :</w:t>
      </w:r>
    </w:p>
    <w:p>
      <w:pPr>
        <w:pStyle w:val="ListParagraph"/>
        <w:numPr>
          <w:ilvl w:val="0"/>
          <w:numId w:val="2"/>
        </w:numPr>
        <w:spacing w:after="80"/>
      </w:pPr>
      <w:r>
        <w:t xml:space="preserve">structural.partOf coché sur un rôle = c'est là que l'information est physiquement stockée dans le modèle d'implémentation (le champ de la relation vit sur cette classe) ;</w:t>
      </w:r>
    </w:p>
    <w:p>
      <w:pPr>
        <w:pStyle w:val="ListParagraph"/>
        <w:numPr>
          <w:ilvl w:val="0"/>
          <w:numId w:val="2"/>
        </w:numPr>
        <w:spacing w:after="80"/>
      </w:pPr>
      <w:r>
        <w:t xml:space="preserve">règle de choix : on place structural.partOf du côté qui porte la cardinalité la plus faible (souvent 1), pour éviter de stocker un très grand nombre de références sur l'élément « cible » (exemple donné : un Type peut être référencé par des dizaines de milliers d'Attributs — on stocke donc la relation côté Attribut → Type, avec cardinalité 1, plutôt que l'inverse).</w:t>
      </w:r>
    </w:p>
    <w:p>
      <w:pPr>
        <w:spacing w:after="160"/>
      </w:pPr>
      <w:r>
        <w:t xml:space="preserve">Ce choix a un impact direct sur les performances de navigation et sur le comportement lors des suppressions.</w:t>
      </w:r>
    </w:p>
    <w:p>
      <w:pPr>
        <w:pBdr>
          <w:left w:val="single" w:color="2E74B5" w:sz="6" w:space="8"/>
        </w:pBdr>
        <w:spacing w:after="160"/>
        <w:ind w:left="200"/>
      </w:pPr>
      <w:r>
        <w:rPr>
          <w:i/>
          <w:iCs/>
          <w:color w:val="666666"/>
          <w:sz w:val="20"/>
          <w:szCs w:val="20"/>
        </w:rPr>
        <w:t xml:space="preserve">Précision de Cédric Marin : cocher structural.partOf est optionnel pour les relations d'agrégation et de composition — le sens principal y est alors implicite, porté nativement par la sémantique de la relation. La propriété n'a réellement besoin d'être renseignée explicitement que pour les associations pures (voir le document compagnon, §6.3).</w:t>
      </w:r>
    </w:p>
    <w:p>
      <w:pPr>
        <w:pStyle w:val="Heading2"/>
        <w:spacing w:after="150" w:before="300"/>
      </w:pPr>
      <w:r>
        <w:t xml:space="preserve">5.2 structural.isToDelete et persistency.optional</w:t>
      </w:r>
    </w:p>
    <w:p>
      <w:pPr>
        <w:spacing w:after="160"/>
      </w:pPr>
      <w:r>
        <w:t xml:space="preserve">La propriété « structural.isToDelete » indique qu'à la suppression d'un élément, l'élément lié à l'autre bout doit également être supprimé, même si la relation n'est pas une composition.</w:t>
      </w:r>
    </w:p>
    <w:p>
      <w:pPr>
        <w:pBdr>
          <w:left w:val="single" w:color="2E74B5" w:sz="6" w:space="8"/>
        </w:pBdr>
        <w:spacing w:after="160"/>
        <w:ind w:left="200"/>
      </w:pPr>
      <w:r>
        <w:rPr>
          <w:i/>
          <w:iCs/>
          <w:color w:val="666666"/>
          <w:sz w:val="20"/>
          <w:szCs w:val="20"/>
        </w:rPr>
        <w:t xml:space="preserve">Pour les relations d'agrégation et de composition, ce comportement est implicite : structural.isToDelete n'a pas besoin d'être coché. La propriété devient pertinente à renseigner explicitement surtout pour les associations pures.</w:t>
      </w:r>
    </w:p>
    <w:p>
      <w:pPr>
        <w:spacing w:after="160"/>
      </w:pPr>
      <w:r>
        <w:t xml:space="preserve">La propriété « persistency.optional » sur une relation indique que la persistance n'est pas obligée de stocker dans ce sens ; elle est à surveiller lorsqu'un très grand nombre de relations est potentiellement concerné du côté opposé (cas de cardinalité très élevée) — c'est une optimisation pour les cas où l'on veut éviter d'avoir à parcourir ou mettre à jour une collection démesurément grande.</w:t>
      </w:r>
    </w:p>
    <w:p>
      <w:pPr>
        <w:pStyle w:val="Heading2"/>
        <w:spacing w:after="150" w:before="300"/>
      </w:pPr>
      <w:r>
        <w:t xml:space="preserve">5.3 Semantic.link.source / Semantic.link.target</w:t>
      </w:r>
    </w:p>
    <w:p>
      <w:pPr>
        <w:spacing w:after="160"/>
      </w:pPr>
      <w:r>
        <w:t xml:space="preserve">Par convention de modélisation, un lien (métaclasse SemanticLinkMetaclass) sera modélisé comme appartenant par composition à sa source — il existe cependant des exceptions (exemple cité par Cédric Marin : « DataFlow »). Les rôles « Semantic.link.source » et « Semantic.link.target » (groupe SemGen de l'AssociationEnd) indiquent explicitement quel rôle joue la source et quel rôle joue la cible d'un lien sémantique — indépendamment du sens de la composition.</w:t>
      </w:r>
    </w:p>
    <w:p>
      <w:pPr>
        <w:spacing w:after="160"/>
      </w:pPr>
      <w:r>
        <w:t xml:space="preserve">Sur ElementImport, les deux rôles « ImportingNameSpace » et « ImportingOperation » sont tous deux tagués Semantic.link.source, avec une cardinalité 0..1 côté source : ElementImport peut en effet avoir pour source soit un NameSpace, soit une Operation. C'est ce mécanisme qui permet à une métaclasse de lien d'avoir plusieurs sources potentielles (voir le document compagnon pour le contexte de modélisation général de ce cas).</w:t>
      </w:r>
    </w:p>
    <w:p>
      <w:pPr>
        <w:pStyle w:val="Heading1"/>
        <w:spacing w:after="200" w:before="400"/>
      </w:pPr>
      <w:r>
        <w:t xml:space="preserve">6. Impact des propriétés SemGen sur le code généré et la persistance</w:t>
      </w:r>
    </w:p>
    <w:p>
      <w:pPr>
        <w:spacing w:after="160"/>
      </w:pPr>
      <w:r>
        <w:t xml:space="preserve">Cette section rassemble, à titre de synthèse, la correspondance entre les propriétés SemGen décrites dans ce document et leur effet réel sur le code généré (mm.api / mm.impl) et sur la persistance. Point de vigilance confirmé par Cédric Marin en relecture : la classe et l'API Java d'une métaclasse sont toujours générées, quelle que soit la valeur de ses propriétés SemGen — ce que ces propriétés déterminent, c'est le mode de persistance et de stockage, pas l'existence même du code généré.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3864" w:color="1F3864" w:val="clear"/>
            <w:tcMar>
              <w:top w:type="dxa" w:w="80"/>
              <w:left w:type="dxa" w:w="100"/>
              <w:bottom w:type="dxa" w:w="80"/>
              <w:right w:type="dxa" w:w="100"/>
            </w:tcMar>
            <w:vAlign w:val="center"/>
          </w:tcPr>
          <w:p>
            <w:r>
              <w:rPr>
                <w:b/>
                <w:bCs/>
                <w:color w:val="FFFFFF"/>
                <w:sz w:val="20"/>
                <w:szCs w:val="20"/>
              </w:rPr>
              <w:t xml:space="preserve">Propriété SemGen</w:t>
            </w:r>
          </w:p>
        </w:tc>
        <w:tc>
          <w:tcPr>
            <w:tcW w:type="dxa" w:w="3000"/>
            <w:shd w:fill="1F3864" w:color="1F3864" w:val="clear"/>
            <w:tcMar>
              <w:top w:type="dxa" w:w="80"/>
              <w:left w:type="dxa" w:w="100"/>
              <w:bottom w:type="dxa" w:w="80"/>
              <w:right w:type="dxa" w:w="100"/>
            </w:tcMar>
            <w:vAlign w:val="center"/>
          </w:tcPr>
          <w:p>
            <w:r>
              <w:rPr>
                <w:b/>
                <w:bCs/>
                <w:color w:val="FFFFFF"/>
                <w:sz w:val="20"/>
                <w:szCs w:val="20"/>
              </w:rPr>
              <w:t xml:space="preserve">Effet réel</w:t>
            </w:r>
          </w:p>
        </w:tc>
        <w:tc>
          <w:tcPr>
            <w:tcW w:type="dxa" w:w="3000"/>
            <w:shd w:fill="1F3864" w:color="1F3864" w:val="clear"/>
            <w:tcMar>
              <w:top w:type="dxa" w:w="80"/>
              <w:left w:type="dxa" w:w="100"/>
              <w:bottom w:type="dxa" w:w="80"/>
              <w:right w:type="dxa" w:w="100"/>
            </w:tcMar>
            <w:vAlign w:val="center"/>
          </w:tcPr>
          <w:p>
            <w:r>
              <w:rPr>
                <w:b/>
                <w:bCs/>
                <w:color w:val="FFFFFF"/>
                <w:sz w:val="20"/>
                <w:szCs w:val="20"/>
              </w:rPr>
              <w:t xml:space="preserve">Section</w:t>
            </w:r>
          </w:p>
        </w:tc>
      </w:tr>
      <w:tr>
        <w:tc>
          <w:tcPr>
            <w:tcW w:type="dxa" w:w="3000"/>
            <w:tcMar>
              <w:top w:type="dxa" w:w="80"/>
              <w:left w:type="dxa" w:w="100"/>
              <w:bottom w:type="dxa" w:w="80"/>
              <w:right w:type="dxa" w:w="100"/>
            </w:tcMar>
          </w:tcPr>
          <w:p>
            <w:r>
              <w:rPr>
                <w:sz w:val="20"/>
                <w:szCs w:val="20"/>
              </w:rPr>
              <w:t xml:space="preserve">structural.node coché (« grain »)</w:t>
            </w:r>
          </w:p>
        </w:tc>
        <w:tc>
          <w:tcPr>
            <w:tcW w:type="dxa" w:w="3000"/>
            <w:tcMar>
              <w:top w:type="dxa" w:w="80"/>
              <w:left w:type="dxa" w:w="100"/>
              <w:bottom w:type="dxa" w:w="80"/>
              <w:right w:type="dxa" w:w="100"/>
            </w:tcMar>
          </w:tcPr>
          <w:p>
            <w:r>
              <w:rPr>
                <w:sz w:val="20"/>
                <w:szCs w:val="20"/>
              </w:rPr>
              <w:t xml:space="preserve">L'instance est sauvegardée dans sa propre unité de persistance (fichier dédié), avec sa granularité Teamwork propre. La classe et l'API Java sont générées dans tous les cas.</w:t>
            </w:r>
          </w:p>
        </w:tc>
        <w:tc>
          <w:tcPr>
            <w:tcW w:type="dxa" w:w="3000"/>
            <w:tcMar>
              <w:top w:type="dxa" w:w="80"/>
              <w:left w:type="dxa" w:w="100"/>
              <w:bottom w:type="dxa" w:w="80"/>
              <w:right w:type="dxa" w:w="100"/>
            </w:tcMar>
          </w:tcPr>
          <w:p>
            <w:r>
              <w:rPr>
                <w:sz w:val="20"/>
                <w:szCs w:val="20"/>
              </w:rPr>
              <w:t xml:space="preserve">§4.1</w:t>
            </w:r>
          </w:p>
        </w:tc>
      </w:tr>
      <w:tr>
        <w:tc>
          <w:tcPr>
            <w:tcW w:type="dxa" w:w="3000"/>
            <w:shd w:fill="DEEAF6" w:color="DEEAF6" w:val="clear"/>
            <w:tcMar>
              <w:top w:type="dxa" w:w="80"/>
              <w:left w:type="dxa" w:w="100"/>
              <w:bottom w:type="dxa" w:w="80"/>
              <w:right w:type="dxa" w:w="100"/>
            </w:tcMar>
          </w:tcPr>
          <w:p>
            <w:r>
              <w:rPr>
                <w:sz w:val="20"/>
                <w:szCs w:val="20"/>
              </w:rPr>
              <w:t xml:space="preserve">structural.node non coché</w:t>
            </w:r>
          </w:p>
        </w:tc>
        <w:tc>
          <w:tcPr>
            <w:tcW w:type="dxa" w:w="3000"/>
            <w:shd w:fill="DEEAF6" w:color="DEEAF6" w:val="clear"/>
            <w:tcMar>
              <w:top w:type="dxa" w:w="80"/>
              <w:left w:type="dxa" w:w="100"/>
              <w:bottom w:type="dxa" w:w="80"/>
              <w:right w:type="dxa" w:w="100"/>
            </w:tcMar>
          </w:tcPr>
          <w:p>
            <w:r>
              <w:rPr>
                <w:sz w:val="20"/>
                <w:szCs w:val="20"/>
              </w:rPr>
              <w:t xml:space="preserve">L'instance est sauvegardée avec son élément parent, dans la même unité de persistance (pas de fichier séparé). La classe Java correspondante est générée normalement.</w:t>
            </w:r>
          </w:p>
        </w:tc>
        <w:tc>
          <w:tcPr>
            <w:tcW w:type="dxa" w:w="3000"/>
            <w:shd w:fill="DEEAF6" w:color="DEEAF6" w:val="clear"/>
            <w:tcMar>
              <w:top w:type="dxa" w:w="80"/>
              <w:left w:type="dxa" w:w="100"/>
              <w:bottom w:type="dxa" w:w="80"/>
              <w:right w:type="dxa" w:w="100"/>
            </w:tcMar>
          </w:tcPr>
          <w:p>
            <w:r>
              <w:rPr>
                <w:sz w:val="20"/>
                <w:szCs w:val="20"/>
              </w:rPr>
              <w:t xml:space="preserve">§4.1</w:t>
            </w:r>
          </w:p>
        </w:tc>
      </w:tr>
      <w:tr>
        <w:tc>
          <w:tcPr>
            <w:tcW w:type="dxa" w:w="3000"/>
            <w:tcMar>
              <w:top w:type="dxa" w:w="80"/>
              <w:left w:type="dxa" w:w="100"/>
              <w:bottom w:type="dxa" w:w="80"/>
              <w:right w:type="dxa" w:w="100"/>
            </w:tcMar>
          </w:tcPr>
          <w:p>
            <w:r>
              <w:rPr>
                <w:sz w:val="20"/>
                <w:szCs w:val="20"/>
              </w:rPr>
              <w:t xml:space="preserve">semantic.orphans.allowed</w:t>
            </w:r>
          </w:p>
        </w:tc>
        <w:tc>
          <w:tcPr>
            <w:tcW w:type="dxa" w:w="3000"/>
            <w:tcMar>
              <w:top w:type="dxa" w:w="80"/>
              <w:left w:type="dxa" w:w="100"/>
              <w:bottom w:type="dxa" w:w="80"/>
              <w:right w:type="dxa" w:w="100"/>
            </w:tcMar>
          </w:tcPr>
          <w:p>
            <w:r>
              <w:rPr>
                <w:sz w:val="20"/>
                <w:szCs w:val="20"/>
              </w:rPr>
              <w:t xml:space="preserve">Autorise une instance à exister sans parent de composition (cas des racines de métamodèle) ; sans cette propriété, l'API générée impose la présence d'un parent.</w:t>
            </w:r>
          </w:p>
        </w:tc>
        <w:tc>
          <w:tcPr>
            <w:tcW w:type="dxa" w:w="3000"/>
            <w:tcMar>
              <w:top w:type="dxa" w:w="80"/>
              <w:left w:type="dxa" w:w="100"/>
              <w:bottom w:type="dxa" w:w="80"/>
              <w:right w:type="dxa" w:w="100"/>
            </w:tcMar>
          </w:tcPr>
          <w:p>
            <w:r>
              <w:rPr>
                <w:sz w:val="20"/>
                <w:szCs w:val="20"/>
              </w:rPr>
              <w:t xml:space="preserve">§4.2</w:t>
            </w:r>
          </w:p>
        </w:tc>
      </w:tr>
      <w:tr>
        <w:tc>
          <w:tcPr>
            <w:tcW w:type="dxa" w:w="3000"/>
            <w:shd w:fill="DEEAF6" w:color="DEEAF6" w:val="clear"/>
            <w:tcMar>
              <w:top w:type="dxa" w:w="80"/>
              <w:left w:type="dxa" w:w="100"/>
              <w:bottom w:type="dxa" w:w="80"/>
              <w:right w:type="dxa" w:w="100"/>
            </w:tcMar>
          </w:tcPr>
          <w:p>
            <w:r>
              <w:rPr>
                <w:sz w:val="20"/>
                <w:szCs w:val="20"/>
              </w:rPr>
              <w:t xml:space="preserve">Type d'attribut (String / Text / Boolean / Integer / Unsigned / Float / Enum)</w:t>
            </w:r>
          </w:p>
        </w:tc>
        <w:tc>
          <w:tcPr>
            <w:tcW w:type="dxa" w:w="3000"/>
            <w:shd w:fill="DEEAF6" w:color="DEEAF6" w:val="clear"/>
            <w:tcMar>
              <w:top w:type="dxa" w:w="80"/>
              <w:left w:type="dxa" w:w="100"/>
              <w:bottom w:type="dxa" w:w="80"/>
              <w:right w:type="dxa" w:w="100"/>
            </w:tcMar>
          </w:tcPr>
          <w:p>
            <w:r>
              <w:rPr>
                <w:sz w:val="20"/>
                <w:szCs w:val="20"/>
              </w:rPr>
              <w:t xml:space="preserve">Mappage direct vers le type Java correspondant ; pour une énumération, génération d'une classe enum Java dédiée avec ses littéraux.</w:t>
            </w:r>
          </w:p>
        </w:tc>
        <w:tc>
          <w:tcPr>
            <w:tcW w:type="dxa" w:w="3000"/>
            <w:shd w:fill="DEEAF6" w:color="DEEAF6" w:val="clear"/>
            <w:tcMar>
              <w:top w:type="dxa" w:w="80"/>
              <w:left w:type="dxa" w:w="100"/>
              <w:bottom w:type="dxa" w:w="80"/>
              <w:right w:type="dxa" w:w="100"/>
            </w:tcMar>
          </w:tcPr>
          <w:p>
            <w:r>
              <w:rPr>
                <w:sz w:val="20"/>
                <w:szCs w:val="20"/>
              </w:rPr>
              <w:t xml:space="preserve">§4.3</w:t>
            </w:r>
          </w:p>
        </w:tc>
      </w:tr>
      <w:tr>
        <w:tc>
          <w:tcPr>
            <w:tcW w:type="dxa" w:w="3000"/>
            <w:tcMar>
              <w:top w:type="dxa" w:w="80"/>
              <w:left w:type="dxa" w:w="100"/>
              <w:bottom w:type="dxa" w:w="80"/>
              <w:right w:type="dxa" w:w="100"/>
            </w:tcMar>
          </w:tcPr>
          <w:p>
            <w:r>
              <w:rPr>
                <w:sz w:val="20"/>
                <w:szCs w:val="20"/>
              </w:rPr>
              <w:t xml:space="preserve">Value (valeur par défaut sur un attribut)</w:t>
            </w:r>
          </w:p>
        </w:tc>
        <w:tc>
          <w:tcPr>
            <w:tcW w:type="dxa" w:w="3000"/>
            <w:tcMar>
              <w:top w:type="dxa" w:w="80"/>
              <w:left w:type="dxa" w:w="100"/>
              <w:bottom w:type="dxa" w:w="80"/>
              <w:right w:type="dxa" w:w="100"/>
            </w:tcMar>
          </w:tcPr>
          <w:p>
            <w:r>
              <w:rPr>
                <w:sz w:val="20"/>
                <w:szCs w:val="20"/>
              </w:rPr>
              <w:t xml:space="preserve">Initialisation du champ Java correspondant avec cette valeur par défaut.</w:t>
            </w:r>
          </w:p>
        </w:tc>
        <w:tc>
          <w:tcPr>
            <w:tcW w:type="dxa" w:w="3000"/>
            <w:tcMar>
              <w:top w:type="dxa" w:w="80"/>
              <w:left w:type="dxa" w:w="100"/>
              <w:bottom w:type="dxa" w:w="80"/>
              <w:right w:type="dxa" w:w="100"/>
            </w:tcMar>
          </w:tcPr>
          <w:p>
            <w:r>
              <w:rPr>
                <w:sz w:val="20"/>
                <w:szCs w:val="20"/>
              </w:rPr>
              <w:t xml:space="preserve">§4.3</w:t>
            </w:r>
          </w:p>
        </w:tc>
      </w:tr>
      <w:tr>
        <w:tc>
          <w:tcPr>
            <w:tcW w:type="dxa" w:w="3000"/>
            <w:shd w:fill="DEEAF6" w:color="DEEAF6" w:val="clear"/>
            <w:tcMar>
              <w:top w:type="dxa" w:w="80"/>
              <w:left w:type="dxa" w:w="100"/>
              <w:bottom w:type="dxa" w:w="80"/>
              <w:right w:type="dxa" w:w="100"/>
            </w:tcMar>
          </w:tcPr>
          <w:p>
            <w:r>
              <w:rPr>
                <w:sz w:val="20"/>
                <w:szCs w:val="20"/>
              </w:rPr>
              <w:t xml:space="preserve">structural.partOf coché</w:t>
            </w:r>
          </w:p>
        </w:tc>
        <w:tc>
          <w:tcPr>
            <w:tcW w:type="dxa" w:w="3000"/>
            <w:shd w:fill="DEEAF6" w:color="DEEAF6" w:val="clear"/>
            <w:tcMar>
              <w:top w:type="dxa" w:w="80"/>
              <w:left w:type="dxa" w:w="100"/>
              <w:bottom w:type="dxa" w:w="80"/>
              <w:right w:type="dxa" w:w="100"/>
            </w:tcMar>
          </w:tcPr>
          <w:p>
            <w:r>
              <w:rPr>
                <w:sz w:val="20"/>
                <w:szCs w:val="20"/>
              </w:rPr>
              <w:t xml:space="preserve">Détermine la classe Java qui porte physiquement le champ de la relation (stockage). Optionnel pour les compositions et agrégations (le sens principal y est implicite) ; à renseigner explicitement pour les associations pures.</w:t>
            </w:r>
          </w:p>
        </w:tc>
        <w:tc>
          <w:tcPr>
            <w:tcW w:type="dxa" w:w="3000"/>
            <w:shd w:fill="DEEAF6" w:color="DEEAF6" w:val="clear"/>
            <w:tcMar>
              <w:top w:type="dxa" w:w="80"/>
              <w:left w:type="dxa" w:w="100"/>
              <w:bottom w:type="dxa" w:w="80"/>
              <w:right w:type="dxa" w:w="100"/>
            </w:tcMar>
          </w:tcPr>
          <w:p>
            <w:r>
              <w:rPr>
                <w:sz w:val="20"/>
                <w:szCs w:val="20"/>
              </w:rPr>
              <w:t xml:space="preserve">§5.1</w:t>
            </w:r>
          </w:p>
        </w:tc>
      </w:tr>
      <w:tr>
        <w:tc>
          <w:tcPr>
            <w:tcW w:type="dxa" w:w="3000"/>
            <w:tcMar>
              <w:top w:type="dxa" w:w="80"/>
              <w:left w:type="dxa" w:w="100"/>
              <w:bottom w:type="dxa" w:w="80"/>
              <w:right w:type="dxa" w:w="100"/>
            </w:tcMar>
          </w:tcPr>
          <w:p>
            <w:r>
              <w:rPr>
                <w:sz w:val="20"/>
                <w:szCs w:val="20"/>
              </w:rPr>
              <w:t xml:space="preserve">structural.isToDelete coché</w:t>
            </w:r>
          </w:p>
        </w:tc>
        <w:tc>
          <w:tcPr>
            <w:tcW w:type="dxa" w:w="3000"/>
            <w:tcMar>
              <w:top w:type="dxa" w:w="80"/>
              <w:left w:type="dxa" w:w="100"/>
              <w:bottom w:type="dxa" w:w="80"/>
              <w:right w:type="dxa" w:w="100"/>
            </w:tcMar>
          </w:tcPr>
          <w:p>
            <w:r>
              <w:rPr>
                <w:sz w:val="20"/>
                <w:szCs w:val="20"/>
              </w:rPr>
              <w:t xml:space="preserve">Déclenche la suppression en cascade de l'élément lié. Implicite pour les compositions et agrégations (pas besoin d'être coché) ; pertinent surtout pour les associations pures.</w:t>
            </w:r>
          </w:p>
        </w:tc>
        <w:tc>
          <w:tcPr>
            <w:tcW w:type="dxa" w:w="3000"/>
            <w:tcMar>
              <w:top w:type="dxa" w:w="80"/>
              <w:left w:type="dxa" w:w="100"/>
              <w:bottom w:type="dxa" w:w="80"/>
              <w:right w:type="dxa" w:w="100"/>
            </w:tcMar>
          </w:tcPr>
          <w:p>
            <w:r>
              <w:rPr>
                <w:sz w:val="20"/>
                <w:szCs w:val="20"/>
              </w:rPr>
              <w:t xml:space="preserve">§5.2</w:t>
            </w:r>
          </w:p>
        </w:tc>
      </w:tr>
      <w:tr>
        <w:tc>
          <w:tcPr>
            <w:tcW w:type="dxa" w:w="3000"/>
            <w:shd w:fill="DEEAF6" w:color="DEEAF6" w:val="clear"/>
            <w:tcMar>
              <w:top w:type="dxa" w:w="80"/>
              <w:left w:type="dxa" w:w="100"/>
              <w:bottom w:type="dxa" w:w="80"/>
              <w:right w:type="dxa" w:w="100"/>
            </w:tcMar>
          </w:tcPr>
          <w:p>
            <w:r>
              <w:rPr>
                <w:sz w:val="20"/>
                <w:szCs w:val="20"/>
              </w:rPr>
              <w:t xml:space="preserve">persistency.optional</w:t>
            </w:r>
          </w:p>
        </w:tc>
        <w:tc>
          <w:tcPr>
            <w:tcW w:type="dxa" w:w="3000"/>
            <w:shd w:fill="DEEAF6" w:color="DEEAF6" w:val="clear"/>
            <w:tcMar>
              <w:top w:type="dxa" w:w="80"/>
              <w:left w:type="dxa" w:w="100"/>
              <w:bottom w:type="dxa" w:w="80"/>
              <w:right w:type="dxa" w:w="100"/>
            </w:tcMar>
          </w:tcPr>
          <w:p>
            <w:r>
              <w:rPr>
                <w:sz w:val="20"/>
                <w:szCs w:val="20"/>
              </w:rPr>
              <w:t xml:space="preserve">Indique que la persistance n'est pas obligée de stocker dans ce sens (optimisation pour les cas à forte cardinalité).</w:t>
            </w:r>
          </w:p>
        </w:tc>
        <w:tc>
          <w:tcPr>
            <w:tcW w:type="dxa" w:w="3000"/>
            <w:shd w:fill="DEEAF6" w:color="DEEAF6" w:val="clear"/>
            <w:tcMar>
              <w:top w:type="dxa" w:w="80"/>
              <w:left w:type="dxa" w:w="100"/>
              <w:bottom w:type="dxa" w:w="80"/>
              <w:right w:type="dxa" w:w="100"/>
            </w:tcMar>
          </w:tcPr>
          <w:p>
            <w:r>
              <w:rPr>
                <w:sz w:val="20"/>
                <w:szCs w:val="20"/>
              </w:rPr>
              <w:t xml:space="preserve">§5.2</w:t>
            </w:r>
          </w:p>
        </w:tc>
      </w:tr>
      <w:tr>
        <w:tc>
          <w:tcPr>
            <w:tcW w:type="dxa" w:w="3000"/>
            <w:tcMar>
              <w:top w:type="dxa" w:w="80"/>
              <w:left w:type="dxa" w:w="100"/>
              <w:bottom w:type="dxa" w:w="80"/>
              <w:right w:type="dxa" w:w="100"/>
            </w:tcMar>
          </w:tcPr>
          <w:p>
            <w:r>
              <w:rPr>
                <w:sz w:val="20"/>
                <w:szCs w:val="20"/>
              </w:rPr>
              <w:t xml:space="preserve">Semantic.link.source / Semantic.link.target</w:t>
            </w:r>
          </w:p>
        </w:tc>
        <w:tc>
          <w:tcPr>
            <w:tcW w:type="dxa" w:w="3000"/>
            <w:tcMar>
              <w:top w:type="dxa" w:w="80"/>
              <w:left w:type="dxa" w:w="100"/>
              <w:bottom w:type="dxa" w:w="80"/>
              <w:right w:type="dxa" w:w="100"/>
            </w:tcMar>
          </w:tcPr>
          <w:p>
            <w:r>
              <w:rPr>
                <w:sz w:val="20"/>
                <w:szCs w:val="20"/>
              </w:rPr>
              <w:t xml:space="preserve">Détermine, pour une métaclasse de lien, quel(s) rôle(s) donnent accès en Java à la source / à la cible du lien.</w:t>
            </w:r>
          </w:p>
        </w:tc>
        <w:tc>
          <w:tcPr>
            <w:tcW w:type="dxa" w:w="3000"/>
            <w:tcMar>
              <w:top w:type="dxa" w:w="80"/>
              <w:left w:type="dxa" w:w="100"/>
              <w:bottom w:type="dxa" w:w="80"/>
              <w:right w:type="dxa" w:w="100"/>
            </w:tcMar>
          </w:tcPr>
          <w:p>
            <w:r>
              <w:rPr>
                <w:sz w:val="20"/>
                <w:szCs w:val="20"/>
              </w:rPr>
              <w:t xml:space="preserve">§5.3</w:t>
            </w:r>
          </w:p>
        </w:tc>
      </w:tr>
      <w:tr>
        <w:tc>
          <w:tcPr>
            <w:tcW w:type="dxa" w:w="3000"/>
            <w:shd w:fill="DEEAF6" w:color="DEEAF6" w:val="clear"/>
            <w:tcMar>
              <w:top w:type="dxa" w:w="80"/>
              <w:left w:type="dxa" w:w="100"/>
              <w:bottom w:type="dxa" w:w="80"/>
              <w:right w:type="dxa" w:w="100"/>
            </w:tcMar>
          </w:tcPr>
          <w:p>
            <w:r>
              <w:rPr>
                <w:sz w:val="20"/>
                <w:szCs w:val="20"/>
              </w:rPr>
              <w:t xml:space="preserve">Metamodel.isExtension (SemGen::Metamodel)</w:t>
            </w:r>
          </w:p>
        </w:tc>
        <w:tc>
          <w:tcPr>
            <w:tcW w:type="dxa" w:w="3000"/>
            <w:shd w:fill="DEEAF6" w:color="DEEAF6" w:val="clear"/>
            <w:tcMar>
              <w:top w:type="dxa" w:w="80"/>
              <w:left w:type="dxa" w:w="100"/>
              <w:bottom w:type="dxa" w:w="80"/>
              <w:right w:type="dxa" w:w="100"/>
            </w:tcMar>
          </w:tcPr>
          <w:p>
            <w:r>
              <w:rPr>
                <w:sz w:val="20"/>
                <w:szCs w:val="20"/>
              </w:rPr>
              <w:t xml:space="preserve">À cocher systématiquement sur tout métamodèle destiné à SemGen.</w:t>
            </w:r>
          </w:p>
        </w:tc>
        <w:tc>
          <w:tcPr>
            <w:tcW w:type="dxa" w:w="3000"/>
            <w:shd w:fill="DEEAF6" w:color="DEEAF6" w:val="clear"/>
            <w:tcMar>
              <w:top w:type="dxa" w:w="80"/>
              <w:left w:type="dxa" w:w="100"/>
              <w:bottom w:type="dxa" w:w="80"/>
              <w:right w:type="dxa" w:w="100"/>
            </w:tcMar>
          </w:tcPr>
          <w:p>
            <w:r>
              <w:rPr>
                <w:sz w:val="20"/>
                <w:szCs w:val="20"/>
              </w:rPr>
              <w:t xml:space="preserve">§2</w:t>
            </w:r>
          </w:p>
        </w:tc>
      </w:tr>
      <w:tr>
        <w:tc>
          <w:tcPr>
            <w:tcW w:type="dxa" w:w="3000"/>
            <w:tcMar>
              <w:top w:type="dxa" w:w="80"/>
              <w:left w:type="dxa" w:w="100"/>
              <w:bottom w:type="dxa" w:w="80"/>
              <w:right w:type="dxa" w:w="100"/>
            </w:tcMar>
          </w:tcPr>
          <w:p>
            <w:r>
              <w:rPr>
                <w:sz w:val="20"/>
                <w:szCs w:val="20"/>
              </w:rPr>
              <w:t xml:space="preserve">Version / Production namespace (SemGen::Metamodel)</w:t>
            </w:r>
          </w:p>
        </w:tc>
        <w:tc>
          <w:tcPr>
            <w:tcW w:type="dxa" w:w="3000"/>
            <w:tcMar>
              <w:top w:type="dxa" w:w="80"/>
              <w:left w:type="dxa" w:w="100"/>
              <w:bottom w:type="dxa" w:w="80"/>
              <w:right w:type="dxa" w:w="100"/>
            </w:tcMar>
          </w:tcPr>
          <w:p>
            <w:r>
              <w:rPr>
                <w:sz w:val="20"/>
                <w:szCs w:val="20"/>
              </w:rPr>
              <w:t xml:space="preserve">Embarquées dans le code généré ; pilotent respectivement les scripts de migration et le nom du package Java racine.</w:t>
            </w:r>
          </w:p>
        </w:tc>
        <w:tc>
          <w:tcPr>
            <w:tcW w:type="dxa" w:w="3000"/>
            <w:tcMar>
              <w:top w:type="dxa" w:w="80"/>
              <w:left w:type="dxa" w:w="100"/>
              <w:bottom w:type="dxa" w:w="80"/>
              <w:right w:type="dxa" w:w="100"/>
            </w:tcMar>
          </w:tcPr>
          <w:p>
            <w:r>
              <w:rPr>
                <w:sz w:val="20"/>
                <w:szCs w:val="20"/>
              </w:rPr>
              <w:t xml:space="preserve">§2</w:t>
            </w:r>
          </w:p>
        </w:tc>
      </w:tr>
    </w:tbl>
    <w:p>
      <w:pPr>
        <w:pBdr>
          <w:left w:val="single" w:color="2E74B5" w:sz="6" w:space="8"/>
        </w:pBdr>
        <w:spacing w:after="160"/>
        <w:ind w:left="200"/>
      </w:pPr>
      <w:r>
        <w:rPr>
          <w:i/>
          <w:iCs/>
          <w:color w:val="666666"/>
          <w:sz w:val="20"/>
          <w:szCs w:val="20"/>
        </w:rPr>
        <w:t xml:space="preserve">Recommandation pour toute équipe modélisant un métamodèle destiné à SemGen (SysML v2 compris) : lors de la relecture de chaque métaclasse, vérifier systématiquement que la propriété posée dans Modelio produit bien l'effet attendu ci-dessus — en cas de doute, valider directement avec Cédric Marin plutôt que de supposer le comportement de génération.</w:t>
      </w:r>
    </w:p>
    <w:p>
      <w:pPr>
        <w:pStyle w:val="Heading1"/>
        <w:spacing w:after="200" w:before="400"/>
      </w:pPr>
      <w:r>
        <w:t xml:space="preserve">7. Glossaire SemGen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F3864" w:color="1F3864" w:val="clear"/>
            <w:tcMar>
              <w:top w:type="dxa" w:w="80"/>
              <w:left w:type="dxa" w:w="100"/>
              <w:bottom w:type="dxa" w:w="80"/>
              <w:right w:type="dxa" w:w="100"/>
            </w:tcMar>
            <w:vAlign w:val="center"/>
          </w:tcPr>
          <w:p>
            <w:r>
              <w:rPr>
                <w:b/>
                <w:bCs/>
                <w:color w:val="FFFFFF"/>
                <w:sz w:val="20"/>
                <w:szCs w:val="20"/>
              </w:rPr>
              <w:t xml:space="preserve">Terme</w:t>
            </w:r>
          </w:p>
        </w:tc>
        <w:tc>
          <w:tcPr>
            <w:tcW w:type="dxa" w:w="6200"/>
            <w:shd w:fill="1F3864" w:color="1F3864" w:val="clear"/>
            <w:tcMar>
              <w:top w:type="dxa" w:w="80"/>
              <w:left w:type="dxa" w:w="100"/>
              <w:bottom w:type="dxa" w:w="80"/>
              <w:right w:type="dxa" w:w="100"/>
            </w:tcMar>
            <w:vAlign w:val="center"/>
          </w:tcPr>
          <w:p>
            <w:r>
              <w:rPr>
                <w:b/>
                <w:bCs/>
                <w:color w:val="FFFFFF"/>
                <w:sz w:val="20"/>
                <w:szCs w:val="20"/>
              </w:rPr>
              <w:t xml:space="preserve">Définition</w:t>
            </w:r>
          </w:p>
        </w:tc>
      </w:tr>
      <w:tr>
        <w:tc>
          <w:tcPr>
            <w:tcW w:type="dxa" w:w="2800"/>
            <w:tcMar>
              <w:top w:type="dxa" w:w="80"/>
              <w:left w:type="dxa" w:w="100"/>
              <w:bottom w:type="dxa" w:w="80"/>
              <w:right w:type="dxa" w:w="100"/>
            </w:tcMar>
          </w:tcPr>
          <w:p>
            <w:r>
              <w:rPr>
                <w:sz w:val="20"/>
                <w:szCs w:val="20"/>
              </w:rPr>
              <w:t xml:space="preserve">SemGen</w:t>
            </w:r>
          </w:p>
        </w:tc>
        <w:tc>
          <w:tcPr>
            <w:tcW w:type="dxa" w:w="6200"/>
            <w:tcMar>
              <w:top w:type="dxa" w:w="80"/>
              <w:left w:type="dxa" w:w="100"/>
              <w:bottom w:type="dxa" w:w="80"/>
              <w:right w:type="dxa" w:w="100"/>
            </w:tcMar>
          </w:tcPr>
          <w:p>
            <w:r>
              <w:rPr>
                <w:sz w:val="20"/>
                <w:szCs w:val="20"/>
              </w:rPr>
              <w:t xml:space="preserve">Outil interne générique, disponible en menu contextuel dans Modelio Studio (clic droit sur un composant métamodèle → SemGen → Generate Metamodel), qui génère les composants Java mm.api / mm.impl à partir de n'importe quel métamodèle stéréotypé selon ses conventions.</w:t>
            </w:r>
          </w:p>
        </w:tc>
      </w:tr>
      <w:tr>
        <w:tc>
          <w:tcPr>
            <w:tcW w:type="dxa" w:w="2800"/>
            <w:shd w:fill="DEEAF6" w:color="DEEAF6" w:val="clear"/>
            <w:tcMar>
              <w:top w:type="dxa" w:w="80"/>
              <w:left w:type="dxa" w:w="100"/>
              <w:bottom w:type="dxa" w:w="80"/>
              <w:right w:type="dxa" w:w="100"/>
            </w:tcMar>
          </w:tcPr>
          <w:p>
            <w:r>
              <w:rPr>
                <w:sz w:val="20"/>
                <w:szCs w:val="20"/>
              </w:rPr>
              <w:t xml:space="preserve">Java Architect</w:t>
            </w:r>
          </w:p>
        </w:tc>
        <w:tc>
          <w:tcPr>
            <w:tcW w:type="dxa" w:w="6200"/>
            <w:shd w:fill="DEEAF6" w:color="DEEAF6" w:val="clear"/>
            <w:tcMar>
              <w:top w:type="dxa" w:w="80"/>
              <w:left w:type="dxa" w:w="100"/>
              <w:bottom w:type="dxa" w:w="80"/>
              <w:right w:type="dxa" w:w="100"/>
            </w:tcMar>
          </w:tcPr>
          <w:p>
            <w:r>
              <w:rPr>
                <w:sz w:val="20"/>
                <w:szCs w:val="20"/>
              </w:rPr>
              <w:t xml:space="preserve">Outil Modelio distinct et plus générique, exécuté après SemGen sur mm.api / mm.impl pour produire le code source Java définitif, packagé en plugin Eclipse.</w:t>
            </w:r>
          </w:p>
        </w:tc>
      </w:tr>
      <w:tr>
        <w:tc>
          <w:tcPr>
            <w:tcW w:type="dxa" w:w="2800"/>
            <w:tcMar>
              <w:top w:type="dxa" w:w="80"/>
              <w:left w:type="dxa" w:w="100"/>
              <w:bottom w:type="dxa" w:w="80"/>
              <w:right w:type="dxa" w:w="100"/>
            </w:tcMar>
          </w:tcPr>
          <w:p>
            <w:r>
              <w:rPr>
                <w:sz w:val="20"/>
                <w:szCs w:val="20"/>
              </w:rPr>
              <w:t xml:space="preserve">mm.api / mm.impl</w:t>
            </w:r>
          </w:p>
        </w:tc>
        <w:tc>
          <w:tcPr>
            <w:tcW w:type="dxa" w:w="6200"/>
            <w:tcMar>
              <w:top w:type="dxa" w:w="80"/>
              <w:left w:type="dxa" w:w="100"/>
              <w:bottom w:type="dxa" w:w="80"/>
              <w:right w:type="dxa" w:w="100"/>
            </w:tcMar>
          </w:tcPr>
          <w:p>
            <w:r>
              <w:rPr>
                <w:sz w:val="20"/>
                <w:szCs w:val="20"/>
              </w:rPr>
              <w:t xml:space="preserve">Composants Java générés par SemGen à partir d'un métamodèle stéréotypé : mm.api expose les interfaces, mm.impl contient les classes concrètes.</w:t>
            </w:r>
          </w:p>
        </w:tc>
      </w:tr>
      <w:tr>
        <w:tc>
          <w:tcPr>
            <w:tcW w:type="dxa" w:w="2800"/>
            <w:shd w:fill="DEEAF6" w:color="DEEAF6" w:val="clear"/>
            <w:tcMar>
              <w:top w:type="dxa" w:w="80"/>
              <w:left w:type="dxa" w:w="100"/>
              <w:bottom w:type="dxa" w:w="80"/>
              <w:right w:type="dxa" w:w="100"/>
            </w:tcMar>
          </w:tcPr>
          <w:p>
            <w:r>
              <w:rPr>
                <w:sz w:val="20"/>
                <w:szCs w:val="20"/>
              </w:rPr>
              <w:t xml:space="preserve">SemGen::Metamodel</w:t>
            </w:r>
          </w:p>
        </w:tc>
        <w:tc>
          <w:tcPr>
            <w:tcW w:type="dxa" w:w="6200"/>
            <w:shd w:fill="DEEAF6" w:color="DEEAF6" w:val="clear"/>
            <w:tcMar>
              <w:top w:type="dxa" w:w="80"/>
              <w:left w:type="dxa" w:w="100"/>
              <w:bottom w:type="dxa" w:w="80"/>
              <w:right w:type="dxa" w:w="100"/>
            </w:tcMar>
          </w:tcPr>
          <w:p>
            <w:r>
              <w:rPr>
                <w:sz w:val="20"/>
                <w:szCs w:val="20"/>
              </w:rPr>
              <w:t xml:space="preserve">Stéréotype appliqué à un UML - Component qui constitue la racine d'un métamodèle Modelio (propriétés Name, Id, Version, Provider, Production namespace, isExtension).</w:t>
            </w:r>
          </w:p>
        </w:tc>
      </w:tr>
      <w:tr>
        <w:tc>
          <w:tcPr>
            <w:tcW w:type="dxa" w:w="2800"/>
            <w:tcMar>
              <w:top w:type="dxa" w:w="80"/>
              <w:left w:type="dxa" w:w="100"/>
              <w:bottom w:type="dxa" w:w="80"/>
              <w:right w:type="dxa" w:w="100"/>
            </w:tcMar>
          </w:tcPr>
          <w:p>
            <w:r>
              <w:rPr>
                <w:sz w:val="20"/>
                <w:szCs w:val="20"/>
              </w:rPr>
              <w:t xml:space="preserve">Semantic</w:t>
            </w:r>
          </w:p>
        </w:tc>
        <w:tc>
          <w:tcPr>
            <w:tcW w:type="dxa" w:w="6200"/>
            <w:tcMar>
              <w:top w:type="dxa" w:w="80"/>
              <w:left w:type="dxa" w:w="100"/>
              <w:bottom w:type="dxa" w:w="80"/>
              <w:right w:type="dxa" w:w="100"/>
            </w:tcMar>
          </w:tcPr>
          <w:p>
            <w:r>
              <w:rPr>
                <w:sz w:val="20"/>
                <w:szCs w:val="20"/>
              </w:rPr>
              <w:t xml:space="preserve">Stéréotype du profil SemGen appliqué aux métaclasses représentant les concepts/nœuds d'un métamodèle métier.</w:t>
            </w:r>
          </w:p>
        </w:tc>
      </w:tr>
      <w:tr>
        <w:tc>
          <w:tcPr>
            <w:tcW w:type="dxa" w:w="2800"/>
            <w:shd w:fill="DEEAF6" w:color="DEEAF6" w:val="clear"/>
            <w:tcMar>
              <w:top w:type="dxa" w:w="80"/>
              <w:left w:type="dxa" w:w="100"/>
              <w:bottom w:type="dxa" w:w="80"/>
              <w:right w:type="dxa" w:w="100"/>
            </w:tcMar>
          </w:tcPr>
          <w:p>
            <w:r>
              <w:rPr>
                <w:sz w:val="20"/>
                <w:szCs w:val="20"/>
              </w:rPr>
              <w:t xml:space="preserve">SemanticLinkMetaclass</w:t>
            </w:r>
          </w:p>
        </w:tc>
        <w:tc>
          <w:tcPr>
            <w:tcW w:type="dxa" w:w="6200"/>
            <w:shd w:fill="DEEAF6" w:color="DEEAF6" w:val="clear"/>
            <w:tcMar>
              <w:top w:type="dxa" w:w="80"/>
              <w:left w:type="dxa" w:w="100"/>
              <w:bottom w:type="dxa" w:w="80"/>
              <w:right w:type="dxa" w:w="100"/>
            </w:tcMar>
          </w:tcPr>
          <w:p>
            <w:r>
              <w:rPr>
                <w:sz w:val="20"/>
                <w:szCs w:val="20"/>
              </w:rPr>
              <w:t xml:space="preserve">Stéréotype du profil SemGen appliqué aux métaclasses représentant les relations/liens d'un métamodèle métier.</w:t>
            </w:r>
          </w:p>
        </w:tc>
      </w:tr>
      <w:tr>
        <w:tc>
          <w:tcPr>
            <w:tcW w:type="dxa" w:w="2800"/>
            <w:tcMar>
              <w:top w:type="dxa" w:w="80"/>
              <w:left w:type="dxa" w:w="100"/>
              <w:bottom w:type="dxa" w:w="80"/>
              <w:right w:type="dxa" w:w="100"/>
            </w:tcMar>
          </w:tcPr>
          <w:p>
            <w:r>
              <w:rPr>
                <w:sz w:val="20"/>
                <w:szCs w:val="20"/>
              </w:rPr>
              <w:t xml:space="preserve">structural.node</w:t>
            </w:r>
          </w:p>
        </w:tc>
        <w:tc>
          <w:tcPr>
            <w:tcW w:type="dxa" w:w="6200"/>
            <w:tcMar>
              <w:top w:type="dxa" w:w="80"/>
              <w:left w:type="dxa" w:w="100"/>
              <w:bottom w:type="dxa" w:w="80"/>
              <w:right w:type="dxa" w:w="100"/>
            </w:tcMar>
          </w:tcPr>
          <w:p>
            <w:r>
              <w:rPr>
                <w:sz w:val="20"/>
                <w:szCs w:val="20"/>
              </w:rPr>
              <w:t xml:space="preserve">Propriété SemGen indiquant qu'une métaclasse concrète constitue une unité de persistance autonome (« grain »).</w:t>
            </w:r>
          </w:p>
        </w:tc>
      </w:tr>
      <w:tr>
        <w:tc>
          <w:tcPr>
            <w:tcW w:type="dxa" w:w="2800"/>
            <w:shd w:fill="DEEAF6" w:color="DEEAF6" w:val="clear"/>
            <w:tcMar>
              <w:top w:type="dxa" w:w="80"/>
              <w:left w:type="dxa" w:w="100"/>
              <w:bottom w:type="dxa" w:w="80"/>
              <w:right w:type="dxa" w:w="100"/>
            </w:tcMar>
          </w:tcPr>
          <w:p>
            <w:r>
              <w:rPr>
                <w:sz w:val="20"/>
                <w:szCs w:val="20"/>
              </w:rPr>
              <w:t xml:space="preserve">structural.partOf</w:t>
            </w:r>
          </w:p>
        </w:tc>
        <w:tc>
          <w:tcPr>
            <w:tcW w:type="dxa" w:w="6200"/>
            <w:shd w:fill="DEEAF6" w:color="DEEAF6" w:val="clear"/>
            <w:tcMar>
              <w:top w:type="dxa" w:w="80"/>
              <w:left w:type="dxa" w:w="100"/>
              <w:bottom w:type="dxa" w:w="80"/>
              <w:right w:type="dxa" w:w="100"/>
            </w:tcMar>
          </w:tcPr>
          <w:p>
            <w:r>
              <w:rPr>
                <w:sz w:val="20"/>
                <w:szCs w:val="20"/>
              </w:rPr>
              <w:t xml:space="preserve">Propriété SemGen posée sur un rôle d'association, indiquant le sens principal (côté où l'information est physiquement stockée) ; optionnelle pour les compositions et agrégations, où ce sens est implicite — à renseigner surtout pour les associations pures.</w:t>
            </w:r>
          </w:p>
        </w:tc>
      </w:tr>
      <w:tr>
        <w:tc>
          <w:tcPr>
            <w:tcW w:type="dxa" w:w="2800"/>
            <w:tcMar>
              <w:top w:type="dxa" w:w="80"/>
              <w:left w:type="dxa" w:w="100"/>
              <w:bottom w:type="dxa" w:w="80"/>
              <w:right w:type="dxa" w:w="100"/>
            </w:tcMar>
          </w:tcPr>
          <w:p>
            <w:r>
              <w:rPr>
                <w:sz w:val="20"/>
                <w:szCs w:val="20"/>
              </w:rPr>
              <w:t xml:space="preserve">structural.isToDelete</w:t>
            </w:r>
          </w:p>
        </w:tc>
        <w:tc>
          <w:tcPr>
            <w:tcW w:type="dxa" w:w="6200"/>
            <w:tcMar>
              <w:top w:type="dxa" w:w="80"/>
              <w:left w:type="dxa" w:w="100"/>
              <w:bottom w:type="dxa" w:w="80"/>
              <w:right w:type="dxa" w:w="100"/>
            </w:tcMar>
          </w:tcPr>
          <w:p>
            <w:r>
              <w:rPr>
                <w:sz w:val="20"/>
                <w:szCs w:val="20"/>
              </w:rPr>
              <w:t xml:space="preserve">Propriété SemGen indiquant qu'à la suppression d'un élément, l'élément lié à l'autre bout doit aussi être supprimé ; implicite pour les compositions et agrégations, pertinente surtout pour les associations pures.</w:t>
            </w:r>
          </w:p>
        </w:tc>
      </w:tr>
      <w:tr>
        <w:tc>
          <w:tcPr>
            <w:tcW w:type="dxa" w:w="2800"/>
            <w:shd w:fill="DEEAF6" w:color="DEEAF6" w:val="clear"/>
            <w:tcMar>
              <w:top w:type="dxa" w:w="80"/>
              <w:left w:type="dxa" w:w="100"/>
              <w:bottom w:type="dxa" w:w="80"/>
              <w:right w:type="dxa" w:w="100"/>
            </w:tcMar>
          </w:tcPr>
          <w:p>
            <w:r>
              <w:rPr>
                <w:sz w:val="20"/>
                <w:szCs w:val="20"/>
              </w:rPr>
              <w:t xml:space="preserve">persistency.optional</w:t>
            </w:r>
          </w:p>
        </w:tc>
        <w:tc>
          <w:tcPr>
            <w:tcW w:type="dxa" w:w="6200"/>
            <w:shd w:fill="DEEAF6" w:color="DEEAF6" w:val="clear"/>
            <w:tcMar>
              <w:top w:type="dxa" w:w="80"/>
              <w:left w:type="dxa" w:w="100"/>
              <w:bottom w:type="dxa" w:w="80"/>
              <w:right w:type="dxa" w:w="100"/>
            </w:tcMar>
          </w:tcPr>
          <w:p>
            <w:r>
              <w:rPr>
                <w:sz w:val="20"/>
                <w:szCs w:val="20"/>
              </w:rPr>
              <w:t xml:space="preserve">Propriété SemGen indiquant que la persistance n'est pas obligée de stocker la relation dans ce sens.</w:t>
            </w:r>
          </w:p>
        </w:tc>
      </w:tr>
      <w:tr>
        <w:tc>
          <w:tcPr>
            <w:tcW w:type="dxa" w:w="2800"/>
            <w:tcMar>
              <w:top w:type="dxa" w:w="80"/>
              <w:left w:type="dxa" w:w="100"/>
              <w:bottom w:type="dxa" w:w="80"/>
              <w:right w:type="dxa" w:w="100"/>
            </w:tcMar>
          </w:tcPr>
          <w:p>
            <w:r>
              <w:rPr>
                <w:sz w:val="20"/>
                <w:szCs w:val="20"/>
              </w:rPr>
              <w:t xml:space="preserve">semantic.orphans.allowed</w:t>
            </w:r>
          </w:p>
        </w:tc>
        <w:tc>
          <w:tcPr>
            <w:tcW w:type="dxa" w:w="6200"/>
            <w:tcMar>
              <w:top w:type="dxa" w:w="80"/>
              <w:left w:type="dxa" w:w="100"/>
              <w:bottom w:type="dxa" w:w="80"/>
              <w:right w:type="dxa" w:w="100"/>
            </w:tcMar>
          </w:tcPr>
          <w:p>
            <w:r>
              <w:rPr>
                <w:sz w:val="20"/>
                <w:szCs w:val="20"/>
              </w:rPr>
              <w:t xml:space="preserve">Propriété SemGen autorisant une métaclasse à exister sans parent de composition ; réservée aux racines de métamodèle.</w:t>
            </w:r>
          </w:p>
        </w:tc>
      </w:tr>
      <w:tr>
        <w:tc>
          <w:tcPr>
            <w:tcW w:type="dxa" w:w="2800"/>
            <w:shd w:fill="DEEAF6" w:color="DEEAF6" w:val="clear"/>
            <w:tcMar>
              <w:top w:type="dxa" w:w="80"/>
              <w:left w:type="dxa" w:w="100"/>
              <w:bottom w:type="dxa" w:w="80"/>
              <w:right w:type="dxa" w:w="100"/>
            </w:tcMar>
          </w:tcPr>
          <w:p>
            <w:r>
              <w:rPr>
                <w:sz w:val="20"/>
                <w:szCs w:val="20"/>
              </w:rPr>
              <w:t xml:space="preserve">Semantic.link.source / Semantic.link.target</w:t>
            </w:r>
          </w:p>
        </w:tc>
        <w:tc>
          <w:tcPr>
            <w:tcW w:type="dxa" w:w="6200"/>
            <w:shd w:fill="DEEAF6" w:color="DEEAF6" w:val="clear"/>
            <w:tcMar>
              <w:top w:type="dxa" w:w="80"/>
              <w:left w:type="dxa" w:w="100"/>
              <w:bottom w:type="dxa" w:w="80"/>
              <w:right w:type="dxa" w:w="100"/>
            </w:tcMar>
          </w:tcPr>
          <w:p>
            <w:r>
              <w:rPr>
                <w:sz w:val="20"/>
                <w:szCs w:val="20"/>
              </w:rPr>
              <w:t xml:space="preserve">Propriétés SemGen posées sur un rôle d'association pour indiquer explicitement quel rôle joue la source / la cible d'un lien sémantique.</w:t>
            </w:r>
          </w:p>
        </w:tc>
      </w:tr>
      <w:tr>
        <w:tc>
          <w:tcPr>
            <w:tcW w:type="dxa" w:w="2800"/>
            <w:tcMar>
              <w:top w:type="dxa" w:w="80"/>
              <w:left w:type="dxa" w:w="100"/>
              <w:bottom w:type="dxa" w:w="80"/>
              <w:right w:type="dxa" w:w="100"/>
            </w:tcMar>
          </w:tcPr>
          <w:p>
            <w:r>
              <w:rPr>
                <w:sz w:val="20"/>
                <w:szCs w:val="20"/>
              </w:rPr>
              <w:t xml:space="preserve">fpIndexed</w:t>
            </w:r>
          </w:p>
        </w:tc>
        <w:tc>
          <w:tcPr>
            <w:tcW w:type="dxa" w:w="6200"/>
            <w:tcMar>
              <w:top w:type="dxa" w:w="80"/>
              <w:left w:type="dxa" w:w="100"/>
              <w:bottom w:type="dxa" w:w="80"/>
              <w:right w:type="dxa" w:w="100"/>
            </w:tcMar>
          </w:tcPr>
          <w:p>
            <w:r>
              <w:rPr>
                <w:sz w:val="20"/>
                <w:szCs w:val="20"/>
              </w:rPr>
              <w:t xml:space="preserve">Propriété SemGen historique sur un attribut, signifiant l'ajout d'un index sur cet attribut ; n'est plus prise en compte par le moteur de génération actuel.</w:t>
            </w:r>
          </w:p>
        </w:tc>
      </w:tr>
      <w:tr>
        <w:tc>
          <w:tcPr>
            <w:tcW w:type="dxa" w:w="2800"/>
            <w:shd w:fill="DEEAF6" w:color="DEEAF6" w:val="clear"/>
            <w:tcMar>
              <w:top w:type="dxa" w:w="80"/>
              <w:left w:type="dxa" w:w="100"/>
              <w:bottom w:type="dxa" w:w="80"/>
              <w:right w:type="dxa" w:w="100"/>
            </w:tcMar>
          </w:tcPr>
          <w:p>
            <w:r>
              <w:rPr>
                <w:sz w:val="20"/>
                <w:szCs w:val="20"/>
              </w:rPr>
              <w:t xml:space="preserve">EInoExternalize</w:t>
            </w:r>
          </w:p>
        </w:tc>
        <w:tc>
          <w:tcPr>
            <w:tcW w:type="dxa" w:w="6200"/>
            <w:shd w:fill="DEEAF6" w:color="DEEAF6" w:val="clear"/>
            <w:tcMar>
              <w:top w:type="dxa" w:w="80"/>
              <w:left w:type="dxa" w:w="100"/>
              <w:bottom w:type="dxa" w:w="80"/>
              <w:right w:type="dxa" w:w="100"/>
            </w:tcMar>
          </w:tcPr>
          <w:p>
            <w:r>
              <w:rPr>
                <w:sz w:val="20"/>
                <w:szCs w:val="20"/>
              </w:rPr>
              <w:t xml:space="preserve">Propriété SemGen historique sur un attribut, signifiant « transient » (non persisté) ; à ne jamais cocher — n'est plus honorée par le moteur de génération actuel.</w:t>
            </w:r>
          </w:p>
        </w:tc>
      </w:tr>
      <w:tr>
        <w:tc>
          <w:tcPr>
            <w:tcW w:type="dxa" w:w="2800"/>
            <w:tcMar>
              <w:top w:type="dxa" w:w="80"/>
              <w:left w:type="dxa" w:w="100"/>
              <w:bottom w:type="dxa" w:w="80"/>
              <w:right w:type="dxa" w:w="100"/>
            </w:tcMar>
          </w:tcPr>
          <w:p>
            <w:r>
              <w:rPr>
                <w:sz w:val="20"/>
                <w:szCs w:val="20"/>
              </w:rPr>
              <w:t xml:space="preserve">metamodel engine</w:t>
            </w:r>
          </w:p>
        </w:tc>
        <w:tc>
          <w:tcPr>
            <w:tcW w:type="dxa" w:w="6200"/>
            <w:tcMar>
              <w:top w:type="dxa" w:w="80"/>
              <w:left w:type="dxa" w:w="100"/>
              <w:bottom w:type="dxa" w:w="80"/>
              <w:right w:type="dxa" w:w="100"/>
            </w:tcMar>
          </w:tcPr>
          <w:p>
            <w:r>
              <w:rPr>
                <w:sz w:val="20"/>
                <w:szCs w:val="20"/>
              </w:rPr>
              <w:t xml:space="preserve">Cible des contributions de code lorsqu'une règle métier ne peut pas être portée nativement par le métamodèle (ex. contribution SysML → metamodel engine).</w:t>
            </w:r>
          </w:p>
        </w:tc>
      </w:tr>
    </w:tbl>
    <w:p>
      <w:pPr>
        <w:spacing w:before="300"/>
      </w:pPr>
    </w:p>
    <w:p>
      <w:pPr>
        <w:pBdr>
          <w:left w:val="single" w:color="2E74B5" w:sz="6" w:space="8"/>
        </w:pBdr>
        <w:spacing w:after="160"/>
        <w:ind w:left="200"/>
      </w:pPr>
      <w:r>
        <w:rPr>
          <w:i/>
          <w:iCs/>
          <w:color w:val="666666"/>
          <w:sz w:val="20"/>
          <w:szCs w:val="20"/>
        </w:rPr>
        <w:t xml:space="preserve">Document 1/2. Pour les règles de métamodélisation générales (Infrastructure, profils UML, relations, documentation, et l'étude de cas SysML v2), voir le document compagnon « Règles de métamodélisation Modelio — étude de cas SysML v2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56"/>
      <w:szCs w:val="56"/>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2d9b0dc783ed457f065acf5bb1901489df23f458.png"/><Relationship Id="rId13" Type="http://schemas.openxmlformats.org/officeDocument/2006/relationships/image" Target="media/4903ff03a5b5d837e63ae53d75609d18e84628ce.png"/><Relationship Id="rId18"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image" Target="media/fed2ff611bb3ab5540c2e1e75c8a974cea1f5360.png"/><Relationship Id="rId12" Type="http://schemas.openxmlformats.org/officeDocument/2006/relationships/image" Target="media/aad28c9d1f3bf0ab56998048687deb87ffc4883a.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7140bc77340d3f336f3fe46e0d7f78e1a332297a.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9be55051c52314eca950e1e166579d015320d8f4.png"/><Relationship Id="rId4" Type="http://schemas.openxmlformats.org/officeDocument/2006/relationships/endnotes" Target="endnotes.xml"/><Relationship Id="rId9" Type="http://schemas.openxmlformats.org/officeDocument/2006/relationships/image" Target="media/89271db955de68dbe03f875b79f00b1e61ffd084.png"/><Relationship Id="rId14" Type="http://schemas.openxmlformats.org/officeDocument/2006/relationships/image" Target="media/9bfec46a88d04dc3d95d2c27c018050b064b0a3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E17BA170FBE643AF11AB0DACD7748A" ma:contentTypeVersion="15" ma:contentTypeDescription="Crée un document." ma:contentTypeScope="" ma:versionID="af30a35b1df040ece125c273cee6ce8d">
  <xsd:schema xmlns:xsd="http://www.w3.org/2001/XMLSchema" xmlns:xs="http://www.w3.org/2001/XMLSchema" xmlns:p="http://schemas.microsoft.com/office/2006/metadata/properties" xmlns:ns2="c510b244-4fa2-452b-9372-08ea733f7cc3" xmlns:ns3="f1092801-e348-4c00-9058-ba7b1fb55286" targetNamespace="http://schemas.microsoft.com/office/2006/metadata/properties" ma:root="true" ma:fieldsID="fbe8f0908ca8de68bc24876b9e235688" ns2:_="" ns3:_="">
    <xsd:import namespace="c510b244-4fa2-452b-9372-08ea733f7cc3"/>
    <xsd:import namespace="f1092801-e348-4c00-9058-ba7b1fb5528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0b244-4fa2-452b-9372-08ea733f7cc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63e13a61-b2c7-4246-b1e6-f08b241a42b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92801-e348-4c00-9058-ba7b1fb5528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4aa5d96-5b2c-44c0-bedd-226bbf9b12e9}" ma:internalName="TaxCatchAll" ma:showField="CatchAllData" ma:web="f1092801-e348-4c00-9058-ba7b1fb5528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10b244-4fa2-452b-9372-08ea733f7cc3">
      <Terms xmlns="http://schemas.microsoft.com/office/infopath/2007/PartnerControls"/>
    </lcf76f155ced4ddcb4097134ff3c332f>
    <TaxCatchAll xmlns="f1092801-e348-4c00-9058-ba7b1fb55286" xsi:nil="true"/>
  </documentManagement>
</p:properties>
</file>

<file path=customXml/itemProps1.xml><?xml version="1.0" encoding="utf-8"?>
<ds:datastoreItem xmlns:ds="http://schemas.openxmlformats.org/officeDocument/2006/customXml" ds:itemID="{7AE58C6A-06C4-4DB2-B623-EA707EB20794}"/>
</file>

<file path=customXml/itemProps2.xml><?xml version="1.0" encoding="utf-8"?>
<ds:datastoreItem xmlns:ds="http://schemas.openxmlformats.org/officeDocument/2006/customXml" ds:itemID="{0268BEEA-19A3-4879-A437-B84E0BC61E4E}"/>
</file>

<file path=customXml/itemProps3.xml><?xml version="1.0" encoding="utf-8"?>
<ds:datastoreItem xmlns:ds="http://schemas.openxmlformats.org/officeDocument/2006/customXml" ds:itemID="{F75A09C0-2D4A-469E-BE76-9C02269A814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2026-08-27T14:46:10Z</dcterms:created>
  <dcterms:modified xsi:type="dcterms:W3CDTF">2026-08-27T14:46:10Z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0x01010014E17BA170FBE643AF11AB0DACD7748A</vt:lpwstr>
  </property>
</Properties>
</file>