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22</w:t>
      </w:r>
      <w:r>
        <w:t xml:space="preserve"> </w:t>
      </w:r>
      <w:r>
        <w:t xml:space="preserve">Jun</w:t>
      </w:r>
      <w:r>
        <w:t xml:space="preserve"> </w:t>
      </w:r>
      <w:r>
        <w:t xml:space="preserve">2020</w:t>
      </w:r>
      <w:r>
        <w:t xml:space="preserve"> </w:t>
      </w:r>
      <w:r>
        <w:t xml:space="preserve">11:10:50</w:t>
      </w:r>
    </w:p>
    <w:p>
      <w:pPr>
        <w:pStyle w:val="Heading1"/>
      </w:pPr>
      <w:bookmarkStart w:id="20" w:name="background"/>
      <w:r>
        <w:t xml:space="preserve">Background 🌲</w:t>
      </w:r>
      <w:bookmarkEnd w:id="20"/>
    </w:p>
    <w:p>
      <w:pPr>
        <w:pStyle w:val="FirstParagraph"/>
      </w:pPr>
      <w:r>
        <w:t xml:space="preserve">Chihara and Hesterberg (2018) provide a data set concerning the growth of Black Spruce Trees. According to these authors:</w:t>
      </w:r>
    </w:p>
    <w:p>
      <w:pPr>
        <w:pStyle w:val="BlockText"/>
      </w:pP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w:t>
      </w:r>
    </w:p>
    <w:p>
      <w:pPr>
        <w:pStyle w:val="BlockText"/>
      </w:pPr>
      <w:r>
        <w:t xml:space="preserve">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w:t>
      </w:r>
    </w:p>
    <w:p>
      <w:pPr>
        <w:pStyle w:val="BlockText"/>
      </w:pPr>
      <w:r>
        <w:t xml:space="preserve">The researcher wanted to see whether the addition of fertilizer or the removal of competition from other plants (by weeding) affected the growth of these seedlings."</w:t>
      </w:r>
    </w:p>
    <w:p>
      <w:pPr>
        <w:pStyle w:val="Heading1"/>
      </w:pPr>
      <w:bookmarkStart w:id="21" w:name="the-research-question"/>
      <w:r>
        <w:t xml:space="preserve">The Research Question 🌲</w:t>
      </w:r>
      <w:bookmarkEnd w:id="21"/>
    </w:p>
    <w:p>
      <w:pPr>
        <w:pStyle w:val="BlockText"/>
      </w:pPr>
      <w:r>
        <w:t xml:space="preserve">We are going to consider the</w:t>
      </w:r>
      <w:r>
        <w:t xml:space="preserve"> </w:t>
      </w:r>
      <w:r>
        <w:rPr>
          <w:i/>
        </w:rPr>
        <w:t xml:space="preserve">potentially causal</w:t>
      </w:r>
      <w:r>
        <w:t xml:space="preserve"> </w:t>
      </w:r>
      <w:r>
        <w:t xml:space="preserve">estimate of the effect of</w:t>
      </w:r>
      <w:r>
        <w:t xml:space="preserve"> </w:t>
      </w:r>
      <w:r>
        <w:rPr>
          <w:i/>
        </w:rPr>
        <w:t xml:space="preserve">fertilizer</w:t>
      </w:r>
      <w:r>
        <w:t xml:space="preserve"> </w:t>
      </w:r>
      <w:r>
        <w:t xml:space="preserve">on</w:t>
      </w:r>
      <w:r>
        <w:t xml:space="preserve"> </w:t>
      </w:r>
      <w:r>
        <w:rPr>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
        </w:rPr>
        <w:t xml:space="preserve">fertilizer</w:t>
      </w:r>
      <w:r>
        <w:t xml:space="preserve"> </w:t>
      </w:r>
      <w:r>
        <w:t xml:space="preserve">as having a causal effect on</w:t>
      </w:r>
      <w:r>
        <w:t xml:space="preserve"> </w:t>
      </w:r>
      <w:r>
        <w:rPr>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p>
      <w:pPr>
        <w:pStyle w:val="Heading1"/>
      </w:pPr>
      <w:bookmarkStart w:id="22" w:name="causality"/>
      <w:r>
        <w:t xml:space="preserve">Causality 🌲</w:t>
      </w:r>
      <w:bookmarkEnd w:id="22"/>
    </w:p>
    <w:p>
      <w:pPr>
        <w:pStyle w:val="FirstParagraph"/>
      </w:pPr>
      <w:r>
        <w:drawing>
          <wp:inline>
            <wp:extent cx="5943600" cy="2403052"/>
            <wp:effectExtent b="0" l="0" r="0" t="0"/>
            <wp:docPr descr="" title="" id="1" name="Picture"/>
            <a:graphic>
              <a:graphicData uri="http://schemas.openxmlformats.org/drawingml/2006/picture">
                <pic:pic>
                  <pic:nvPicPr>
                    <pic:cNvPr descr="causality.png" id="0" name="Picture"/>
                    <pic:cNvPicPr>
                      <a:picLocks noChangeArrowheads="1" noChangeAspect="1"/>
                    </pic:cNvPicPr>
                  </pic:nvPicPr>
                  <pic:blipFill>
                    <a:blip r:embed="rId23"/>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pStyle w:val="Compact"/>
        <w:numPr>
          <w:numId w:val="1001"/>
          <w:ilvl w:val="0"/>
        </w:numPr>
      </w:pPr>
      <m:oMath>
        <m:r>
          <m:t>x</m:t>
        </m:r>
      </m:oMath>
      <w:r>
        <w:t xml:space="preserve"> </w:t>
      </w:r>
      <w:r>
        <w:t xml:space="preserve">is correlated with</w:t>
      </w:r>
      <w:r>
        <w:t xml:space="preserve"> </w:t>
      </w:r>
      <m:oMath>
        <m:r>
          <m:t>y</m:t>
        </m:r>
      </m:oMath>
      <w:r>
        <w:t xml:space="preserve">.</w:t>
      </w:r>
    </w:p>
    <w:p>
      <w:pPr>
        <w:pStyle w:val="Compact"/>
        <w:numPr>
          <w:numId w:val="1001"/>
          <w:ilvl w:val="0"/>
        </w:numPr>
      </w:pPr>
      <m:oMath>
        <m:r>
          <m:t>x</m:t>
        </m:r>
      </m:oMath>
      <w:r>
        <w:t xml:space="preserve"> </w:t>
      </w:r>
      <w:r>
        <w:t xml:space="preserve">precedes</w:t>
      </w:r>
      <w:r>
        <w:t xml:space="preserve"> </w:t>
      </w:r>
      <m:oMath>
        <m:r>
          <m:t>y</m:t>
        </m:r>
      </m:oMath>
      <w:r>
        <w:t xml:space="preserve"> </w:t>
      </w:r>
      <w:r>
        <w:t xml:space="preserve">in time order.</w:t>
      </w:r>
    </w:p>
    <w:p>
      <w:pPr>
        <w:pStyle w:val="Compact"/>
        <w:numPr>
          <w:numId w:val="1001"/>
          <w:ilvl w:val="0"/>
        </w:numPr>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1" name="Picture"/>
            <a:graphic>
              <a:graphicData uri="http://schemas.openxmlformats.org/drawingml/2006/picture">
                <pic:pic>
                  <pic:nvPicPr>
                    <pic:cNvPr descr="spruce.png" id="0" name="Picture"/>
                    <pic:cNvPicPr>
                      <a:picLocks noChangeArrowheads="1" noChangeAspect="1"/>
                    </pic:cNvPicPr>
                  </pic:nvPicPr>
                  <pic:blipFill>
                    <a:blip r:embed="rId24"/>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5">
        <w:r>
          <w:rPr>
            <w:rStyle w:val="Hyperlink"/>
          </w:rPr>
          <w:t xml:space="preserve">this demo</w:t>
        </w:r>
      </w:hyperlink>
      <w:r>
        <w:t xml:space="preserve">).</w:t>
      </w:r>
    </w:p>
    <w:p>
      <w:pPr>
        <w:pStyle w:val="Heading1"/>
      </w:pPr>
      <w:bookmarkStart w:id="26" w:name="setup"/>
      <w:r>
        <w:t xml:space="preserve">Setup 🌲</w:t>
      </w:r>
      <w:bookmarkEnd w:id="26"/>
    </w:p>
    <w:p>
      <w:pPr>
        <w:pStyle w:val="Heading2"/>
      </w:pPr>
      <w:bookmarkStart w:id="27" w:name="get-data"/>
      <w:r>
        <w:t xml:space="preserve">Get Data</w:t>
      </w:r>
      <w:bookmarkEnd w:id="27"/>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rPr>
          <w:rStyle w:val="KeywordTok"/>
        </w:rPr>
        <w:t xml:space="preserve">quietly</w:t>
      </w:r>
      <w:r>
        <w:rPr>
          <w:rStyle w:val="NormalTok"/>
        </w:rPr>
        <w:t xml:space="preserve">: cd </w:t>
      </w:r>
      <w:r>
        <w:rPr>
          <w:rStyle w:val="StringTok"/>
        </w:rPr>
        <w:t xml:space="preserve">"/Users/agrogan/Desktop/newstuff/spruce"</w:t>
      </w:r>
      <w:r>
        <w:br/>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p>
      <w:pPr>
        <w:pStyle w:val="Heading2"/>
      </w:pPr>
      <w:bookmarkStart w:id="28" w:name="dataset-description"/>
      <w:r>
        <w:t xml:space="preserve">Dataset Description</w:t>
      </w:r>
      <w:bookmarkEnd w:id="28"/>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w:t>
      </w:r>
      <w:r>
        <w:rPr>
          <w:rStyle w:val="KeywordTok"/>
        </w:rPr>
        <w:t xml:space="preserve">obs</w:t>
      </w:r>
      <w:r>
        <w:rPr>
          <w:rStyle w:val="NormalTok"/>
        </w:rPr>
        <w:t xml:space="preserve">:            72                          </w:t>
      </w:r>
      <w:r>
        <w:br/>
      </w:r>
      <w:r>
        <w:rPr>
          <w:rStyle w:val="NormalTok"/>
        </w:rPr>
        <w:t xml:space="preserve"> vars:             9                          26 Apr 2020 12:18</w:t>
      </w:r>
      <w:r>
        <w:br/>
      </w:r>
      <w:r>
        <w:rPr>
          <w:rStyle w:val="NormalTok"/>
        </w:rPr>
        <w:t xml:space="preserve"> </w:t>
      </w:r>
      <w:r>
        <w:rPr>
          <w:rStyle w:val="KeywordTok"/>
        </w:rPr>
        <w:t xml:space="preserve">size</w:t>
      </w:r>
      <w:r>
        <w:rPr>
          <w:rStyle w:val="NormalTok"/>
        </w:rPr>
        <w:t xml:space="preserve">:         4,320                          </w:t>
      </w:r>
      <w:r>
        <w:br/>
      </w:r>
      <w:r>
        <w:rPr>
          <w:rStyle w:val="NormalTok"/>
        </w:rPr>
        <w:t xml:space="preserve">─────────────────────────────────────────────────────────────────────────────────────────────</w:t>
      </w:r>
      <w:r>
        <w:br/>
      </w:r>
      <w:r>
        <w:rPr>
          <w:rStyle w:val="NormalTok"/>
        </w:rPr>
        <w:t xml:space="preserve">              storage   </w:t>
      </w:r>
      <w:r>
        <w:rPr>
          <w:rStyle w:val="KeywordTok"/>
        </w:rPr>
        <w:t xml:space="preserve">display</w:t>
      </w:r>
      <w:r>
        <w:rPr>
          <w:rStyle w:val="NormalTok"/>
        </w:rPr>
        <w:t xml:space="preserve">    </w:t>
      </w:r>
      <w:r>
        <w:rPr>
          <w:rStyle w:val="OtherTok"/>
        </w:rPr>
        <w:t xml:space="preserve">value</w:t>
      </w:r>
      <w:r>
        <w:br/>
      </w:r>
      <w:r>
        <w:rPr>
          <w:rStyle w:val="KeywordTok"/>
        </w:rPr>
        <w:t xml:space="preserve">variable</w:t>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p>
      <w:pPr>
        <w:pStyle w:val="Heading1"/>
      </w:pPr>
      <w:bookmarkStart w:id="29" w:name="spruce-data-and-causal-criteria"/>
      <w:r>
        <w:t xml:space="preserve">Spruce Data And Causal Criteria 🌲</w:t>
      </w:r>
      <w:bookmarkEnd w:id="29"/>
    </w:p>
    <w:p>
      <w:pPr>
        <w:pStyle w:val="FirstParagraph"/>
      </w:pPr>
      <w:r>
        <w:t xml:space="preserve">Let’s consider in turn each of the criteria for causality.</w:t>
      </w:r>
    </w:p>
    <w:p>
      <w:pPr>
        <w:pStyle w:val="Compact"/>
        <w:numPr>
          <w:numId w:val="1002"/>
          <w:ilvl w:val="0"/>
        </w:numPr>
      </w:pPr>
      <w:r>
        <w:t xml:space="preserve">Empirically,</w:t>
      </w:r>
      <w:r>
        <w:t xml:space="preserve"> </w:t>
      </w:r>
      <w:r>
        <w:rPr>
          <w:i/>
        </w:rPr>
        <w:t xml:space="preserve">fertilizer</w:t>
      </w:r>
      <w:r>
        <w:t xml:space="preserve"> </w:t>
      </w:r>
      <w:r>
        <w:t xml:space="preserve">is correlated with</w:t>
      </w:r>
      <w:r>
        <w:t xml:space="preserve"> </w:t>
      </w:r>
      <w:r>
        <w:rPr>
          <w:i/>
        </w:rPr>
        <w:t xml:space="preserve">tree height</w:t>
      </w:r>
      <w:r>
        <w:t xml:space="preserve">.</w:t>
      </w:r>
    </w:p>
    <w:p>
      <w:pPr>
        <w:pStyle w:val="CaptionedFigure"/>
      </w:pPr>
      <w:r>
        <w:drawing>
          <wp:inline>
            <wp:extent cx="5943600" cy="3958437"/>
            <wp:effectExtent b="0" l="0" r="0" t="0"/>
            <wp:docPr descr="Scatterplot of Tree Height At Year 5 By Fertilizer Use" title="" id="1" name="Picture"/>
            <a:graphic>
              <a:graphicData uri="http://schemas.openxmlformats.org/drawingml/2006/picture">
                <pic:pic>
                  <pic:nvPicPr>
                    <pic:cNvPr descr="myscatter.png" id="0" name="Picture"/>
                    <pic:cNvPicPr>
                      <a:picLocks noChangeArrowheads="1" noChangeAspect="1"/>
                    </pic:cNvPicPr>
                  </pic:nvPicPr>
                  <pic:blipFill>
                    <a:blip r:embed="rId30"/>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Scatterplot of Tree Height At Year 5 By Fertilizer Use</w:t>
      </w:r>
    </w:p>
    <w:p>
      <w:pPr>
        <w:pStyle w:val="Compact"/>
        <w:numPr>
          <w:numId w:val="1003"/>
          <w:ilvl w:val="0"/>
        </w:numPr>
      </w:pPr>
      <w:r>
        <w:t xml:space="preserve">From the research design, we know that</w:t>
      </w:r>
      <w:r>
        <w:t xml:space="preserve"> </w:t>
      </w:r>
      <w:r>
        <w:rPr>
          <w:i/>
        </w:rPr>
        <w:t xml:space="preserve">fertilizer</w:t>
      </w:r>
      <w:r>
        <w:t xml:space="preserve"> </w:t>
      </w:r>
      <w:r>
        <w:t xml:space="preserve">comes prior to</w:t>
      </w:r>
      <w:r>
        <w:t xml:space="preserve"> </w:t>
      </w:r>
      <w:r>
        <w:rPr>
          <w:i/>
        </w:rPr>
        <w:t xml:space="preserve">tree height</w:t>
      </w:r>
      <w:r>
        <w:t xml:space="preserve"> </w:t>
      </w:r>
      <w:r>
        <w:t xml:space="preserve">at year 5.</w:t>
      </w:r>
    </w:p>
    <w:p>
      <w:pPr>
        <w:pStyle w:val="Compact"/>
        <w:numPr>
          <w:numId w:val="1003"/>
          <w:ilvl w:val="0"/>
        </w:numPr>
      </w:pPr>
      <w:r>
        <w:t xml:space="preserve">We are going to use various statistical strategies–detailed below–to assess whether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can be accounted for by any third variable.</w:t>
      </w:r>
    </w:p>
    <w:p>
      <w:pPr>
        <w:pStyle w:val="Heading1"/>
      </w:pPr>
      <w:bookmarkStart w:id="31" w:name="analyses"/>
      <w:r>
        <w:t xml:space="preserve">Analyses 🌲</w:t>
      </w:r>
      <w:bookmarkEnd w:id="31"/>
    </w:p>
    <w:p>
      <w:pPr>
        <w:pStyle w:val="Heading2"/>
      </w:pPr>
      <w:bookmarkStart w:id="32" w:name="t-test"/>
      <w:r>
        <w:t xml:space="preserve">t Test</w:t>
      </w:r>
      <w:bookmarkEnd w:id="32"/>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t>=</m:t>
        </m:r>
        <m:f>
          <m:fPr>
            <m:type m:val="bar"/>
          </m:fPr>
          <m:num>
            <m:sSub>
              <m:e>
                <m:bar>
                  <m:barPr>
                    <m:pos m:val="top"/>
                  </m:barPr>
                  <m:e>
                    <m:r>
                      <m:t>x</m:t>
                    </m:r>
                  </m:e>
                </m:bar>
              </m:e>
              <m:sub>
                <m:r>
                  <m:t>2</m:t>
                </m:r>
              </m:sub>
            </m:sSub>
            <m:r>
              <m:t>−</m:t>
            </m:r>
            <m:sSub>
              <m:e>
                <m:bar>
                  <m:barPr>
                    <m:pos m:val="top"/>
                  </m:barPr>
                  <m:e>
                    <m:r>
                      <m:t>x</m:t>
                    </m:r>
                  </m:e>
                </m:bar>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Dev.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Ho: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p>
      <w:pPr>
        <w:pStyle w:val="Heading2"/>
      </w:pPr>
      <w:bookmarkStart w:id="33" w:name="ols-regression"/>
      <w:r>
        <w:t xml:space="preserve">OLS Regression</w:t>
      </w:r>
      <w:bookmarkEnd w:id="33"/>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w:r>
        <w:t xml:space="preserve">A regression controls for the additional observed variables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p>
      <w:pPr>
        <w:pStyle w:val="Heading2"/>
      </w:pPr>
      <w:bookmarkStart w:id="34" w:name="propensity-scores"/>
      <w:r>
        <w:t xml:space="preserve">Propensity Scores</w:t>
      </w:r>
      <w:bookmarkEnd w:id="34"/>
    </w:p>
    <w:p>
      <w:pPr>
        <w:pStyle w:val="FirstParagraph"/>
      </w:pPr>
      <w:r>
        <w:t xml:space="preserve">The propensity score estimates the probability of being administered the treatment, in this example,</w:t>
      </w:r>
      <w:r>
        <w:t xml:space="preserve"> </w:t>
      </w:r>
      <w:r>
        <w:rPr>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Robust</w:t>
      </w:r>
      <w:r>
        <w:br/>
      </w:r>
      <w:r>
        <w:rPr>
          <w:rStyle w:val="NormalTok"/>
        </w:rPr>
        <w:t xml:space="preserve">     Height5 │      Coef.   Std.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p>
      <w:pPr>
        <w:pStyle w:val="Heading3"/>
      </w:pPr>
      <w:bookmarkStart w:id="36" w:name="X301931f3f8e2ba6aee5bc40d5676bdb498594f3"/>
      <w:r>
        <w:t xml:space="preserve">Assess Balance of Propensity Score Model</w:t>
      </w:r>
      <w:r>
        <w:t xml:space="preserve"> </w:t>
      </w:r>
      <w:r>
        <w:rPr>
          <w:rStyle w:val="FootnoteReference"/>
        </w:rPr>
        <w:footnoteReference w:id="35"/>
      </w:r>
      <w:bookmarkEnd w:id="36"/>
    </w:p>
    <w:p>
      <w:pPr>
        <w:pStyle w:val="SourceCode"/>
      </w:pPr>
      <w:r>
        <w:rPr>
          <w:rStyle w:val="NormalTok"/>
        </w:rPr>
        <w:t xml:space="preserve">. </w:t>
      </w:r>
      <w:r>
        <w:br/>
      </w:r>
      <w:r>
        <w:rPr>
          <w:rStyle w:val="NormalTok"/>
        </w:rPr>
        <w:t xml:space="preserve">. </w:t>
      </w:r>
      <w:r>
        <w:rPr>
          <w:rStyle w:val="KeywordTok"/>
        </w:rPr>
        <w:t xml:space="preserve">recode</w:t>
      </w:r>
      <w:r>
        <w:rPr>
          <w:rStyle w:val="NormalTok"/>
        </w:rPr>
        <w:t xml:space="preserve"> Fertilizer (2=1)(1=0), </w:t>
      </w:r>
      <w:r>
        <w:rPr>
          <w:rStyle w:val="KeywordTok"/>
        </w:rPr>
        <w:t xml:space="preserve">generate</w:t>
      </w:r>
      <w:r>
        <w:rPr>
          <w:rStyle w:val="NormalTok"/>
        </w:rPr>
        <w:t xml:space="preserve">(</w:t>
      </w:r>
      <w:r>
        <w:rPr>
          <w:rStyle w:val="FunctionTok"/>
        </w:rPr>
        <w:t xml:space="preserve">F</w:t>
      </w:r>
      <w:r>
        <w:rPr>
          <w:rStyle w:val="NormalTok"/>
        </w:rPr>
        <w:t xml:space="preserve">) </w:t>
      </w:r>
      <w:r>
        <w:rPr>
          <w:rStyle w:val="CommentTok"/>
        </w:rPr>
        <w:t xml:space="preserve">// recode as 1/0</w:t>
      </w:r>
      <w:r>
        <w:br/>
      </w:r>
      <w:r>
        <w:rPr>
          <w:rStyle w:val="NormalTok"/>
        </w:rPr>
        <w:t xml:space="preserve">(72 differences between Fertilizer and </w:t>
      </w:r>
      <w:r>
        <w:rPr>
          <w:rStyle w:val="FunctionTok"/>
        </w:rPr>
        <w:t xml:space="preserve">F</w:t>
      </w:r>
      <w:r>
        <w:rPr>
          <w:rStyle w:val="NormalTok"/>
        </w:rPr>
        <w:t xml:space="preserve">)</w:t>
      </w:r>
      <w:r>
        <w:br/>
      </w:r>
      <w:r>
        <w:br/>
      </w:r>
      <w:r>
        <w:rPr>
          <w:rStyle w:val="NormalTok"/>
        </w:rPr>
        <w:t xml:space="preserve">. </w:t>
      </w:r>
      <w:r>
        <w:rPr>
          <w:rStyle w:val="KeywordTok"/>
        </w:rPr>
        <w:t xml:space="preserve">logit</w:t>
      </w:r>
      <w:r>
        <w:rPr>
          <w:rStyle w:val="NormalTok"/>
        </w:rPr>
        <w:t xml:space="preserve"> </w:t>
      </w:r>
      <w:r>
        <w:rPr>
          <w:rStyle w:val="FunctionTok"/>
        </w:rPr>
        <w:t xml:space="preserve">F</w:t>
      </w:r>
      <w:r>
        <w:rPr>
          <w:rStyle w:val="NormalTok"/>
        </w:rPr>
        <w:t xml:space="preserve"> Height0 Competition </w:t>
      </w:r>
      <w:r>
        <w:rPr>
          <w:rStyle w:val="CommentTok"/>
        </w:rPr>
        <w:t xml:space="preserve">// logit model of propensity score</w:t>
      </w:r>
      <w:r>
        <w:br/>
      </w:r>
      <w:r>
        <w:br/>
      </w:r>
      <w:r>
        <w:rPr>
          <w:rStyle w:val="NormalTok"/>
        </w:rPr>
        <w:t xml:space="preserve">Iteration 0:   </w:t>
      </w:r>
      <w:r>
        <w:rPr>
          <w:rStyle w:val="FunctionTok"/>
        </w:rPr>
        <w:t xml:space="preserve">log</w:t>
      </w:r>
      <w:r>
        <w:rPr>
          <w:rStyle w:val="NormalTok"/>
        </w:rPr>
        <w:t xml:space="preserve"> likelihood = -49.906597  </w:t>
      </w:r>
      <w:r>
        <w:br/>
      </w:r>
      <w:r>
        <w:rPr>
          <w:rStyle w:val="NormalTok"/>
        </w:rPr>
        <w:t xml:space="preserve">Iteration 1:   </w:t>
      </w:r>
      <w:r>
        <w:rPr>
          <w:rStyle w:val="FunctionTok"/>
        </w:rPr>
        <w:t xml:space="preserve">log</w:t>
      </w:r>
      <w:r>
        <w:rPr>
          <w:rStyle w:val="NormalTok"/>
        </w:rPr>
        <w:t xml:space="preserve"> likelihood = -49.898334  </w:t>
      </w:r>
      <w:r>
        <w:br/>
      </w:r>
      <w:r>
        <w:rPr>
          <w:rStyle w:val="NormalTok"/>
        </w:rPr>
        <w:t xml:space="preserve">Iteration 2:   </w:t>
      </w:r>
      <w:r>
        <w:rPr>
          <w:rStyle w:val="FunctionTok"/>
        </w:rPr>
        <w:t xml:space="preserve">log</w:t>
      </w:r>
      <w:r>
        <w:rPr>
          <w:rStyle w:val="NormalTok"/>
        </w:rPr>
        <w:t xml:space="preserve"> likelihood = -49.898334  </w:t>
      </w:r>
      <w:r>
        <w:br/>
      </w:r>
      <w:r>
        <w:br/>
      </w:r>
      <w:r>
        <w:rPr>
          <w:rStyle w:val="NormalTok"/>
        </w:rPr>
        <w:t xml:space="preserve">Logistic regression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LR </w:t>
      </w:r>
      <w:r>
        <w:rPr>
          <w:rStyle w:val="FunctionTok"/>
        </w:rPr>
        <w:t xml:space="preserve">chi2</w:t>
      </w:r>
      <w:r>
        <w:rPr>
          <w:rStyle w:val="NormalTok"/>
        </w:rPr>
        <w:t xml:space="preserve">(2)        =       0.02</w:t>
      </w:r>
      <w:r>
        <w:br/>
      </w:r>
      <w:r>
        <w:rPr>
          <w:rStyle w:val="NormalTok"/>
        </w:rPr>
        <w:t xml:space="preserve">                                                Prob &gt; </w:t>
      </w:r>
      <w:r>
        <w:rPr>
          <w:rStyle w:val="FunctionTok"/>
        </w:rPr>
        <w:t xml:space="preserve">chi2</w:t>
      </w:r>
      <w:r>
        <w:rPr>
          <w:rStyle w:val="NormalTok"/>
        </w:rPr>
        <w:t xml:space="preserve">       =     0.9918</w:t>
      </w:r>
      <w:r>
        <w:br/>
      </w:r>
      <w:r>
        <w:rPr>
          <w:rStyle w:val="NormalTok"/>
        </w:rPr>
        <w:t xml:space="preserve">Log likelihood = -49.898334                     Pseudo R2         =     0.0002</w:t>
      </w:r>
      <w:r>
        <w:br/>
      </w:r>
      <w:r>
        <w:br/>
      </w:r>
      <w:r>
        <w:rPr>
          <w:rStyle w:val="NormalTok"/>
        </w:rPr>
        <w:t xml:space="preserve">─────────────┬────────────────────────────────────────────────────────────────</w:t>
      </w:r>
      <w:r>
        <w:br/>
      </w:r>
      <w:r>
        <w:rPr>
          <w:rStyle w:val="NormalTok"/>
        </w:rPr>
        <w:t xml:space="preserve">           </w:t>
      </w:r>
      <w:r>
        <w:rPr>
          <w:rStyle w:val="FunctionTok"/>
        </w:rPr>
        <w:t xml:space="preserve">F</w:t>
      </w:r>
      <w:r>
        <w:rPr>
          <w:rStyle w:val="NormalTok"/>
        </w:rPr>
        <w:t xml:space="preserve"> │      Coef.   Std. Err.      z    P&gt;|z|     [95% Conf. Interval]</w:t>
      </w:r>
      <w:r>
        <w:br/>
      </w:r>
      <w:r>
        <w:rPr>
          <w:rStyle w:val="NormalTok"/>
        </w:rPr>
        <w:t xml:space="preserve">─────────────┼────────────────────────────────────────────────────────────────</w:t>
      </w:r>
      <w:r>
        <w:br/>
      </w:r>
      <w:r>
        <w:rPr>
          <w:rStyle w:val="NormalTok"/>
        </w:rPr>
        <w:t xml:space="preserve">     Height0 │  -.0150248   .1168956    -0.13   0.898    -.2441361    .2140864</w:t>
      </w:r>
      <w:r>
        <w:br/>
      </w:r>
      <w:r>
        <w:rPr>
          <w:rStyle w:val="NormalTok"/>
        </w:rPr>
        <w:t xml:space="preserve"> Competition │   .0068462   .4744608     0.01   0.988    -.9230798    .9367722</w:t>
      </w:r>
      <w:r>
        <w:br/>
      </w:r>
      <w:r>
        <w:rPr>
          <w:rStyle w:val="NormalTok"/>
        </w:rPr>
        <w:t xml:space="preserve">       </w:t>
      </w:r>
      <w:r>
        <w:rPr>
          <w:rStyle w:val="DataTypeTok"/>
        </w:rPr>
        <w:t xml:space="preserve">_cons</w:t>
      </w:r>
      <w:r>
        <w:rPr>
          <w:rStyle w:val="NormalTok"/>
        </w:rPr>
        <w:t xml:space="preserve"> │   .2086768   1.786467     0.12   0.907    -3.292734    3.710088</w:t>
      </w:r>
      <w:r>
        <w:br/>
      </w:r>
      <w:r>
        <w:rPr>
          <w:rStyle w:val="NormalTok"/>
        </w:rPr>
        <w:t xml:space="preserve">─────────────┴────────────────────────────────────────────────────────────────</w:t>
      </w:r>
      <w:r>
        <w:br/>
      </w:r>
      <w:r>
        <w:br/>
      </w:r>
      <w:r>
        <w:rPr>
          <w:rStyle w:val="NormalTok"/>
        </w:rPr>
        <w:t xml:space="preserve">. </w:t>
      </w:r>
      <w:r>
        <w:rPr>
          <w:rStyle w:val="KeywordTok"/>
        </w:rPr>
        <w:t xml:space="preserve">predict</w:t>
      </w:r>
      <w:r>
        <w:rPr>
          <w:rStyle w:val="NormalTok"/>
        </w:rPr>
        <w:t xml:space="preserve"> pscore </w:t>
      </w:r>
      <w:r>
        <w:rPr>
          <w:rStyle w:val="CommentTok"/>
        </w:rPr>
        <w:t xml:space="preserve">// predict propensity score</w:t>
      </w:r>
      <w:r>
        <w:br/>
      </w:r>
      <w:r>
        <w:rPr>
          <w:rStyle w:val="NormalTok"/>
        </w:rPr>
        <w:t xml:space="preserve">(option pr assumed; Pr(</w:t>
      </w:r>
      <w:r>
        <w:rPr>
          <w:rStyle w:val="FunctionTok"/>
        </w:rPr>
        <w:t xml:space="preserve">F</w:t>
      </w:r>
      <w:r>
        <w:rPr>
          <w:rStyle w:val="NormalTok"/>
        </w:rPr>
        <w:t xml:space="preserve">))</w:t>
      </w:r>
      <w:r>
        <w:br/>
      </w:r>
      <w:r>
        <w:br/>
      </w:r>
      <w:r>
        <w:rPr>
          <w:rStyle w:val="NormalTok"/>
        </w:rPr>
        <w:t xml:space="preserve">.     </w:t>
      </w:r>
      <w:r>
        <w:br/>
      </w:r>
      <w:r>
        <w:rPr>
          <w:rStyle w:val="NormalTok"/>
        </w:rPr>
        <w:t xml:space="preserve">. </w:t>
      </w:r>
      <w:r>
        <w:rPr>
          <w:rStyle w:val="KeywordTok"/>
        </w:rPr>
        <w:t xml:space="preserve">twoway</w:t>
      </w:r>
      <w:r>
        <w:rPr>
          <w:rStyle w:val="NormalTok"/>
        </w:rPr>
        <w:t xml:space="preserve"> (</w:t>
      </w:r>
      <w:r>
        <w:rPr>
          <w:rStyle w:val="KeywordTok"/>
        </w:rPr>
        <w:t xml:space="preserve">kdensity</w:t>
      </w:r>
      <w:r>
        <w:rPr>
          <w:rStyle w:val="NormalTok"/>
        </w:rPr>
        <w:t xml:space="preserve"> pscore </w:t>
      </w:r>
      <w:r>
        <w:rPr>
          <w:rStyle w:val="KeywordTok"/>
        </w:rPr>
        <w:t xml:space="preserve">if</w:t>
      </w:r>
      <w:r>
        <w:rPr>
          <w:rStyle w:val="NormalTok"/>
        </w:rPr>
        <w:t xml:space="preserve"> </w:t>
      </w:r>
      <w:r>
        <w:rPr>
          <w:rStyle w:val="FunctionTok"/>
        </w:rPr>
        <w:t xml:space="preserve">F</w:t>
      </w:r>
      <w:r>
        <w:rPr>
          <w:rStyle w:val="NormalTok"/>
        </w:rPr>
        <w:t xml:space="preserve"> == 1) </w:t>
      </w:r>
      <w:r>
        <w:rPr>
          <w:rStyle w:val="CommentTok"/>
        </w:rPr>
        <w:t xml:space="preserve">/// </w:t>
      </w:r>
      <w:r>
        <w:br/>
      </w:r>
      <w:r>
        <w:rPr>
          <w:rStyle w:val="NormalTok"/>
        </w:rPr>
        <w:t xml:space="preserve">&gt; (</w:t>
      </w:r>
      <w:r>
        <w:rPr>
          <w:rStyle w:val="KeywordTok"/>
        </w:rPr>
        <w:t xml:space="preserve">kdensity</w:t>
      </w:r>
      <w:r>
        <w:rPr>
          <w:rStyle w:val="NormalTok"/>
        </w:rPr>
        <w:t xml:space="preserve"> pscore </w:t>
      </w:r>
      <w:r>
        <w:rPr>
          <w:rStyle w:val="KeywordTok"/>
        </w:rPr>
        <w:t xml:space="preserve">if</w:t>
      </w:r>
      <w:r>
        <w:rPr>
          <w:rStyle w:val="NormalTok"/>
        </w:rPr>
        <w:t xml:space="preserve"> </w:t>
      </w:r>
      <w:r>
        <w:rPr>
          <w:rStyle w:val="FunctionTok"/>
        </w:rPr>
        <w:t xml:space="preserve">F</w:t>
      </w:r>
      <w:r>
        <w:rPr>
          <w:rStyle w:val="NormalTok"/>
        </w:rPr>
        <w:t xml:space="preserve"> == 0), </w:t>
      </w:r>
      <w:r>
        <w:rPr>
          <w:rStyle w:val="CommentTok"/>
        </w:rPr>
        <w:t xml:space="preserve">///</w:t>
      </w:r>
      <w:r>
        <w:br/>
      </w:r>
      <w:r>
        <w:rPr>
          <w:rStyle w:val="NormalTok"/>
        </w:rPr>
        <w:t xml:space="preserve">&gt; </w:t>
      </w:r>
      <w:r>
        <w:rPr>
          <w:rStyle w:val="BaseNTok"/>
        </w:rPr>
        <w:t xml:space="preserve">title</w:t>
      </w:r>
      <w:r>
        <w:rPr>
          <w:rStyle w:val="NormalTok"/>
        </w:rPr>
        <w:t xml:space="preserve">(</w:t>
      </w:r>
      <w:r>
        <w:rPr>
          <w:rStyle w:val="StringTok"/>
        </w:rPr>
        <w:t xml:space="preserve">"Assessing Balance of Propensity Score"</w:t>
      </w:r>
      <w:r>
        <w:rPr>
          <w:rStyle w:val="NormalTok"/>
        </w:rPr>
        <w:t xml:space="preserve">) </w:t>
      </w:r>
      <w:r>
        <w:rPr>
          <w:rStyle w:val="CommentTok"/>
        </w:rPr>
        <w:t xml:space="preserve">///</w:t>
      </w:r>
      <w:r>
        <w:br/>
      </w:r>
      <w:r>
        <w:rPr>
          <w:rStyle w:val="NormalTok"/>
        </w:rPr>
        <w:t xml:space="preserve">&gt; </w:t>
      </w:r>
      <w:r>
        <w:rPr>
          <w:rStyle w:val="BaseNTok"/>
        </w:rPr>
        <w:t xml:space="preserve">ytitle</w:t>
      </w:r>
      <w:r>
        <w:rPr>
          <w:rStyle w:val="NormalTok"/>
        </w:rPr>
        <w:t xml:space="preserve">(</w:t>
      </w:r>
      <w:r>
        <w:rPr>
          <w:rStyle w:val="StringTok"/>
        </w:rPr>
        <w:t xml:space="preserve">"Density"</w:t>
      </w:r>
      <w:r>
        <w:rPr>
          <w:rStyle w:val="NormalTok"/>
        </w:rPr>
        <w:t xml:space="preserve">) </w:t>
      </w:r>
      <w:r>
        <w:rPr>
          <w:rStyle w:val="CommentTok"/>
        </w:rPr>
        <w:t xml:space="preserve">/// </w:t>
      </w:r>
      <w:r>
        <w:br/>
      </w:r>
      <w:r>
        <w:rPr>
          <w:rStyle w:val="NormalTok"/>
        </w:rPr>
        <w:t xml:space="preserve">&gt;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"Fertilizer"</w:t>
      </w:r>
      <w:r>
        <w:rPr>
          <w:rStyle w:val="NormalTok"/>
        </w:rPr>
        <w:t xml:space="preserve"> 2 </w:t>
      </w:r>
      <w:r>
        <w:rPr>
          <w:rStyle w:val="StringTok"/>
        </w:rPr>
        <w:t xml:space="preserve">"No Fertilizer"</w:t>
      </w:r>
      <w:r>
        <w:rPr>
          <w:rStyle w:val="NormalTok"/>
        </w:rPr>
        <w:t xml:space="preserve">)) </w:t>
      </w:r>
      <w:r>
        <w:rPr>
          <w:rStyle w:val="CommentTok"/>
        </w:rPr>
        <w:t xml:space="preserve">///</w:t>
      </w:r>
      <w:r>
        <w:br/>
      </w:r>
      <w:r>
        <w:rPr>
          <w:rStyle w:val="NormalTok"/>
        </w:rPr>
        <w:t xml:space="preserve">&gt; </w:t>
      </w:r>
      <w:r>
        <w:rPr>
          <w:rStyle w:val="DecValTok"/>
        </w:rPr>
        <w:t xml:space="preserve">scheme</w:t>
      </w:r>
      <w:r>
        <w:rPr>
          <w:rStyle w:val="NormalTok"/>
        </w:rPr>
        <w:t xml:space="preserve">(michigan)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mydensity.png written </w:t>
      </w:r>
      <w:r>
        <w:rPr>
          <w:rStyle w:val="KeywordTok"/>
        </w:rPr>
        <w:t xml:space="preserve">in</w:t>
      </w:r>
      <w:r>
        <w:rPr>
          <w:rStyle w:val="NormalTok"/>
        </w:rPr>
        <w:t xml:space="preserve"> PNG </w:t>
      </w:r>
      <w:r>
        <w:rPr>
          <w:rStyle w:val="KeywordTok"/>
        </w:rPr>
        <w:t xml:space="preserve">format</w:t>
      </w:r>
      <w:r>
        <w:rPr>
          <w:rStyle w:val="NormalTok"/>
        </w:rPr>
        <w:t xml:space="preserve">)</w:t>
      </w:r>
    </w:p>
    <w:p>
      <w:pPr>
        <w:pStyle w:val="CaptionedFigure"/>
      </w:pPr>
      <w:r>
        <w:drawing>
          <wp:inline>
            <wp:extent cx="5943600" cy="3958437"/>
            <wp:effectExtent b="0" l="0" r="0" t="0"/>
            <wp:docPr descr="Density Plot of Propensity Score" title="" id="1" name="Picture"/>
            <a:graphic>
              <a:graphicData uri="http://schemas.openxmlformats.org/drawingml/2006/picture">
                <pic:pic>
                  <pic:nvPicPr>
                    <pic:cNvPr descr="mydensity.png" id="0" name="Picture"/>
                    <pic:cNvPicPr>
                      <a:picLocks noChangeArrowheads="1" noChangeAspect="1"/>
                    </pic:cNvPicPr>
                  </pic:nvPicPr>
                  <pic:blipFill>
                    <a:blip r:embed="rId37"/>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Density Plot of Propensity Score</w:t>
      </w:r>
    </w:p>
    <w:p>
      <w:pPr>
        <w:pStyle w:val="Heading2"/>
      </w:pPr>
      <w:bookmarkStart w:id="38" w:name="fixed-effects-regression"/>
      <w:r>
        <w:t xml:space="preserve">Fixed Effects Regression</w:t>
      </w:r>
      <w:bookmarkEnd w:id="38"/>
    </w:p>
    <w:p>
      <w:pPr>
        <w:pStyle w:val="Heading2"/>
      </w:pPr>
      <w:bookmarkStart w:id="39" w:name="difference-in-differences"/>
      <w:r>
        <w:t xml:space="preserve">Difference in Differences</w:t>
      </w:r>
      <w:bookmarkEnd w:id="39"/>
    </w:p>
    <w:p>
      <w:pPr>
        <w:pStyle w:val="Heading2"/>
      </w:pPr>
      <w:bookmarkStart w:id="40" w:name="multilevel-longitudinal-model"/>
      <w:r>
        <w:t xml:space="preserve">Multilevel Longitudinal Model</w:t>
      </w:r>
      <w:bookmarkEnd w:id="40"/>
    </w:p>
    <w:p>
      <w:pPr>
        <w:pStyle w:val="Heading2"/>
      </w:pPr>
      <w:bookmarkStart w:id="41" w:name="hybrid-model"/>
      <w:r>
        <w:t xml:space="preserve">“</w:t>
      </w:r>
      <w:r>
        <w:t xml:space="preserve">Hybrid</w:t>
      </w:r>
      <w:r>
        <w:t xml:space="preserve">”</w:t>
      </w:r>
      <w:r>
        <w:t xml:space="preserve"> </w:t>
      </w:r>
      <w:r>
        <w:t xml:space="preserve">Model</w:t>
      </w:r>
      <w:bookmarkEnd w:id="41"/>
    </w:p>
    <w:p>
      <w:pPr>
        <w:pStyle w:val="Heading1"/>
      </w:pPr>
      <w:bookmarkStart w:id="42" w:name="references"/>
      <w:r>
        <w:t xml:space="preserve">References 🌲</w:t>
      </w:r>
      <w:bookmarkEnd w:id="42"/>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
        </w:rPr>
        <w:t xml:space="preserve">Journal of the American Statistical Association</w:t>
      </w:r>
      <w:r>
        <w:t xml:space="preserve">, 81(396), 945–960. https://doi.org/10.1080/01621459.1986.10478354</w:t>
      </w:r>
    </w:p>
    <w:sectPr w:rsidR="003815BD" w:rsidRPr="004331F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With many thanks to Jorge Cuartas for the idea for the this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4331FF"/>
  </w:style>
  <w:style w:type="character" w:customStyle="1" w:styleId="Highlight">
    <w:name w:val="Highlight"/>
    <w:basedOn w:val="Underline"/>
    <w:uiPriority w:val="1"/>
    <w:qFormat/>
    <w:rsid w:val="00813E47"/>
    <w:rPr>
      <w:u w:val="none"/>
      <w:bdr w:val="none" w:sz="0" w:space="0" w:color="auto"/>
      <w:shd w:val="clear" w:color="auto" w:fill="FFFF0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_rels/footnotes.xml.rels><?xml version="1.0" encoding="UTF-8"?>
<Relationships xmlns="http://schemas.openxmlformats.org/package/2006/relationships"><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2020-06-22T15:10:55Z</dcterms:created>
  <dcterms:modified xsi:type="dcterms:W3CDTF">2020-06-22T15:10:55Z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Jun 2020 11:10:50</vt:lpwstr>
  </property>
</Properties>
</file>