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37.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13</w:t>
      </w:r>
      <w:r>
        <w:t xml:space="preserve"> </w:t>
      </w:r>
      <w:r>
        <w:t xml:space="preserve">Jul</w:t>
      </w:r>
      <w:r>
        <w:t xml:space="preserve"> </w:t>
      </w:r>
      <w:r>
        <w:t xml:space="preserve">2020</w:t>
      </w:r>
      <w:r>
        <w:t xml:space="preserve"> </w:t>
      </w:r>
      <w:r>
        <w:t xml:space="preserve">15:28:54</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spruce-data-and-causal-criteria"/>
      <w:r>
        <w:t xml:space="preserve">Spruce Data And Causal Criteria 🌲</w:t>
      </w:r>
      <w:bookmarkEnd w:id="29"/>
    </w:p>
    <w:p>
      <w:pPr>
        <w:pStyle w:val="FirstParagraph"/>
      </w:pPr>
      <w:r>
        <w:t xml:space="preserve">Let’s consider in turn each of the criteria for causality.</w:t>
      </w:r>
    </w:p>
    <w:p>
      <w:pPr>
        <w:pStyle w:val="Compact"/>
        <w:numPr>
          <w:numId w:val="1002"/>
          <w:ilvl w:val="0"/>
        </w:numPr>
      </w:pPr>
      <w:r>
        <w:t xml:space="preserve">Empirically,</w:t>
      </w:r>
      <w:r>
        <w:t xml:space="preserve"> </w:t>
      </w:r>
      <w:r>
        <w:rPr>
          <w:i/>
        </w:rPr>
        <w:t xml:space="preserve">fertilizer</w:t>
      </w:r>
      <w:r>
        <w:t xml:space="preserve"> </w:t>
      </w:r>
      <w:r>
        <w:t xml:space="preserve">is correlated with</w:t>
      </w:r>
      <w:r>
        <w:t xml:space="preserve"> </w:t>
      </w:r>
      <w:r>
        <w:rPr>
          <w:i/>
        </w:rPr>
        <w:t xml:space="preserve">tree height</w:t>
      </w:r>
      <w:r>
        <w:t xml:space="preserve">.</w:t>
      </w:r>
    </w:p>
    <w:p>
      <w:pPr>
        <w:pStyle w:val="CaptionedFigure"/>
      </w:pPr>
      <w:r>
        <w:drawing>
          <wp:inline>
            <wp:extent cx="5943600" cy="3958437"/>
            <wp:effectExtent b="0" l="0" r="0" t="0"/>
            <wp:docPr descr="Scatterplot of Tree Height At Year 5 By Fertilizer Use" title="" id="1" name="Picture"/>
            <a:graphic>
              <a:graphicData uri="http://schemas.openxmlformats.org/drawingml/2006/picture">
                <pic:pic>
                  <pic:nvPicPr>
                    <pic:cNvPr descr="myscatter.png" id="0" name="Picture"/>
                    <pic:cNvPicPr>
                      <a:picLocks noChangeArrowheads="1" noChangeAspect="1"/>
                    </pic:cNvPicPr>
                  </pic:nvPicPr>
                  <pic:blipFill>
                    <a:blip r:embed="rId30"/>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pStyle w:val="Compact"/>
        <w:numPr>
          <w:numId w:val="1003"/>
          <w:ilvl w:val="0"/>
        </w:numPr>
      </w:pPr>
      <w:r>
        <w:t xml:space="preserve">From the research design, we know that</w:t>
      </w:r>
      <w:r>
        <w:t xml:space="preserve"> </w:t>
      </w:r>
      <w:r>
        <w:rPr>
          <w:i/>
        </w:rPr>
        <w:t xml:space="preserve">fertilizer</w:t>
      </w:r>
      <w:r>
        <w:t xml:space="preserve"> </w:t>
      </w:r>
      <w:r>
        <w:t xml:space="preserve">comes prior to</w:t>
      </w:r>
      <w:r>
        <w:t xml:space="preserve"> </w:t>
      </w:r>
      <w:r>
        <w:rPr>
          <w:i/>
        </w:rPr>
        <w:t xml:space="preserve">tree height at year 5</w:t>
      </w:r>
      <w:r>
        <w:t xml:space="preserve">.</w:t>
      </w:r>
    </w:p>
    <w:p>
      <w:pPr>
        <w:pStyle w:val="Compact"/>
        <w:numPr>
          <w:numId w:val="1003"/>
          <w:ilvl w:val="0"/>
        </w:numPr>
      </w:pPr>
      <w:r>
        <w:t xml:space="preserve">We are going to use various statistical strategies–detailed below–to assess whether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can be accounted for by any third variable.</w:t>
      </w:r>
    </w:p>
    <w:p>
      <w:pPr>
        <w:pStyle w:val="Heading1"/>
      </w:pPr>
      <w:bookmarkStart w:id="31" w:name="analyses"/>
      <w:r>
        <w:t xml:space="preserve">Analyses 🌲</w:t>
      </w:r>
      <w:bookmarkEnd w:id="31"/>
    </w:p>
    <w:p>
      <w:pPr>
        <w:pStyle w:val="Heading2"/>
      </w:pPr>
      <w:bookmarkStart w:id="32" w:name="t-test"/>
      <w:r>
        <w:t xml:space="preserve">t Test</w:t>
      </w:r>
      <w:bookmarkEnd w:id="32"/>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3" w:name="ols-regression"/>
      <w:r>
        <w:t xml:space="preserve">OLS Regression</w:t>
      </w:r>
      <w:bookmarkEnd w:id="33"/>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t>=</m:t>
        </m:r>
        <m:sSub>
          <m:e>
            <m:r>
              <m:t>β</m:t>
            </m:r>
          </m:e>
          <m:sub>
            <m:r>
              <m:t>0</m:t>
            </m:r>
          </m:sub>
        </m:sSub>
        <m:r>
          <m:t>+</m:t>
        </m:r>
        <m:sSub>
          <m:e>
            <m:r>
              <m:t>β</m:t>
            </m:r>
          </m:e>
          <m:sub>
            <m:r>
              <m:t>1</m:t>
            </m:r>
          </m:sub>
        </m:sSub>
        <m:sSub>
          <m:e>
            <m:r>
              <m:t>x</m:t>
            </m:r>
          </m:e>
          <m:sub>
            <m:r>
              <m:t>1</m:t>
            </m:r>
            <m:r>
              <m:t>i</m:t>
            </m:r>
          </m:sub>
        </m:sSub>
        <m:r>
          <m:t>+</m:t>
        </m:r>
        <m:r>
          <m:t>Σ</m:t>
        </m:r>
        <m:sSub>
          <m:e>
            <m:r>
              <m:t>β</m:t>
            </m:r>
          </m:e>
          <m:sub>
            <m:r>
              <m:t>k</m:t>
            </m:r>
          </m:sub>
        </m:sSub>
        <m:sSub>
          <m:e>
            <m:r>
              <m:t>x</m:t>
            </m:r>
          </m:e>
          <m:sub>
            <m:r>
              <m:t>k</m:t>
            </m:r>
            <m:r>
              <m:t>i</m:t>
            </m:r>
          </m:sub>
        </m:sSub>
        <m: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4" w:name="propensity-scores"/>
      <w:r>
        <w:t xml:space="preserve">Propensity Scores</w:t>
      </w:r>
      <w:bookmarkEnd w:id="34"/>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3"/>
      </w:pPr>
      <w:bookmarkStart w:id="36" w:name="X301931f3f8e2ba6aee5bc40d5676bdb498594f3"/>
      <w:r>
        <w:t xml:space="preserve">Assess Balance of Propensity Score Model</w:t>
      </w:r>
      <w:r>
        <w:t xml:space="preserve"> </w:t>
      </w:r>
      <w:r>
        <w:rPr>
          <w:rStyle w:val="FootnoteReference"/>
        </w:rPr>
        <w:footnoteReference w:id="35"/>
      </w:r>
      <w:bookmarkEnd w:id="36"/>
    </w:p>
    <w:p>
      <w:pPr>
        <w:pStyle w:val="SourceCode"/>
      </w:pPr>
      <w:r>
        <w:rPr>
          <w:rStyle w:val="NormalTok"/>
        </w:rPr>
        <w:t xml:space="preserve">. tebalance density, </w:t>
      </w:r>
      <w:r>
        <w:rPr>
          <w:rStyle w:val="CommentTok"/>
        </w:rPr>
        <w:t xml:space="preserve">///</w:t>
      </w:r>
      <w:r>
        <w:br/>
      </w:r>
      <w:r>
        <w:rPr>
          <w:rStyle w:val="NormalTok"/>
        </w:rPr>
        <w:t xml:space="preserve">&gt; </w:t>
      </w:r>
      <w:r>
        <w:rPr>
          <w:rStyle w:val="DecValTok"/>
        </w:rPr>
        <w:t xml:space="preserve">scheme</w:t>
      </w:r>
      <w:r>
        <w:rPr>
          <w:rStyle w:val="NormalTok"/>
        </w:rPr>
        <w:t xml:space="preserve">(michigan)</w:t>
      </w:r>
      <w:r>
        <w:br/>
      </w:r>
      <w:r>
        <w:rPr>
          <w:rStyle w:val="KeywordTok"/>
        </w:rPr>
        <w:t xml:space="preserve">note</w:t>
      </w:r>
      <w:r>
        <w:rPr>
          <w:rStyle w:val="NormalTok"/>
        </w:rPr>
        <w:t xml:space="preserve">: 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mydensity.png written </w:t>
      </w:r>
      <w:r>
        <w:rPr>
          <w:rStyle w:val="KeywordTok"/>
        </w:rPr>
        <w:t xml:space="preserve">in</w:t>
      </w:r>
      <w:r>
        <w:rPr>
          <w:rStyle w:val="NormalTok"/>
        </w:rPr>
        <w:t xml:space="preserve"> PNG </w:t>
      </w:r>
      <w:r>
        <w:rPr>
          <w:rStyle w:val="KeywordTok"/>
        </w:rPr>
        <w:t xml:space="preserve">format</w:t>
      </w:r>
      <w:r>
        <w:rPr>
          <w:rStyle w:val="NormalTok"/>
        </w:rPr>
        <w:t xml:space="preserve">)</w:t>
      </w:r>
    </w:p>
    <w:p>
      <w:pPr>
        <w:pStyle w:val="CaptionedFigure"/>
      </w:pPr>
      <w:r>
        <w:drawing>
          <wp:inline>
            <wp:extent cx="5943600" cy="3958437"/>
            <wp:effectExtent b="0" l="0" r="0" t="0"/>
            <wp:docPr descr="Density Plot of Propensity Score" title="" id="1" name="Picture"/>
            <a:graphic>
              <a:graphicData uri="http://schemas.openxmlformats.org/drawingml/2006/picture">
                <pic:pic>
                  <pic:nvPicPr>
                    <pic:cNvPr descr="mydensity.png" id="0" name="Picture"/>
                    <pic:cNvPicPr>
                      <a:picLocks noChangeArrowheads="1" noChangeAspect="1"/>
                    </pic:cNvPicPr>
                  </pic:nvPicPr>
                  <pic:blipFill>
                    <a:blip r:embed="rId37"/>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p>
      <w:pPr>
        <w:pStyle w:val="Heading1"/>
      </w:pPr>
      <w:bookmarkStart w:id="38" w:name="references"/>
      <w:r>
        <w:t xml:space="preserve">References 🌲</w:t>
      </w:r>
      <w:bookmarkEnd w:id="38"/>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With many thanks to Jorge Cuartas for ideas for some of this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218DB"/>
    <w:pPr>
      <w:pBdr>
        <w:left w:val="single" w:sz="24" w:space="4" w:color="FFC000"/>
      </w:pBdr>
      <w:spacing w:before="240" w:after="240"/>
      <w:ind w:left="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2020-07-13T19:28:59Z</dcterms:created>
  <dcterms:modified xsi:type="dcterms:W3CDTF">2020-07-13T19:28:59Z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Jul 2020 15:28:54</vt:lpwstr>
  </property>
</Properties>
</file>