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BE2B" w14:textId="77777777" w:rsidR="0096616D" w:rsidRPr="00222725" w:rsidRDefault="00CE491A">
      <w:pPr>
        <w:pStyle w:val="Heading1"/>
      </w:pPr>
      <w:bookmarkStart w:id="0" w:name="X05590659fcfddf7fd548c95bab85f181a59e3c0"/>
      <w:r w:rsidRPr="00222725">
        <w:t xml:space="preserve">Legacy System Transformation: </w:t>
      </w:r>
      <w:proofErr w:type="spellStart"/>
      <w:r w:rsidRPr="00222725">
        <w:t>IBMi</w:t>
      </w:r>
      <w:proofErr w:type="spellEnd"/>
      <w:r w:rsidRPr="00222725">
        <w:t xml:space="preserve"> Green Screen Modernization</w:t>
      </w:r>
    </w:p>
    <w:p w14:paraId="1FC8348A" w14:textId="77777777" w:rsidR="0096616D" w:rsidRPr="00222725" w:rsidRDefault="00CE491A">
      <w:pPr>
        <w:pStyle w:val="Heading2"/>
      </w:pPr>
      <w:bookmarkStart w:id="1" w:name="solution-architecture-cvs-health"/>
      <w:r w:rsidRPr="00222725">
        <w:t>Solution Architecture — CVS Health</w:t>
      </w:r>
    </w:p>
    <w:p w14:paraId="5E945F75" w14:textId="57C3C96F" w:rsidR="0096616D" w:rsidRPr="00222725" w:rsidRDefault="00CE491A">
      <w:pPr>
        <w:pStyle w:val="FirstParagraph"/>
      </w:pPr>
      <w:r w:rsidRPr="00222725">
        <w:rPr>
          <w:b/>
          <w:bCs/>
        </w:rPr>
        <w:t>Author:</w:t>
      </w:r>
      <w:r w:rsidRPr="00222725">
        <w:t xml:space="preserve"> Paul Prae </w:t>
      </w:r>
      <w:r w:rsidRPr="00222725">
        <w:rPr>
          <w:b/>
          <w:bCs/>
        </w:rPr>
        <w:t>Date:</w:t>
      </w:r>
      <w:r w:rsidRPr="00222725">
        <w:t xml:space="preserve"> March 2026</w:t>
      </w:r>
    </w:p>
    <w:p w14:paraId="7D1EF6B9" w14:textId="77777777" w:rsidR="0096616D" w:rsidRPr="00222725" w:rsidRDefault="00CE491A">
      <w:r>
        <w:pict w14:anchorId="52877851">
          <v:rect id="_x0000_i1025" style="width:0;height:1.5pt" o:hralign="center" o:hrstd="t" o:hr="t"/>
        </w:pict>
      </w:r>
    </w:p>
    <w:p w14:paraId="27EC14A4" w14:textId="77777777" w:rsidR="0096616D" w:rsidRPr="00222725" w:rsidRDefault="00CE491A">
      <w:pPr>
        <w:pStyle w:val="Heading2"/>
      </w:pPr>
      <w:bookmarkStart w:id="2" w:name="reading-guide"/>
      <w:bookmarkEnd w:id="1"/>
      <w:r w:rsidRPr="00222725">
        <w:t>Reading Guide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8"/>
        <w:gridCol w:w="4955"/>
        <w:gridCol w:w="1927"/>
      </w:tblGrid>
      <w:tr w:rsidR="0096616D" w:rsidRPr="00222725" w14:paraId="40782A2C" w14:textId="77777777" w:rsidTr="0096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6" w:type="dxa"/>
          </w:tcPr>
          <w:p w14:paraId="26E08DC1" w14:textId="77777777" w:rsidR="0096616D" w:rsidRPr="00222725" w:rsidRDefault="00CE491A">
            <w:pPr>
              <w:pStyle w:val="Compact"/>
            </w:pPr>
            <w:r w:rsidRPr="00222725">
              <w:t>Section</w:t>
            </w:r>
          </w:p>
        </w:tc>
        <w:tc>
          <w:tcPr>
            <w:tcW w:w="4192" w:type="dxa"/>
          </w:tcPr>
          <w:p w14:paraId="0FAAE51B" w14:textId="77777777" w:rsidR="0096616D" w:rsidRPr="00222725" w:rsidRDefault="00CE491A">
            <w:pPr>
              <w:pStyle w:val="Compact"/>
            </w:pPr>
            <w:r w:rsidRPr="00222725">
              <w:t>Key Consideration</w:t>
            </w:r>
          </w:p>
        </w:tc>
        <w:tc>
          <w:tcPr>
            <w:tcW w:w="1630" w:type="dxa"/>
          </w:tcPr>
          <w:p w14:paraId="2A23F4EE" w14:textId="77777777" w:rsidR="0096616D" w:rsidRPr="00222725" w:rsidRDefault="00CE491A">
            <w:pPr>
              <w:pStyle w:val="Compact"/>
            </w:pPr>
            <w:r w:rsidRPr="00222725">
              <w:t>Focus</w:t>
            </w:r>
          </w:p>
        </w:tc>
      </w:tr>
      <w:tr w:rsidR="0096616D" w:rsidRPr="00222725" w14:paraId="287938CA" w14:textId="77777777">
        <w:tc>
          <w:tcPr>
            <w:tcW w:w="2096" w:type="dxa"/>
          </w:tcPr>
          <w:p w14:paraId="5CF6C069" w14:textId="77777777" w:rsidR="0096616D" w:rsidRPr="00222725" w:rsidRDefault="00CE491A">
            <w:pPr>
              <w:pStyle w:val="Compact"/>
            </w:pPr>
            <w:r w:rsidRPr="00222725">
              <w:t>§1 Legacy System Integration</w:t>
            </w:r>
          </w:p>
        </w:tc>
        <w:tc>
          <w:tcPr>
            <w:tcW w:w="4192" w:type="dxa"/>
          </w:tcPr>
          <w:p w14:paraId="0140619A" w14:textId="77777777" w:rsidR="0096616D" w:rsidRPr="00222725" w:rsidRDefault="00CE491A">
            <w:pPr>
              <w:pStyle w:val="Compact"/>
            </w:pPr>
            <w:r w:rsidRPr="00222725">
              <w:t>KC #1</w:t>
            </w:r>
          </w:p>
        </w:tc>
        <w:tc>
          <w:tcPr>
            <w:tcW w:w="1630" w:type="dxa"/>
          </w:tcPr>
          <w:p w14:paraId="1DED022D" w14:textId="77777777" w:rsidR="0096616D" w:rsidRPr="00222725" w:rsidRDefault="00CE491A">
            <w:pPr>
              <w:pStyle w:val="Compact"/>
            </w:pPr>
            <w:r w:rsidRPr="00222725">
              <w:t>Strangler fig pattern, API-first migration</w:t>
            </w:r>
          </w:p>
        </w:tc>
      </w:tr>
      <w:tr w:rsidR="0096616D" w:rsidRPr="00C1165F" w14:paraId="4CB52D22" w14:textId="77777777">
        <w:tc>
          <w:tcPr>
            <w:tcW w:w="2096" w:type="dxa"/>
          </w:tcPr>
          <w:p w14:paraId="4D846474" w14:textId="77777777" w:rsidR="0096616D" w:rsidRPr="00222725" w:rsidRDefault="00CE491A">
            <w:pPr>
              <w:pStyle w:val="Compact"/>
            </w:pPr>
            <w:r w:rsidRPr="00222725">
              <w:t>§2 Human-Centered Design</w:t>
            </w:r>
          </w:p>
        </w:tc>
        <w:tc>
          <w:tcPr>
            <w:tcW w:w="4192" w:type="dxa"/>
          </w:tcPr>
          <w:p w14:paraId="6B0E87C6" w14:textId="77777777" w:rsidR="0096616D" w:rsidRPr="00222725" w:rsidRDefault="00CE491A">
            <w:pPr>
              <w:pStyle w:val="Compact"/>
            </w:pPr>
            <w:r w:rsidRPr="00222725">
              <w:t>KC #3</w:t>
            </w:r>
          </w:p>
        </w:tc>
        <w:tc>
          <w:tcPr>
            <w:tcW w:w="1630" w:type="dxa"/>
          </w:tcPr>
          <w:p w14:paraId="277B9FFB" w14:textId="77777777" w:rsidR="0096616D" w:rsidRPr="00C1165F" w:rsidRDefault="00CE491A">
            <w:pPr>
              <w:pStyle w:val="Compact"/>
              <w:rPr>
                <w:lang w:val="fr-FR"/>
              </w:rPr>
            </w:pPr>
            <w:r w:rsidRPr="00C1165F">
              <w:rPr>
                <w:lang w:val="fr-FR"/>
              </w:rPr>
              <w:t>Cognitive science principles, dual-mode interface</w:t>
            </w:r>
          </w:p>
        </w:tc>
      </w:tr>
      <w:tr w:rsidR="0096616D" w:rsidRPr="00222725" w14:paraId="0A506422" w14:textId="77777777">
        <w:tc>
          <w:tcPr>
            <w:tcW w:w="2096" w:type="dxa"/>
          </w:tcPr>
          <w:p w14:paraId="5D916018" w14:textId="77777777" w:rsidR="0096616D" w:rsidRPr="00222725" w:rsidRDefault="00CE491A">
            <w:pPr>
              <w:pStyle w:val="Compact"/>
            </w:pPr>
            <w:r w:rsidRPr="00222725">
              <w:t>§3 Technology Stack</w:t>
            </w:r>
          </w:p>
        </w:tc>
        <w:tc>
          <w:tcPr>
            <w:tcW w:w="4192" w:type="dxa"/>
          </w:tcPr>
          <w:p w14:paraId="2D206464" w14:textId="77777777" w:rsidR="0096616D" w:rsidRPr="00222725" w:rsidRDefault="00CE491A">
            <w:pPr>
              <w:pStyle w:val="Compact"/>
            </w:pPr>
            <w:r w:rsidRPr="00222725">
              <w:t>KC #4</w:t>
            </w:r>
          </w:p>
        </w:tc>
        <w:tc>
          <w:tcPr>
            <w:tcW w:w="1630" w:type="dxa"/>
          </w:tcPr>
          <w:p w14:paraId="4EB82AD7" w14:textId="77777777" w:rsidR="0096616D" w:rsidRPr="00222725" w:rsidRDefault="00CE491A">
            <w:pPr>
              <w:pStyle w:val="Compact"/>
            </w:pPr>
            <w:r w:rsidRPr="00222725">
              <w:t>3-option comparison, GenAI pipeline</w:t>
            </w:r>
          </w:p>
        </w:tc>
      </w:tr>
      <w:tr w:rsidR="0096616D" w:rsidRPr="00222725" w14:paraId="1CA4ECF9" w14:textId="77777777">
        <w:tc>
          <w:tcPr>
            <w:tcW w:w="2096" w:type="dxa"/>
          </w:tcPr>
          <w:p w14:paraId="491E20A7" w14:textId="77777777" w:rsidR="0096616D" w:rsidRPr="00222725" w:rsidRDefault="00CE491A">
            <w:pPr>
              <w:pStyle w:val="Compact"/>
            </w:pPr>
            <w:r w:rsidRPr="00222725">
              <w:t>§4 IAM Strategy</w:t>
            </w:r>
          </w:p>
        </w:tc>
        <w:tc>
          <w:tcPr>
            <w:tcW w:w="4192" w:type="dxa"/>
          </w:tcPr>
          <w:p w14:paraId="23D77844" w14:textId="77777777" w:rsidR="0096616D" w:rsidRPr="00222725" w:rsidRDefault="00CE491A">
            <w:pPr>
              <w:pStyle w:val="Compact"/>
            </w:pPr>
            <w:r w:rsidRPr="00222725">
              <w:t>KC #2</w:t>
            </w:r>
          </w:p>
        </w:tc>
        <w:tc>
          <w:tcPr>
            <w:tcW w:w="1630" w:type="dxa"/>
          </w:tcPr>
          <w:p w14:paraId="1C2D9B20" w14:textId="77777777" w:rsidR="0096616D" w:rsidRPr="00222725" w:rsidRDefault="00CE491A">
            <w:pPr>
              <w:pStyle w:val="Compact"/>
            </w:pPr>
            <w:r w:rsidRPr="00222725">
              <w:t>Zero trust, defense-in-depth</w:t>
            </w:r>
          </w:p>
        </w:tc>
      </w:tr>
      <w:tr w:rsidR="0096616D" w:rsidRPr="00222725" w14:paraId="3CEA83D2" w14:textId="77777777">
        <w:tc>
          <w:tcPr>
            <w:tcW w:w="2096" w:type="dxa"/>
          </w:tcPr>
          <w:p w14:paraId="7E23D7D5" w14:textId="77777777" w:rsidR="0096616D" w:rsidRPr="00222725" w:rsidRDefault="00CE491A">
            <w:pPr>
              <w:pStyle w:val="Compact"/>
            </w:pPr>
            <w:r w:rsidRPr="00222725">
              <w:t>§5 Change Management</w:t>
            </w:r>
          </w:p>
        </w:tc>
        <w:tc>
          <w:tcPr>
            <w:tcW w:w="4192" w:type="dxa"/>
          </w:tcPr>
          <w:p w14:paraId="401BFC3E" w14:textId="77777777" w:rsidR="0096616D" w:rsidRPr="00222725" w:rsidRDefault="00CE491A">
            <w:pPr>
              <w:pStyle w:val="Compact"/>
            </w:pPr>
            <w:r w:rsidRPr="00222725">
              <w:t>KC #5</w:t>
            </w:r>
          </w:p>
        </w:tc>
        <w:tc>
          <w:tcPr>
            <w:tcW w:w="1630" w:type="dxa"/>
          </w:tcPr>
          <w:p w14:paraId="0CA8A5BA" w14:textId="77777777" w:rsidR="0096616D" w:rsidRPr="00222725" w:rsidRDefault="00CE491A">
            <w:pPr>
              <w:pStyle w:val="Compact"/>
            </w:pPr>
            <w:r w:rsidRPr="00222725">
              <w:t>ADKAR framework, adoption techniques</w:t>
            </w:r>
          </w:p>
        </w:tc>
      </w:tr>
      <w:tr w:rsidR="0096616D" w:rsidRPr="00222725" w14:paraId="4A886A63" w14:textId="77777777">
        <w:tc>
          <w:tcPr>
            <w:tcW w:w="2096" w:type="dxa"/>
          </w:tcPr>
          <w:p w14:paraId="0BCFF26C" w14:textId="77777777" w:rsidR="0096616D" w:rsidRPr="00222725" w:rsidRDefault="00CE491A">
            <w:pPr>
              <w:pStyle w:val="Compact"/>
            </w:pPr>
            <w:r w:rsidRPr="00222725">
              <w:t>§6 High-Level Roadmap</w:t>
            </w:r>
          </w:p>
        </w:tc>
        <w:tc>
          <w:tcPr>
            <w:tcW w:w="4192" w:type="dxa"/>
          </w:tcPr>
          <w:p w14:paraId="4393D8A0" w14:textId="77777777" w:rsidR="0096616D" w:rsidRPr="00222725" w:rsidRDefault="00CE491A">
            <w:pPr>
              <w:pStyle w:val="Compact"/>
            </w:pPr>
            <w:r w:rsidRPr="00222725">
              <w:t>Timeline</w:t>
            </w:r>
          </w:p>
        </w:tc>
        <w:tc>
          <w:tcPr>
            <w:tcW w:w="1630" w:type="dxa"/>
          </w:tcPr>
          <w:p w14:paraId="19EA3F3B" w14:textId="77777777" w:rsidR="0096616D" w:rsidRPr="00222725" w:rsidRDefault="00CE491A">
            <w:pPr>
              <w:pStyle w:val="Compact"/>
            </w:pPr>
            <w:r w:rsidRPr="00222725">
              <w:t>4 phases, key milestones</w:t>
            </w:r>
          </w:p>
        </w:tc>
      </w:tr>
      <w:tr w:rsidR="0096616D" w:rsidRPr="00222725" w14:paraId="300CFE52" w14:textId="77777777">
        <w:tc>
          <w:tcPr>
            <w:tcW w:w="2096" w:type="dxa"/>
          </w:tcPr>
          <w:p w14:paraId="6E663B64" w14:textId="77777777" w:rsidR="0096616D" w:rsidRPr="00222725" w:rsidRDefault="00CE491A">
            <w:pPr>
              <w:pStyle w:val="Compact"/>
            </w:pPr>
            <w:r w:rsidRPr="00222725">
              <w:t>§7 Questions &amp; Open Items</w:t>
            </w:r>
          </w:p>
        </w:tc>
        <w:tc>
          <w:tcPr>
            <w:tcW w:w="4192" w:type="dxa"/>
          </w:tcPr>
          <w:p w14:paraId="63016CF4" w14:textId="77777777" w:rsidR="0096616D" w:rsidRPr="00222725" w:rsidRDefault="00CE491A">
            <w:pPr>
              <w:pStyle w:val="Compact"/>
            </w:pPr>
            <w:r w:rsidRPr="00222725">
              <w:t>—</w:t>
            </w:r>
          </w:p>
        </w:tc>
        <w:tc>
          <w:tcPr>
            <w:tcW w:w="1630" w:type="dxa"/>
          </w:tcPr>
          <w:p w14:paraId="48BDAFC5" w14:textId="77777777" w:rsidR="0096616D" w:rsidRPr="00222725" w:rsidRDefault="00CE491A">
            <w:pPr>
              <w:pStyle w:val="Compact"/>
            </w:pPr>
            <w:r w:rsidRPr="00222725">
              <w:t>Assumptions, clarifications for panel</w:t>
            </w:r>
          </w:p>
        </w:tc>
      </w:tr>
    </w:tbl>
    <w:p w14:paraId="7D855CE3" w14:textId="77777777" w:rsidR="0096616D" w:rsidRPr="00222725" w:rsidRDefault="00CE491A">
      <w:r>
        <w:pict w14:anchorId="321F9FD5">
          <v:rect id="_x0000_i1026" style="width:0;height:1.5pt" o:hralign="center" o:hrstd="t" o:hr="t"/>
        </w:pict>
      </w:r>
    </w:p>
    <w:p w14:paraId="00496D26" w14:textId="77777777" w:rsidR="0096616D" w:rsidRPr="00222725" w:rsidRDefault="00CE491A">
      <w:pPr>
        <w:pStyle w:val="Heading2"/>
      </w:pPr>
      <w:bookmarkStart w:id="3" w:name="executive-summary"/>
      <w:bookmarkEnd w:id="2"/>
      <w:r w:rsidRPr="00222725">
        <w:t>Executive Summary</w:t>
      </w:r>
    </w:p>
    <w:p w14:paraId="1BED07E0" w14:textId="62B85BCB" w:rsidR="0096616D" w:rsidRPr="00222725" w:rsidRDefault="00CE491A">
      <w:pPr>
        <w:pStyle w:val="FirstParagraph"/>
      </w:pPr>
      <w:r w:rsidRPr="00222725">
        <w:t xml:space="preserve">CVS Health operates critical pharmacy benefits applications on </w:t>
      </w:r>
      <w:r w:rsidR="00162D80" w:rsidRPr="00222725">
        <w:t xml:space="preserve">IBM </w:t>
      </w:r>
      <w:proofErr w:type="spellStart"/>
      <w:r w:rsidR="00162D80" w:rsidRPr="00222725">
        <w:t>i</w:t>
      </w:r>
      <w:proofErr w:type="spellEnd"/>
      <w:r w:rsidR="00162D80" w:rsidRPr="00222725">
        <w:t xml:space="preserve"> green-screen interfaces — systems that are functionally robust but </w:t>
      </w:r>
      <w:r w:rsidR="00192510">
        <w:t>pose challenges for onboarding</w:t>
      </w:r>
      <w:r w:rsidRPr="00222725">
        <w:t xml:space="preserve">, accessibility, and integration with modern cloud services. With </w:t>
      </w:r>
      <w:r w:rsidR="00E24F9A" w:rsidRPr="00222725">
        <w:t>the Google</w:t>
      </w:r>
      <w:r w:rsidRPr="00222725">
        <w:t xml:space="preserve"> Cloud strategic partnership launching the Health100 platform, the gap between legacy green screens and cloud capabilities has become a strategic priority.</w:t>
      </w:r>
    </w:p>
    <w:p w14:paraId="6F53D146" w14:textId="77777777" w:rsidR="0096616D" w:rsidRPr="00222725" w:rsidRDefault="00CE491A">
      <w:pPr>
        <w:pStyle w:val="BodyText"/>
      </w:pPr>
      <w:r w:rsidRPr="00222725">
        <w:t xml:space="preserve">I recommend an </w:t>
      </w:r>
      <w:r w:rsidRPr="00222725">
        <w:rPr>
          <w:b/>
          <w:bCs/>
        </w:rPr>
        <w:t>API-first strangler fig migration</w:t>
      </w:r>
      <w:r w:rsidRPr="00222725">
        <w:t xml:space="preserve"> that preserves existing pharmacy business logic on </w:t>
      </w:r>
      <w:proofErr w:type="spellStart"/>
      <w:r w:rsidRPr="00222725">
        <w:t>IBMi</w:t>
      </w:r>
      <w:proofErr w:type="spellEnd"/>
      <w:r w:rsidRPr="00222725">
        <w:t xml:space="preserve"> while incrementally replacing green screen interfaces with a modern web UI. This approach avoids the high failure rates associated with big-bang rewrites by migrating one workflow at a time, with parallel validation and rollback capability at every step.</w:t>
      </w:r>
    </w:p>
    <w:p w14:paraId="7D905BCB" w14:textId="77777777" w:rsidR="0096616D" w:rsidRPr="00222725" w:rsidRDefault="00CE491A">
      <w:pPr>
        <w:pStyle w:val="BodyText"/>
      </w:pPr>
      <w:r w:rsidRPr="00222725">
        <w:rPr>
          <w:b/>
          <w:bCs/>
        </w:rPr>
        <w:t>Three architecture options considered: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3"/>
        <w:gridCol w:w="3120"/>
        <w:gridCol w:w="3467"/>
      </w:tblGrid>
      <w:tr w:rsidR="0096616D" w:rsidRPr="00222725" w14:paraId="648EB1FC" w14:textId="77777777" w:rsidTr="0096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261E7435" w14:textId="77777777" w:rsidR="0096616D" w:rsidRPr="00222725" w:rsidRDefault="00CE491A">
            <w:pPr>
              <w:pStyle w:val="Compact"/>
            </w:pPr>
            <w:r w:rsidRPr="00222725">
              <w:t>Option</w:t>
            </w:r>
          </w:p>
        </w:tc>
        <w:tc>
          <w:tcPr>
            <w:tcW w:w="2640" w:type="dxa"/>
          </w:tcPr>
          <w:p w14:paraId="795CD9A9" w14:textId="77777777" w:rsidR="0096616D" w:rsidRPr="00222725" w:rsidRDefault="00CE491A">
            <w:pPr>
              <w:pStyle w:val="Compact"/>
            </w:pPr>
            <w:r w:rsidRPr="00222725">
              <w:t>Summary</w:t>
            </w:r>
          </w:p>
        </w:tc>
        <w:tc>
          <w:tcPr>
            <w:tcW w:w="2933" w:type="dxa"/>
          </w:tcPr>
          <w:p w14:paraId="7A172260" w14:textId="77777777" w:rsidR="0096616D" w:rsidRPr="00222725" w:rsidRDefault="00CE491A">
            <w:pPr>
              <w:pStyle w:val="Compact"/>
            </w:pPr>
            <w:r w:rsidRPr="00222725">
              <w:t>Best For</w:t>
            </w:r>
          </w:p>
        </w:tc>
      </w:tr>
      <w:tr w:rsidR="0096616D" w:rsidRPr="00222725" w14:paraId="61BF859E" w14:textId="77777777">
        <w:tc>
          <w:tcPr>
            <w:tcW w:w="2346" w:type="dxa"/>
          </w:tcPr>
          <w:p w14:paraId="514F0D27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A: GCP-Native (Recommended)</w:t>
            </w:r>
          </w:p>
        </w:tc>
        <w:tc>
          <w:tcPr>
            <w:tcW w:w="2640" w:type="dxa"/>
          </w:tcPr>
          <w:p w14:paraId="60B86DA1" w14:textId="77777777" w:rsidR="0096616D" w:rsidRPr="00222725" w:rsidRDefault="00CE491A">
            <w:pPr>
              <w:pStyle w:val="Compact"/>
            </w:pPr>
            <w:r w:rsidRPr="00222725">
              <w:t>Aligns with Health100 partnership</w:t>
            </w:r>
          </w:p>
        </w:tc>
        <w:tc>
          <w:tcPr>
            <w:tcW w:w="2933" w:type="dxa"/>
          </w:tcPr>
          <w:p w14:paraId="1E5298E0" w14:textId="77777777" w:rsidR="0096616D" w:rsidRPr="00222725" w:rsidRDefault="00CE491A">
            <w:pPr>
              <w:pStyle w:val="Compact"/>
            </w:pPr>
            <w:r w:rsidRPr="00222725">
              <w:t>Strategic alignment, unified FHIR</w:t>
            </w:r>
          </w:p>
        </w:tc>
      </w:tr>
      <w:tr w:rsidR="0096616D" w:rsidRPr="00222725" w14:paraId="78A760D8" w14:textId="77777777">
        <w:tc>
          <w:tcPr>
            <w:tcW w:w="2346" w:type="dxa"/>
          </w:tcPr>
          <w:p w14:paraId="0B75D9BD" w14:textId="77777777" w:rsidR="0096616D" w:rsidRPr="00222725" w:rsidRDefault="00CE491A">
            <w:pPr>
              <w:pStyle w:val="Compact"/>
            </w:pPr>
            <w:r w:rsidRPr="00222725">
              <w:t>B: AWS-Native</w:t>
            </w:r>
          </w:p>
        </w:tc>
        <w:tc>
          <w:tcPr>
            <w:tcW w:w="2640" w:type="dxa"/>
          </w:tcPr>
          <w:p w14:paraId="432EEB3F" w14:textId="77777777" w:rsidR="0096616D" w:rsidRPr="00222725" w:rsidRDefault="00CE491A">
            <w:pPr>
              <w:pStyle w:val="Compact"/>
            </w:pPr>
            <w:r w:rsidRPr="00222725">
              <w:t>Largest HIPAA-eligible catalog</w:t>
            </w:r>
          </w:p>
        </w:tc>
        <w:tc>
          <w:tcPr>
            <w:tcW w:w="2933" w:type="dxa"/>
          </w:tcPr>
          <w:p w14:paraId="7A03A394" w14:textId="77777777" w:rsidR="0096616D" w:rsidRPr="00222725" w:rsidRDefault="00CE491A">
            <w:pPr>
              <w:pStyle w:val="Compact"/>
            </w:pPr>
            <w:r w:rsidRPr="00222725">
              <w:t>Fallback if GCP scope is narrow</w:t>
            </w:r>
          </w:p>
        </w:tc>
      </w:tr>
      <w:tr w:rsidR="0096616D" w:rsidRPr="00222725" w14:paraId="5755A9C3" w14:textId="77777777">
        <w:tc>
          <w:tcPr>
            <w:tcW w:w="2346" w:type="dxa"/>
          </w:tcPr>
          <w:p w14:paraId="483B36E1" w14:textId="77777777" w:rsidR="0096616D" w:rsidRPr="00222725" w:rsidRDefault="00CE491A">
            <w:pPr>
              <w:pStyle w:val="Compact"/>
            </w:pPr>
            <w:r w:rsidRPr="00222725">
              <w:t>C: Modern Cloud (</w:t>
            </w:r>
            <w:proofErr w:type="spellStart"/>
            <w:r w:rsidRPr="00222725">
              <w:t>Vercel</w:t>
            </w:r>
            <w:proofErr w:type="spellEnd"/>
            <w:r w:rsidRPr="00222725">
              <w:t xml:space="preserve"> + </w:t>
            </w:r>
            <w:proofErr w:type="spellStart"/>
            <w:r w:rsidRPr="00222725">
              <w:t>Supabase</w:t>
            </w:r>
            <w:proofErr w:type="spellEnd"/>
            <w:r w:rsidRPr="00222725">
              <w:t>)</w:t>
            </w:r>
          </w:p>
        </w:tc>
        <w:tc>
          <w:tcPr>
            <w:tcW w:w="2640" w:type="dxa"/>
          </w:tcPr>
          <w:p w14:paraId="22B52BAF" w14:textId="77777777" w:rsidR="0096616D" w:rsidRPr="00222725" w:rsidRDefault="00CE491A">
            <w:pPr>
              <w:pStyle w:val="Compact"/>
            </w:pPr>
            <w:r w:rsidRPr="00222725">
              <w:t>Fastest developer velocity</w:t>
            </w:r>
          </w:p>
        </w:tc>
        <w:tc>
          <w:tcPr>
            <w:tcW w:w="2933" w:type="dxa"/>
          </w:tcPr>
          <w:p w14:paraId="1B59992A" w14:textId="77777777" w:rsidR="0096616D" w:rsidRPr="00222725" w:rsidRDefault="00CE491A">
            <w:pPr>
              <w:pStyle w:val="Compact"/>
            </w:pPr>
            <w:r w:rsidRPr="00222725">
              <w:t>Smaller-scope greenfield projects</w:t>
            </w:r>
          </w:p>
        </w:tc>
      </w:tr>
    </w:tbl>
    <w:p w14:paraId="0C5E7EF3" w14:textId="77777777" w:rsidR="0096616D" w:rsidRPr="00222725" w:rsidRDefault="00CE491A">
      <w:r>
        <w:pict w14:anchorId="02437125">
          <v:rect id="_x0000_i1027" style="width:0;height:1.5pt" o:hralign="center" o:hrstd="t" o:hr="t"/>
        </w:pict>
      </w:r>
    </w:p>
    <w:p w14:paraId="2038F357" w14:textId="77777777" w:rsidR="0096616D" w:rsidRPr="00222725" w:rsidRDefault="00CE491A">
      <w:pPr>
        <w:pStyle w:val="Heading2"/>
      </w:pPr>
      <w:bookmarkStart w:id="4" w:name="legacy-system-integration"/>
      <w:bookmarkEnd w:id="3"/>
      <w:r w:rsidRPr="00222725">
        <w:t>1. Legacy System Integration</w:t>
      </w:r>
    </w:p>
    <w:p w14:paraId="43DC19E3" w14:textId="77777777" w:rsidR="0096616D" w:rsidRPr="00222725" w:rsidRDefault="00CE491A">
      <w:pPr>
        <w:pStyle w:val="Heading3"/>
      </w:pPr>
      <w:bookmarkStart w:id="5" w:name="approach-api-first-strangler-fig"/>
      <w:r w:rsidRPr="00222725">
        <w:t>Approach: API-First Strangler Fig</w:t>
      </w:r>
    </w:p>
    <w:p w14:paraId="6DD9E5AA" w14:textId="77777777" w:rsidR="0096616D" w:rsidRPr="00222725" w:rsidRDefault="00CE491A">
      <w:pPr>
        <w:pStyle w:val="FirstParagraph"/>
      </w:pPr>
      <w:r w:rsidRPr="00222725">
        <w:t xml:space="preserve">The </w:t>
      </w:r>
      <w:hyperlink r:id="rId5">
        <w:r w:rsidR="0096616D" w:rsidRPr="00222725">
          <w:rPr>
            <w:rStyle w:val="Hyperlink"/>
          </w:rPr>
          <w:t>strangler fig pattern</w:t>
        </w:r>
      </w:hyperlink>
      <w:r w:rsidRPr="00222725">
        <w:t xml:space="preserve"> migrates one workflow at a time, with the legacy system remaining fully operational throughout. Each workflow follows the same sequence:</w:t>
      </w:r>
    </w:p>
    <w:p w14:paraId="5B4CA08B" w14:textId="67A23A77" w:rsidR="0096616D" w:rsidRPr="00222725" w:rsidRDefault="00CE491A">
      <w:pPr>
        <w:pStyle w:val="Compact"/>
        <w:numPr>
          <w:ilvl w:val="0"/>
          <w:numId w:val="2"/>
        </w:numPr>
      </w:pPr>
      <w:r w:rsidRPr="00222725">
        <w:rPr>
          <w:b/>
          <w:bCs/>
        </w:rPr>
        <w:t>Expose</w:t>
      </w:r>
      <w:r w:rsidRPr="00222725">
        <w:t xml:space="preserve"> existing</w:t>
      </w:r>
      <w:r w:rsidR="004F53F9" w:rsidRPr="00222725">
        <w:t xml:space="preserve"> software </w:t>
      </w:r>
      <w:r w:rsidRPr="00222725">
        <w:t>service</w:t>
      </w:r>
      <w:r w:rsidR="004F53F9" w:rsidRPr="00222725">
        <w:t xml:space="preserve">s </w:t>
      </w:r>
      <w:r w:rsidR="0054339B" w:rsidRPr="00222725">
        <w:t>like</w:t>
      </w:r>
      <w:r w:rsidRPr="00222725">
        <w:t xml:space="preserve"> REST APIs via IBM Integrated Web Services</w:t>
      </w:r>
    </w:p>
    <w:p w14:paraId="25B7E304" w14:textId="77777777" w:rsidR="0096616D" w:rsidRPr="00222725" w:rsidRDefault="00CE491A">
      <w:pPr>
        <w:pStyle w:val="Compact"/>
        <w:numPr>
          <w:ilvl w:val="0"/>
          <w:numId w:val="2"/>
        </w:numPr>
      </w:pPr>
      <w:r w:rsidRPr="00222725">
        <w:rPr>
          <w:b/>
          <w:bCs/>
        </w:rPr>
        <w:t>Route</w:t>
      </w:r>
      <w:r w:rsidRPr="00222725">
        <w:t xml:space="preserve"> traffic through an API gateway that directs requests to legacy or modern paths based on migration status</w:t>
      </w:r>
    </w:p>
    <w:p w14:paraId="1A8CE739" w14:textId="77777777" w:rsidR="0096616D" w:rsidRPr="00222725" w:rsidRDefault="00CE491A">
      <w:pPr>
        <w:pStyle w:val="Compact"/>
        <w:numPr>
          <w:ilvl w:val="0"/>
          <w:numId w:val="2"/>
        </w:numPr>
      </w:pPr>
      <w:r w:rsidRPr="00222725">
        <w:rPr>
          <w:b/>
          <w:bCs/>
        </w:rPr>
        <w:t>Build</w:t>
      </w:r>
      <w:r w:rsidRPr="00222725">
        <w:t xml:space="preserve"> a modern frontend consuming the same API</w:t>
      </w:r>
    </w:p>
    <w:p w14:paraId="2A8F3639" w14:textId="77777777" w:rsidR="0096616D" w:rsidRPr="00222725" w:rsidRDefault="00CE491A">
      <w:pPr>
        <w:pStyle w:val="Compact"/>
        <w:numPr>
          <w:ilvl w:val="0"/>
          <w:numId w:val="2"/>
        </w:numPr>
      </w:pPr>
      <w:r w:rsidRPr="00222725">
        <w:rPr>
          <w:b/>
          <w:bCs/>
        </w:rPr>
        <w:t>Validate</w:t>
      </w:r>
      <w:r w:rsidRPr="00222725">
        <w:t xml:space="preserve"> via parallel production — both systems process requests, results compared</w:t>
      </w:r>
    </w:p>
    <w:p w14:paraId="531FEB3E" w14:textId="77777777" w:rsidR="0096616D" w:rsidRPr="00222725" w:rsidRDefault="00CE491A">
      <w:pPr>
        <w:pStyle w:val="Compact"/>
        <w:numPr>
          <w:ilvl w:val="0"/>
          <w:numId w:val="2"/>
        </w:numPr>
      </w:pPr>
      <w:r w:rsidRPr="00222725">
        <w:rPr>
          <w:b/>
          <w:bCs/>
        </w:rPr>
        <w:t>Switch</w:t>
      </w:r>
      <w:r w:rsidRPr="00222725">
        <w:t xml:space="preserve"> traffic to the modern path when validation confirms accuracy</w:t>
      </w:r>
    </w:p>
    <w:p w14:paraId="0A908EC1" w14:textId="77777777" w:rsidR="0096616D" w:rsidRPr="00222725" w:rsidRDefault="00CE491A">
      <w:pPr>
        <w:pStyle w:val="Compact"/>
        <w:numPr>
          <w:ilvl w:val="0"/>
          <w:numId w:val="2"/>
        </w:numPr>
      </w:pPr>
      <w:r w:rsidRPr="00222725">
        <w:rPr>
          <w:b/>
          <w:bCs/>
        </w:rPr>
        <w:t>Retain</w:t>
      </w:r>
      <w:r w:rsidRPr="00222725">
        <w:t xml:space="preserve"> a green screen escape hatch until adoption metrics confirm safe decommissioning</w:t>
      </w:r>
    </w:p>
    <w:p w14:paraId="66C144CC" w14:textId="77777777" w:rsidR="0096616D" w:rsidRPr="00222725" w:rsidRDefault="00CE491A">
      <w:pPr>
        <w:pStyle w:val="FirstParagraph"/>
      </w:pPr>
      <w:r w:rsidRPr="00222725">
        <w:t>Every step is independently reversible via API gateway route configuration — no code deployment required to roll back.</w:t>
      </w:r>
    </w:p>
    <w:p w14:paraId="1F793947" w14:textId="64DC8093" w:rsidR="0096616D" w:rsidRPr="00222725" w:rsidRDefault="00CE491A">
      <w:pPr>
        <w:pStyle w:val="BodyText"/>
      </w:pPr>
      <w:r w:rsidRPr="00222725">
        <w:rPr>
          <w:b/>
          <w:bCs/>
        </w:rPr>
        <w:t xml:space="preserve">Why not </w:t>
      </w:r>
      <w:r w:rsidR="0054339B" w:rsidRPr="00222725">
        <w:rPr>
          <w:b/>
          <w:bCs/>
        </w:rPr>
        <w:t>big bang</w:t>
      </w:r>
      <w:r w:rsidRPr="00222725">
        <w:rPr>
          <w:b/>
          <w:bCs/>
        </w:rPr>
        <w:t>?</w:t>
      </w:r>
      <w:r w:rsidRPr="00222725">
        <w:t xml:space="preserve"> Large-scale legacy rewrites carry high failure rates because they attempt to replace decades of business logic in a single cutover. The strangler fig pattern eliminates this risk by making the migration incremental and reversible.</w:t>
      </w:r>
    </w:p>
    <w:p w14:paraId="0897133E" w14:textId="576D797D" w:rsidR="0096616D" w:rsidRPr="00222725" w:rsidRDefault="00CE491A">
      <w:pPr>
        <w:pStyle w:val="BodyText"/>
      </w:pPr>
      <w:r w:rsidRPr="00222725">
        <w:rPr>
          <w:b/>
          <w:bCs/>
        </w:rPr>
        <w:t>Change data capture (CDC)</w:t>
      </w:r>
      <w:r w:rsidRPr="00222725">
        <w:t xml:space="preserve"> synchronizes IBM</w:t>
      </w:r>
      <w:r w:rsidR="0054339B">
        <w:t xml:space="preserve"> </w:t>
      </w:r>
      <w:proofErr w:type="spellStart"/>
      <w:r w:rsidRPr="00222725">
        <w:t>i</w:t>
      </w:r>
      <w:proofErr w:type="spellEnd"/>
      <w:r w:rsidRPr="00222725">
        <w:t xml:space="preserve"> data to cloud datastores in near real-time by reading IBM </w:t>
      </w:r>
      <w:proofErr w:type="spellStart"/>
      <w:r w:rsidRPr="00222725">
        <w:t>i</w:t>
      </w:r>
      <w:proofErr w:type="spellEnd"/>
      <w:r w:rsidRPr="00222725">
        <w:t xml:space="preserve"> journal entries — no triggers, no table scans, no impact on production performance.</w:t>
      </w:r>
    </w:p>
    <w:p w14:paraId="26C9D8B6" w14:textId="77777777" w:rsidR="0096616D" w:rsidRPr="00222725" w:rsidRDefault="00CE491A">
      <w:pPr>
        <w:pStyle w:val="Heading2"/>
      </w:pPr>
      <w:bookmarkStart w:id="6" w:name="diagram-flowchart-lr"/>
      <w:bookmarkEnd w:id="4"/>
      <w:bookmarkEnd w:id="5"/>
      <w:r w:rsidRPr="00222725">
        <w:rPr>
          <w:noProof/>
        </w:rPr>
        <w:drawing>
          <wp:inline distT="0" distB="0" distL="0" distR="0" wp14:anchorId="705845D8" wp14:editId="3D9C4945">
            <wp:extent cx="5974080" cy="1828800"/>
            <wp:effectExtent l="0" t="0" r="7620" b="0"/>
            <wp:docPr id="16" name="Picture" descr="Diagram: flowchart L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paulp\AppData\Local\Temp\md-to-docx-d0mqKs\diagram-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086" cy="18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B97E2" w14:textId="77777777" w:rsidR="0096616D" w:rsidRPr="00222725" w:rsidRDefault="00CE491A">
      <w:pPr>
        <w:pStyle w:val="Heading2"/>
      </w:pPr>
      <w:bookmarkStart w:id="7" w:name="human-centered-design"/>
      <w:bookmarkEnd w:id="6"/>
      <w:r w:rsidRPr="00222725">
        <w:t>2. Human-Centered Design</w:t>
      </w:r>
    </w:p>
    <w:p w14:paraId="0E4E83CF" w14:textId="77777777" w:rsidR="0096616D" w:rsidRPr="00222725" w:rsidRDefault="00CE491A">
      <w:pPr>
        <w:pStyle w:val="Heading3"/>
      </w:pPr>
      <w:bookmarkStart w:id="8" w:name="design-philosophy"/>
      <w:r w:rsidRPr="00222725">
        <w:t>Design Philosophy</w:t>
      </w:r>
    </w:p>
    <w:p w14:paraId="75235358" w14:textId="2C9C4105" w:rsidR="0096616D" w:rsidRPr="00222725" w:rsidRDefault="00CE491A">
      <w:pPr>
        <w:pStyle w:val="FirstParagraph"/>
      </w:pPr>
      <w:r w:rsidRPr="00222725">
        <w:t xml:space="preserve">The central insight from cognitive science: </w:t>
      </w:r>
      <w:r w:rsidRPr="00222725">
        <w:rPr>
          <w:b/>
          <w:bCs/>
        </w:rPr>
        <w:t>users don’t adapt to interfaces — interfaces must adapt to users’ existing mental models.</w:t>
      </w:r>
      <w:r w:rsidRPr="00222725">
        <w:t xml:space="preserve"> For this transformation, we cannot simply replace terminal screens with web forms. Pharmacy staff have built expertise around the </w:t>
      </w:r>
      <w:r w:rsidR="0054339B">
        <w:t xml:space="preserve">green-screen paradigm — memorized screen codes, function-key sequences, and </w:t>
      </w:r>
      <w:r w:rsidRPr="00222725">
        <w:t>spatial memory of data layouts. A successful modern UI must preserve that expertise while eliminating pain points. This is not an interface replacement; it is a cognitive bridge.</w:t>
      </w:r>
    </w:p>
    <w:p w14:paraId="67414B2E" w14:textId="77777777" w:rsidR="0096616D" w:rsidRPr="00222725" w:rsidRDefault="00CE491A">
      <w:pPr>
        <w:pStyle w:val="Heading3"/>
      </w:pPr>
      <w:bookmarkStart w:id="9" w:name="key-personas"/>
      <w:bookmarkEnd w:id="8"/>
      <w:r w:rsidRPr="00222725">
        <w:t>Key Personas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2"/>
        <w:gridCol w:w="2518"/>
        <w:gridCol w:w="1736"/>
        <w:gridCol w:w="3574"/>
      </w:tblGrid>
      <w:tr w:rsidR="0096616D" w:rsidRPr="00222725" w14:paraId="237CFF14" w14:textId="77777777" w:rsidTr="004F4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4EEE196C" w14:textId="77777777" w:rsidR="0096616D" w:rsidRPr="00222725" w:rsidRDefault="00CE491A">
            <w:pPr>
              <w:pStyle w:val="Compact"/>
            </w:pPr>
            <w:r w:rsidRPr="00222725">
              <w:t>Persona</w:t>
            </w:r>
          </w:p>
        </w:tc>
        <w:tc>
          <w:tcPr>
            <w:tcW w:w="2518" w:type="dxa"/>
          </w:tcPr>
          <w:p w14:paraId="1F522BCA" w14:textId="77777777" w:rsidR="0096616D" w:rsidRPr="00222725" w:rsidRDefault="00CE491A">
            <w:pPr>
              <w:pStyle w:val="Compact"/>
            </w:pPr>
            <w:r w:rsidRPr="00222725">
              <w:t>Role</w:t>
            </w:r>
          </w:p>
        </w:tc>
        <w:tc>
          <w:tcPr>
            <w:tcW w:w="1736" w:type="dxa"/>
          </w:tcPr>
          <w:p w14:paraId="2E6698E9" w14:textId="77777777" w:rsidR="0096616D" w:rsidRPr="00222725" w:rsidRDefault="00CE491A">
            <w:pPr>
              <w:pStyle w:val="Compact"/>
            </w:pPr>
            <w:r w:rsidRPr="00222725">
              <w:t>Change Resistance</w:t>
            </w:r>
          </w:p>
        </w:tc>
        <w:tc>
          <w:tcPr>
            <w:tcW w:w="3574" w:type="dxa"/>
          </w:tcPr>
          <w:p w14:paraId="3104E2C9" w14:textId="77777777" w:rsidR="0096616D" w:rsidRPr="00222725" w:rsidRDefault="00CE491A">
            <w:pPr>
              <w:pStyle w:val="Compact"/>
            </w:pPr>
            <w:r w:rsidRPr="00222725">
              <w:t>Primary Design Need</w:t>
            </w:r>
          </w:p>
        </w:tc>
      </w:tr>
      <w:tr w:rsidR="0096616D" w:rsidRPr="00222725" w14:paraId="1612FB61" w14:textId="77777777" w:rsidTr="004F47BB">
        <w:tc>
          <w:tcPr>
            <w:tcW w:w="1532" w:type="dxa"/>
          </w:tcPr>
          <w:p w14:paraId="0D5275BD" w14:textId="77777777" w:rsidR="0096616D" w:rsidRPr="00222725" w:rsidRDefault="00CE491A">
            <w:pPr>
              <w:pStyle w:val="Compact"/>
            </w:pPr>
            <w:r w:rsidRPr="00222725">
              <w:t>Expert Claims Processor</w:t>
            </w:r>
          </w:p>
        </w:tc>
        <w:tc>
          <w:tcPr>
            <w:tcW w:w="2518" w:type="dxa"/>
          </w:tcPr>
          <w:p w14:paraId="2F7B9479" w14:textId="77777777" w:rsidR="0096616D" w:rsidRPr="00222725" w:rsidRDefault="00CE491A">
            <w:pPr>
              <w:pStyle w:val="Compact"/>
            </w:pPr>
            <w:r w:rsidRPr="00222725">
              <w:t>10+ years on green screen, processes 200+ claims/shift</w:t>
            </w:r>
          </w:p>
        </w:tc>
        <w:tc>
          <w:tcPr>
            <w:tcW w:w="1736" w:type="dxa"/>
          </w:tcPr>
          <w:p w14:paraId="32FBC45E" w14:textId="77777777" w:rsidR="0096616D" w:rsidRPr="00222725" w:rsidRDefault="00CE491A">
            <w:pPr>
              <w:pStyle w:val="Compact"/>
            </w:pPr>
            <w:r w:rsidRPr="00222725">
              <w:t>HIGH — speed is identity</w:t>
            </w:r>
          </w:p>
        </w:tc>
        <w:tc>
          <w:tcPr>
            <w:tcW w:w="3574" w:type="dxa"/>
          </w:tcPr>
          <w:p w14:paraId="7FA91EE4" w14:textId="77777777" w:rsidR="0096616D" w:rsidRPr="00222725" w:rsidRDefault="00CE491A">
            <w:pPr>
              <w:pStyle w:val="Compact"/>
            </w:pPr>
            <w:r w:rsidRPr="00222725">
              <w:t>Keyboard shortcuts, command palette, split-pane views</w:t>
            </w:r>
          </w:p>
        </w:tc>
      </w:tr>
      <w:tr w:rsidR="0096616D" w:rsidRPr="00222725" w14:paraId="175193F9" w14:textId="77777777" w:rsidTr="004F47BB">
        <w:tc>
          <w:tcPr>
            <w:tcW w:w="1532" w:type="dxa"/>
          </w:tcPr>
          <w:p w14:paraId="7142771A" w14:textId="77777777" w:rsidR="0096616D" w:rsidRPr="00222725" w:rsidRDefault="00CE491A">
            <w:pPr>
              <w:pStyle w:val="Compact"/>
            </w:pPr>
            <w:r w:rsidRPr="00222725">
              <w:t>Clinical Pharmacist</w:t>
            </w:r>
          </w:p>
        </w:tc>
        <w:tc>
          <w:tcPr>
            <w:tcW w:w="2518" w:type="dxa"/>
          </w:tcPr>
          <w:p w14:paraId="1DE0097F" w14:textId="1C579320" w:rsidR="0096616D" w:rsidRPr="00222725" w:rsidRDefault="00565544">
            <w:pPr>
              <w:pStyle w:val="Compact"/>
            </w:pPr>
            <w:r w:rsidRPr="00222725">
              <w:t>Reviews of drug utilization and prior auth</w:t>
            </w:r>
          </w:p>
        </w:tc>
        <w:tc>
          <w:tcPr>
            <w:tcW w:w="1736" w:type="dxa"/>
          </w:tcPr>
          <w:p w14:paraId="36D91A17" w14:textId="77777777" w:rsidR="0096616D" w:rsidRPr="00222725" w:rsidRDefault="00CE491A">
            <w:pPr>
              <w:pStyle w:val="Compact"/>
            </w:pPr>
            <w:r w:rsidRPr="00222725">
              <w:t>MODERATE — open if tools help</w:t>
            </w:r>
          </w:p>
        </w:tc>
        <w:tc>
          <w:tcPr>
            <w:tcW w:w="3574" w:type="dxa"/>
          </w:tcPr>
          <w:p w14:paraId="41CAACBD" w14:textId="77777777" w:rsidR="0096616D" w:rsidRPr="00222725" w:rsidRDefault="00CE491A">
            <w:pPr>
              <w:pStyle w:val="Compact"/>
            </w:pPr>
            <w:r w:rsidRPr="00222725">
              <w:t>AI recommendation panel, side-by-side clinical data</w:t>
            </w:r>
          </w:p>
        </w:tc>
      </w:tr>
      <w:tr w:rsidR="0096616D" w:rsidRPr="00222725" w14:paraId="753F5736" w14:textId="77777777" w:rsidTr="004F47BB">
        <w:tc>
          <w:tcPr>
            <w:tcW w:w="1532" w:type="dxa"/>
          </w:tcPr>
          <w:p w14:paraId="2FA66B9C" w14:textId="77777777" w:rsidR="0096616D" w:rsidRPr="00222725" w:rsidRDefault="00CE491A">
            <w:pPr>
              <w:pStyle w:val="Compact"/>
            </w:pPr>
            <w:r w:rsidRPr="00222725">
              <w:t>New Hire / Trainee</w:t>
            </w:r>
          </w:p>
        </w:tc>
        <w:tc>
          <w:tcPr>
            <w:tcW w:w="2518" w:type="dxa"/>
          </w:tcPr>
          <w:p w14:paraId="1E7B0356" w14:textId="77777777" w:rsidR="0096616D" w:rsidRPr="00222725" w:rsidRDefault="00CE491A">
            <w:pPr>
              <w:pStyle w:val="Compact"/>
            </w:pPr>
            <w:r w:rsidRPr="00222725">
              <w:t>Zero green screen experience</w:t>
            </w:r>
          </w:p>
        </w:tc>
        <w:tc>
          <w:tcPr>
            <w:tcW w:w="1736" w:type="dxa"/>
          </w:tcPr>
          <w:p w14:paraId="703BAE8A" w14:textId="77777777" w:rsidR="0096616D" w:rsidRPr="00222725" w:rsidRDefault="00CE491A">
            <w:pPr>
              <w:pStyle w:val="Compact"/>
            </w:pPr>
            <w:r w:rsidRPr="00222725">
              <w:t>NONE — represents future workforce</w:t>
            </w:r>
          </w:p>
        </w:tc>
        <w:tc>
          <w:tcPr>
            <w:tcW w:w="3574" w:type="dxa"/>
          </w:tcPr>
          <w:p w14:paraId="3CA3DC18" w14:textId="77777777" w:rsidR="0096616D" w:rsidRPr="00222725" w:rsidRDefault="00CE491A">
            <w:pPr>
              <w:pStyle w:val="Compact"/>
            </w:pPr>
            <w:r w:rsidRPr="00222725">
              <w:t>Guided workflows, contextual help, progressive discovery</w:t>
            </w:r>
          </w:p>
        </w:tc>
      </w:tr>
    </w:tbl>
    <w:p w14:paraId="1A01B24C" w14:textId="77777777" w:rsidR="0096616D" w:rsidRPr="00222725" w:rsidRDefault="00CE491A">
      <w:pPr>
        <w:pStyle w:val="Heading3"/>
      </w:pPr>
      <w:bookmarkStart w:id="10" w:name="dual-mode-interface"/>
      <w:bookmarkEnd w:id="9"/>
      <w:r w:rsidRPr="00222725">
        <w:t>Dual-Mode Interface</w:t>
      </w:r>
    </w:p>
    <w:p w14:paraId="4E21D4DE" w14:textId="77777777" w:rsidR="0096616D" w:rsidRPr="00222725" w:rsidRDefault="00CE491A">
      <w:pPr>
        <w:pStyle w:val="FirstParagraph"/>
      </w:pPr>
      <w:r w:rsidRPr="00222725">
        <w:t>Both mouse-driven discovery (for learners) and keyboard-driven power use (for experts) are always active simultaneously — no toggle, no mode switch. Experts get full speed from day one; new hires get guided onboarding. The interface adapts to the user’s skill level, not the other way around.</w:t>
      </w:r>
    </w:p>
    <w:p w14:paraId="02F01887" w14:textId="77777777" w:rsidR="0096616D" w:rsidRPr="00222725" w:rsidRDefault="00CE491A">
      <w:pPr>
        <w:pStyle w:val="Heading3"/>
      </w:pPr>
      <w:bookmarkStart w:id="11" w:name="command-palette-as-bridge-pattern"/>
      <w:bookmarkEnd w:id="10"/>
      <w:r w:rsidRPr="00222725">
        <w:t>Command Palette as Bridge Pattern</w:t>
      </w:r>
    </w:p>
    <w:p w14:paraId="4FE99848" w14:textId="77777777" w:rsidR="0096616D" w:rsidRPr="00222725" w:rsidRDefault="00CE491A">
      <w:pPr>
        <w:pStyle w:val="FirstParagraph"/>
      </w:pPr>
      <w:r w:rsidRPr="00222725">
        <w:t>The command palette (</w:t>
      </w:r>
      <w:proofErr w:type="spellStart"/>
      <w:r w:rsidRPr="00222725">
        <w:t>Ctrl+K</w:t>
      </w:r>
      <w:proofErr w:type="spellEnd"/>
      <w:r w:rsidRPr="00222725">
        <w:t>) maps directly to how green screen users think: “type a code, get a result.” Existing screen codes work as search terms alongside natural language — type “SC04” or “member eligibility” and get the same result. This preserves muscle memory while enabling discovery.</w:t>
      </w:r>
    </w:p>
    <w:p w14:paraId="4F83E690" w14:textId="77777777" w:rsidR="0096616D" w:rsidRPr="00222725" w:rsidRDefault="00CE491A">
      <w:pPr>
        <w:pStyle w:val="Heading3"/>
      </w:pPr>
      <w:bookmarkStart w:id="12" w:name="conversational-interfaces"/>
      <w:bookmarkEnd w:id="11"/>
      <w:r w:rsidRPr="00222725">
        <w:t>Conversational Interfaces</w:t>
      </w:r>
    </w:p>
    <w:p w14:paraId="1230FC14" w14:textId="77777777" w:rsidR="0096616D" w:rsidRPr="00222725" w:rsidRDefault="00CE491A">
      <w:pPr>
        <w:pStyle w:val="FirstParagraph"/>
      </w:pPr>
      <w:r w:rsidRPr="00222725">
        <w:t xml:space="preserve">Beyond the command palette, conversational AI offers a complementary input method — particularly for complex queries like “show me all pending prior </w:t>
      </w:r>
      <w:proofErr w:type="spellStart"/>
      <w:r w:rsidRPr="00222725">
        <w:t>auths</w:t>
      </w:r>
      <w:proofErr w:type="spellEnd"/>
      <w:r w:rsidRPr="00222725">
        <w:t xml:space="preserve"> for member X.” Natural language interfaces lower the barrier for infrequent tasks while the command palette handles high-frequency workflows.</w:t>
      </w:r>
    </w:p>
    <w:p w14:paraId="7C4355F7" w14:textId="77777777" w:rsidR="0096616D" w:rsidRPr="00222725" w:rsidRDefault="00CE491A">
      <w:pPr>
        <w:pStyle w:val="Heading3"/>
      </w:pPr>
      <w:bookmarkStart w:id="13" w:name="accessibility"/>
      <w:bookmarkEnd w:id="12"/>
      <w:r w:rsidRPr="00222725">
        <w:t>Accessibility</w:t>
      </w:r>
    </w:p>
    <w:p w14:paraId="3E45E89B" w14:textId="77777777" w:rsidR="0096616D" w:rsidRPr="00222725" w:rsidRDefault="00CE491A">
      <w:pPr>
        <w:pStyle w:val="FirstParagraph"/>
      </w:pPr>
      <w:r w:rsidRPr="00222725">
        <w:t>Target WCAG 2.2 AA conformance, building on CVS Health’s existing accessibility foundation. The keyboard-first design philosophy inherently supports screen readers and alternative input devices.</w:t>
      </w:r>
    </w:p>
    <w:p w14:paraId="1AF95029" w14:textId="77777777" w:rsidR="0096616D" w:rsidRPr="00222725" w:rsidRDefault="00CE491A">
      <w:r>
        <w:pict w14:anchorId="12423D3F">
          <v:rect id="_x0000_i1028" style="width:0;height:1.5pt" o:hralign="center" o:hrstd="t" o:hr="t"/>
        </w:pict>
      </w:r>
    </w:p>
    <w:p w14:paraId="6985042B" w14:textId="77777777" w:rsidR="0096616D" w:rsidRPr="00222725" w:rsidRDefault="00CE491A">
      <w:pPr>
        <w:pStyle w:val="Heading2"/>
      </w:pPr>
      <w:bookmarkStart w:id="14" w:name="technology-stack"/>
      <w:bookmarkEnd w:id="7"/>
      <w:bookmarkEnd w:id="13"/>
      <w:r w:rsidRPr="00222725">
        <w:t>3. Technology Stack</w:t>
      </w:r>
    </w:p>
    <w:p w14:paraId="2EFDC634" w14:textId="77777777" w:rsidR="0096616D" w:rsidRPr="00222725" w:rsidRDefault="00CE491A">
      <w:pPr>
        <w:pStyle w:val="Heading3"/>
      </w:pPr>
      <w:bookmarkStart w:id="15" w:name="three-option-comparison"/>
      <w:r w:rsidRPr="00222725">
        <w:t>Three-Option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3262"/>
        <w:gridCol w:w="2127"/>
        <w:gridCol w:w="2411"/>
      </w:tblGrid>
      <w:tr w:rsidR="0096616D" w:rsidRPr="00222725" w14:paraId="430E22A5" w14:textId="77777777" w:rsidTr="0096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8A997E6" w14:textId="77777777" w:rsidR="0096616D" w:rsidRPr="00222725" w:rsidRDefault="00CE491A">
            <w:pPr>
              <w:pStyle w:val="Compact"/>
            </w:pPr>
            <w:r w:rsidRPr="00222725">
              <w:t>Dimension</w:t>
            </w:r>
          </w:p>
        </w:tc>
        <w:tc>
          <w:tcPr>
            <w:tcW w:w="2760" w:type="dxa"/>
          </w:tcPr>
          <w:p w14:paraId="7D3538AE" w14:textId="77777777" w:rsidR="0096616D" w:rsidRPr="00222725" w:rsidRDefault="00CE491A">
            <w:pPr>
              <w:pStyle w:val="Compact"/>
            </w:pPr>
            <w:r w:rsidRPr="00222725">
              <w:t>A: GCP-Native (Rec.)</w:t>
            </w:r>
          </w:p>
        </w:tc>
        <w:tc>
          <w:tcPr>
            <w:tcW w:w="1800" w:type="dxa"/>
          </w:tcPr>
          <w:p w14:paraId="7DCC5B26" w14:textId="77777777" w:rsidR="0096616D" w:rsidRPr="00222725" w:rsidRDefault="00CE491A">
            <w:pPr>
              <w:pStyle w:val="Compact"/>
            </w:pPr>
            <w:r w:rsidRPr="00222725">
              <w:t>B: AWS-Native</w:t>
            </w:r>
          </w:p>
        </w:tc>
        <w:tc>
          <w:tcPr>
            <w:tcW w:w="2040" w:type="dxa"/>
          </w:tcPr>
          <w:p w14:paraId="23D1CF65" w14:textId="77777777" w:rsidR="0096616D" w:rsidRPr="00222725" w:rsidRDefault="00CE491A">
            <w:pPr>
              <w:pStyle w:val="Compact"/>
            </w:pPr>
            <w:r w:rsidRPr="00222725">
              <w:t>C: Modern Cloud</w:t>
            </w:r>
          </w:p>
        </w:tc>
      </w:tr>
      <w:tr w:rsidR="0096616D" w:rsidRPr="00222725" w14:paraId="0E20E202" w14:textId="77777777">
        <w:tc>
          <w:tcPr>
            <w:tcW w:w="1320" w:type="dxa"/>
          </w:tcPr>
          <w:p w14:paraId="1053DC53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Strategic fit</w:t>
            </w:r>
          </w:p>
        </w:tc>
        <w:tc>
          <w:tcPr>
            <w:tcW w:w="2760" w:type="dxa"/>
          </w:tcPr>
          <w:p w14:paraId="7C382175" w14:textId="77777777" w:rsidR="0096616D" w:rsidRPr="00222725" w:rsidRDefault="00CE491A">
            <w:pPr>
              <w:pStyle w:val="Compact"/>
            </w:pPr>
            <w:r w:rsidRPr="00222725">
              <w:t xml:space="preserve">Health100 partnership (Gemini, </w:t>
            </w:r>
            <w:proofErr w:type="spellStart"/>
            <w:r w:rsidRPr="00222725">
              <w:t>BigQuery</w:t>
            </w:r>
            <w:proofErr w:type="spellEnd"/>
            <w:r w:rsidRPr="00222725">
              <w:t>, Cloud Healthcare API)</w:t>
            </w:r>
          </w:p>
        </w:tc>
        <w:tc>
          <w:tcPr>
            <w:tcW w:w="1800" w:type="dxa"/>
          </w:tcPr>
          <w:p w14:paraId="10688662" w14:textId="77777777" w:rsidR="0096616D" w:rsidRPr="00222725" w:rsidRDefault="00CE491A">
            <w:pPr>
              <w:pStyle w:val="Compact"/>
            </w:pPr>
            <w:r w:rsidRPr="00222725">
              <w:t>Largest HIPAA-eligible service catalog</w:t>
            </w:r>
          </w:p>
        </w:tc>
        <w:tc>
          <w:tcPr>
            <w:tcW w:w="2040" w:type="dxa"/>
          </w:tcPr>
          <w:p w14:paraId="14F82144" w14:textId="77777777" w:rsidR="0096616D" w:rsidRPr="00222725" w:rsidRDefault="00CE491A">
            <w:pPr>
              <w:pStyle w:val="Compact"/>
            </w:pPr>
            <w:r w:rsidRPr="00222725">
              <w:t>Maximum developer velocity</w:t>
            </w:r>
          </w:p>
        </w:tc>
      </w:tr>
      <w:tr w:rsidR="0096616D" w:rsidRPr="00222725" w14:paraId="6ED3148F" w14:textId="77777777">
        <w:tc>
          <w:tcPr>
            <w:tcW w:w="1320" w:type="dxa"/>
          </w:tcPr>
          <w:p w14:paraId="1E8B11F6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Compute</w:t>
            </w:r>
          </w:p>
        </w:tc>
        <w:tc>
          <w:tcPr>
            <w:tcW w:w="2760" w:type="dxa"/>
          </w:tcPr>
          <w:p w14:paraId="583CDCCA" w14:textId="77777777" w:rsidR="0096616D" w:rsidRPr="00222725" w:rsidRDefault="00CE491A">
            <w:pPr>
              <w:pStyle w:val="Compact"/>
            </w:pPr>
            <w:r w:rsidRPr="00222725">
              <w:t>Cloud Run + GKE Autopilot</w:t>
            </w:r>
          </w:p>
        </w:tc>
        <w:tc>
          <w:tcPr>
            <w:tcW w:w="1800" w:type="dxa"/>
          </w:tcPr>
          <w:p w14:paraId="31EF03BB" w14:textId="77777777" w:rsidR="0096616D" w:rsidRPr="00222725" w:rsidRDefault="00CE491A">
            <w:pPr>
              <w:pStyle w:val="Compact"/>
            </w:pPr>
            <w:r w:rsidRPr="00222725">
              <w:t>ECS Fargate</w:t>
            </w:r>
          </w:p>
        </w:tc>
        <w:tc>
          <w:tcPr>
            <w:tcW w:w="2040" w:type="dxa"/>
          </w:tcPr>
          <w:p w14:paraId="396EE850" w14:textId="77777777" w:rsidR="0096616D" w:rsidRPr="00222725" w:rsidRDefault="00CE491A">
            <w:pPr>
              <w:pStyle w:val="Compact"/>
            </w:pPr>
            <w:proofErr w:type="spellStart"/>
            <w:r w:rsidRPr="00222725">
              <w:t>Vercel</w:t>
            </w:r>
            <w:proofErr w:type="spellEnd"/>
            <w:r w:rsidRPr="00222725">
              <w:t xml:space="preserve"> + Cloud Run</w:t>
            </w:r>
          </w:p>
        </w:tc>
      </w:tr>
      <w:tr w:rsidR="0096616D" w:rsidRPr="00222725" w14:paraId="226323D9" w14:textId="77777777">
        <w:tc>
          <w:tcPr>
            <w:tcW w:w="1320" w:type="dxa"/>
          </w:tcPr>
          <w:p w14:paraId="32C8A770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Database</w:t>
            </w:r>
          </w:p>
        </w:tc>
        <w:tc>
          <w:tcPr>
            <w:tcW w:w="2760" w:type="dxa"/>
          </w:tcPr>
          <w:p w14:paraId="56CC4655" w14:textId="77777777" w:rsidR="0096616D" w:rsidRPr="00222725" w:rsidRDefault="00CE491A">
            <w:pPr>
              <w:pStyle w:val="Compact"/>
            </w:pPr>
            <w:r w:rsidRPr="00222725">
              <w:t xml:space="preserve">Cloud SQL PostgreSQL + </w:t>
            </w:r>
            <w:proofErr w:type="spellStart"/>
            <w:r w:rsidRPr="00222725">
              <w:t>BigQuery</w:t>
            </w:r>
            <w:proofErr w:type="spellEnd"/>
          </w:p>
        </w:tc>
        <w:tc>
          <w:tcPr>
            <w:tcW w:w="1800" w:type="dxa"/>
          </w:tcPr>
          <w:p w14:paraId="75B31221" w14:textId="77777777" w:rsidR="0096616D" w:rsidRPr="00222725" w:rsidRDefault="00CE491A">
            <w:pPr>
              <w:pStyle w:val="Compact"/>
            </w:pPr>
            <w:r w:rsidRPr="00222725">
              <w:t>RDS PostgreSQL + Redshift</w:t>
            </w:r>
          </w:p>
        </w:tc>
        <w:tc>
          <w:tcPr>
            <w:tcW w:w="2040" w:type="dxa"/>
          </w:tcPr>
          <w:p w14:paraId="71CB615D" w14:textId="77777777" w:rsidR="0096616D" w:rsidRPr="00222725" w:rsidRDefault="00CE491A">
            <w:pPr>
              <w:pStyle w:val="Compact"/>
            </w:pPr>
            <w:proofErr w:type="spellStart"/>
            <w:r w:rsidRPr="00222725">
              <w:t>Supabase</w:t>
            </w:r>
            <w:proofErr w:type="spellEnd"/>
            <w:r w:rsidRPr="00222725">
              <w:t xml:space="preserve"> PostgreSQL</w:t>
            </w:r>
          </w:p>
        </w:tc>
      </w:tr>
      <w:tr w:rsidR="0096616D" w:rsidRPr="00EC3879" w14:paraId="5F117303" w14:textId="77777777">
        <w:tc>
          <w:tcPr>
            <w:tcW w:w="1320" w:type="dxa"/>
          </w:tcPr>
          <w:p w14:paraId="5063076F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AI/ML</w:t>
            </w:r>
          </w:p>
        </w:tc>
        <w:tc>
          <w:tcPr>
            <w:tcW w:w="2760" w:type="dxa"/>
          </w:tcPr>
          <w:p w14:paraId="022111BB" w14:textId="77777777" w:rsidR="0096616D" w:rsidRPr="00222725" w:rsidRDefault="00CE491A">
            <w:pPr>
              <w:pStyle w:val="Compact"/>
            </w:pPr>
            <w:r w:rsidRPr="00222725">
              <w:t>Vertex AI (Gemini)</w:t>
            </w:r>
          </w:p>
        </w:tc>
        <w:tc>
          <w:tcPr>
            <w:tcW w:w="1800" w:type="dxa"/>
          </w:tcPr>
          <w:p w14:paraId="49B1F5B2" w14:textId="7BAC621D" w:rsidR="0096616D" w:rsidRPr="00222725" w:rsidRDefault="00CE491A">
            <w:pPr>
              <w:pStyle w:val="Compact"/>
            </w:pPr>
            <w:r w:rsidRPr="00222725">
              <w:t>Bedrock (Claude) + Comprehend Medical</w:t>
            </w:r>
          </w:p>
        </w:tc>
        <w:tc>
          <w:tcPr>
            <w:tcW w:w="2040" w:type="dxa"/>
          </w:tcPr>
          <w:p w14:paraId="4B2B8170" w14:textId="77777777" w:rsidR="0096616D" w:rsidRPr="00EC3879" w:rsidRDefault="00CE491A">
            <w:pPr>
              <w:pStyle w:val="Compact"/>
              <w:rPr>
                <w:lang w:val="es-ES"/>
              </w:rPr>
            </w:pPr>
            <w:r w:rsidRPr="00EC3879">
              <w:rPr>
                <w:lang w:val="es-ES"/>
              </w:rPr>
              <w:t>Vercel AI SDK (model-agnostic)</w:t>
            </w:r>
          </w:p>
        </w:tc>
      </w:tr>
      <w:tr w:rsidR="0096616D" w:rsidRPr="00222725" w14:paraId="7442839B" w14:textId="77777777">
        <w:tc>
          <w:tcPr>
            <w:tcW w:w="1320" w:type="dxa"/>
          </w:tcPr>
          <w:p w14:paraId="3B762550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Healthcare data</w:t>
            </w:r>
          </w:p>
        </w:tc>
        <w:tc>
          <w:tcPr>
            <w:tcW w:w="2760" w:type="dxa"/>
          </w:tcPr>
          <w:p w14:paraId="3E824521" w14:textId="77777777" w:rsidR="0096616D" w:rsidRPr="00222725" w:rsidRDefault="00CE491A">
            <w:pPr>
              <w:pStyle w:val="Compact"/>
            </w:pPr>
            <w:r w:rsidRPr="00222725">
              <w:t>Cloud Healthcare API (FHIR R4)</w:t>
            </w:r>
          </w:p>
        </w:tc>
        <w:tc>
          <w:tcPr>
            <w:tcW w:w="1800" w:type="dxa"/>
          </w:tcPr>
          <w:p w14:paraId="26A2DF60" w14:textId="77777777" w:rsidR="0096616D" w:rsidRPr="00222725" w:rsidRDefault="00CE491A">
            <w:pPr>
              <w:pStyle w:val="Compact"/>
            </w:pPr>
            <w:proofErr w:type="spellStart"/>
            <w:r w:rsidRPr="00222725">
              <w:t>HealthLake</w:t>
            </w:r>
            <w:proofErr w:type="spellEnd"/>
            <w:r w:rsidRPr="00222725">
              <w:t xml:space="preserve"> (FHIR R4 + NLP)</w:t>
            </w:r>
          </w:p>
        </w:tc>
        <w:tc>
          <w:tcPr>
            <w:tcW w:w="2040" w:type="dxa"/>
          </w:tcPr>
          <w:p w14:paraId="51603E4A" w14:textId="77777777" w:rsidR="0096616D" w:rsidRPr="00222725" w:rsidRDefault="00CE491A">
            <w:pPr>
              <w:pStyle w:val="Compact"/>
            </w:pPr>
            <w:r w:rsidRPr="00222725">
              <w:t>HAPI FHIR on PostgreSQL</w:t>
            </w:r>
          </w:p>
        </w:tc>
      </w:tr>
      <w:tr w:rsidR="0096616D" w:rsidRPr="00222725" w14:paraId="24250E55" w14:textId="77777777">
        <w:tc>
          <w:tcPr>
            <w:tcW w:w="1320" w:type="dxa"/>
          </w:tcPr>
          <w:p w14:paraId="36BFD2A3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API management</w:t>
            </w:r>
          </w:p>
        </w:tc>
        <w:tc>
          <w:tcPr>
            <w:tcW w:w="2760" w:type="dxa"/>
          </w:tcPr>
          <w:p w14:paraId="78007E78" w14:textId="087F7CAD" w:rsidR="0096616D" w:rsidRPr="00222725" w:rsidRDefault="00CE491A">
            <w:pPr>
              <w:pStyle w:val="Compact"/>
            </w:pPr>
            <w:r w:rsidRPr="00222725">
              <w:t>Apigee</w:t>
            </w:r>
          </w:p>
        </w:tc>
        <w:tc>
          <w:tcPr>
            <w:tcW w:w="1800" w:type="dxa"/>
          </w:tcPr>
          <w:p w14:paraId="4600B7D5" w14:textId="77777777" w:rsidR="0096616D" w:rsidRPr="00222725" w:rsidRDefault="00CE491A">
            <w:pPr>
              <w:pStyle w:val="Compact"/>
            </w:pPr>
            <w:r w:rsidRPr="00222725">
              <w:t>API Gateway</w:t>
            </w:r>
          </w:p>
        </w:tc>
        <w:tc>
          <w:tcPr>
            <w:tcW w:w="2040" w:type="dxa"/>
          </w:tcPr>
          <w:p w14:paraId="24993222" w14:textId="77777777" w:rsidR="0096616D" w:rsidRPr="00222725" w:rsidRDefault="00CE491A">
            <w:pPr>
              <w:pStyle w:val="Compact"/>
            </w:pPr>
            <w:r w:rsidRPr="00222725">
              <w:t>API routes</w:t>
            </w:r>
          </w:p>
        </w:tc>
      </w:tr>
      <w:tr w:rsidR="0096616D" w:rsidRPr="00222725" w14:paraId="5CD2B0AD" w14:textId="77777777">
        <w:tc>
          <w:tcPr>
            <w:tcW w:w="1320" w:type="dxa"/>
          </w:tcPr>
          <w:p w14:paraId="3CA38D66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Zero trust</w:t>
            </w:r>
          </w:p>
        </w:tc>
        <w:tc>
          <w:tcPr>
            <w:tcW w:w="2760" w:type="dxa"/>
          </w:tcPr>
          <w:p w14:paraId="69745692" w14:textId="77777777" w:rsidR="0096616D" w:rsidRPr="00222725" w:rsidRDefault="00CE491A">
            <w:pPr>
              <w:pStyle w:val="Compact"/>
            </w:pPr>
            <w:proofErr w:type="spellStart"/>
            <w:r w:rsidRPr="00222725">
              <w:t>BeyondCorp</w:t>
            </w:r>
            <w:proofErr w:type="spellEnd"/>
            <w:r w:rsidRPr="00222725">
              <w:t xml:space="preserve"> Enterprise</w:t>
            </w:r>
          </w:p>
        </w:tc>
        <w:tc>
          <w:tcPr>
            <w:tcW w:w="1800" w:type="dxa"/>
          </w:tcPr>
          <w:p w14:paraId="2F2A1B0C" w14:textId="77777777" w:rsidR="0096616D" w:rsidRPr="00222725" w:rsidRDefault="00CE491A">
            <w:pPr>
              <w:pStyle w:val="Compact"/>
            </w:pPr>
            <w:r w:rsidRPr="00222725">
              <w:t>Verified Access</w:t>
            </w:r>
          </w:p>
        </w:tc>
        <w:tc>
          <w:tcPr>
            <w:tcW w:w="2040" w:type="dxa"/>
          </w:tcPr>
          <w:p w14:paraId="7D5C666F" w14:textId="77777777" w:rsidR="0096616D" w:rsidRPr="00222725" w:rsidRDefault="00CE491A">
            <w:pPr>
              <w:pStyle w:val="Compact"/>
            </w:pPr>
            <w:r w:rsidRPr="00222725">
              <w:t>Cloudflare Access</w:t>
            </w:r>
          </w:p>
        </w:tc>
      </w:tr>
      <w:tr w:rsidR="0096616D" w:rsidRPr="00222725" w14:paraId="603EC309" w14:textId="77777777">
        <w:tc>
          <w:tcPr>
            <w:tcW w:w="1320" w:type="dxa"/>
          </w:tcPr>
          <w:p w14:paraId="19D0BC89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Hybrid connectivity</w:t>
            </w:r>
          </w:p>
        </w:tc>
        <w:tc>
          <w:tcPr>
            <w:tcW w:w="2760" w:type="dxa"/>
          </w:tcPr>
          <w:p w14:paraId="77DD8585" w14:textId="77777777" w:rsidR="0096616D" w:rsidRPr="00222725" w:rsidRDefault="00CE491A">
            <w:pPr>
              <w:pStyle w:val="Compact"/>
            </w:pPr>
            <w:r w:rsidRPr="00222725">
              <w:t>Partner Interconnect + VPN</w:t>
            </w:r>
          </w:p>
        </w:tc>
        <w:tc>
          <w:tcPr>
            <w:tcW w:w="1800" w:type="dxa"/>
          </w:tcPr>
          <w:p w14:paraId="08583089" w14:textId="77777777" w:rsidR="0096616D" w:rsidRPr="00222725" w:rsidRDefault="00CE491A">
            <w:pPr>
              <w:pStyle w:val="Compact"/>
            </w:pPr>
            <w:r w:rsidRPr="00222725">
              <w:t>Direct Connect + VPN</w:t>
            </w:r>
          </w:p>
        </w:tc>
        <w:tc>
          <w:tcPr>
            <w:tcW w:w="2040" w:type="dxa"/>
          </w:tcPr>
          <w:p w14:paraId="3A4ABCEE" w14:textId="77777777" w:rsidR="0096616D" w:rsidRPr="00222725" w:rsidRDefault="00CE491A">
            <w:pPr>
              <w:pStyle w:val="Compact"/>
            </w:pPr>
            <w:r w:rsidRPr="00222725">
              <w:t>VPN / TLS</w:t>
            </w:r>
          </w:p>
        </w:tc>
      </w:tr>
      <w:tr w:rsidR="0096616D" w:rsidRPr="00222725" w14:paraId="2B1FF5B9" w14:textId="77777777">
        <w:tc>
          <w:tcPr>
            <w:tcW w:w="1320" w:type="dxa"/>
          </w:tcPr>
          <w:p w14:paraId="62CD2289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Why not primary</w:t>
            </w:r>
          </w:p>
        </w:tc>
        <w:tc>
          <w:tcPr>
            <w:tcW w:w="2760" w:type="dxa"/>
          </w:tcPr>
          <w:p w14:paraId="72B2BBAE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Recommended</w:t>
            </w:r>
          </w:p>
        </w:tc>
        <w:tc>
          <w:tcPr>
            <w:tcW w:w="1800" w:type="dxa"/>
          </w:tcPr>
          <w:p w14:paraId="4DD70137" w14:textId="77777777" w:rsidR="0096616D" w:rsidRPr="00222725" w:rsidRDefault="00CE491A">
            <w:pPr>
              <w:pStyle w:val="Compact"/>
            </w:pPr>
            <w:r w:rsidRPr="00222725">
              <w:t>Cross-cloud complexity with Health100</w:t>
            </w:r>
          </w:p>
        </w:tc>
        <w:tc>
          <w:tcPr>
            <w:tcW w:w="2040" w:type="dxa"/>
          </w:tcPr>
          <w:p w14:paraId="4C567053" w14:textId="50D88D50" w:rsidR="0096616D" w:rsidRPr="00222725" w:rsidRDefault="00CE491A">
            <w:pPr>
              <w:pStyle w:val="Compact"/>
            </w:pPr>
            <w:r w:rsidRPr="00222725">
              <w:t>Unproven at</w:t>
            </w:r>
            <w:r w:rsidR="00D11A6A" w:rsidRPr="00222725">
              <w:t xml:space="preserve"> </w:t>
            </w:r>
            <w:r w:rsidRPr="00222725">
              <w:t>scale</w:t>
            </w:r>
          </w:p>
        </w:tc>
      </w:tr>
    </w:tbl>
    <w:p w14:paraId="04227E52" w14:textId="77777777" w:rsidR="0096616D" w:rsidRPr="00222725" w:rsidRDefault="00CE491A">
      <w:pPr>
        <w:pStyle w:val="BodyText"/>
      </w:pPr>
      <w:r w:rsidRPr="00222725">
        <w:rPr>
          <w:b/>
          <w:bCs/>
        </w:rPr>
        <w:t>Why GCP:</w:t>
      </w:r>
      <w:r w:rsidRPr="00222725">
        <w:t xml:space="preserve"> CVS’s Google Cloud partnership means Health100 runs on Gemini, </w:t>
      </w:r>
      <w:proofErr w:type="spellStart"/>
      <w:r w:rsidRPr="00222725">
        <w:t>BigQuery</w:t>
      </w:r>
      <w:proofErr w:type="spellEnd"/>
      <w:r w:rsidRPr="00222725">
        <w:t>, and Cloud Healthcare API. Building PBM modernization on a different cloud would duplicate FHIR infrastructure and add cross-cloud integration complexity. Option B remains a strong fallback if the GCP partnership scope is narrower than assumed.</w:t>
      </w:r>
    </w:p>
    <w:p w14:paraId="3A54C789" w14:textId="77777777" w:rsidR="0096616D" w:rsidRPr="00222725" w:rsidRDefault="00CE491A">
      <w:pPr>
        <w:pStyle w:val="BodyText"/>
      </w:pPr>
      <w:r w:rsidRPr="00222725">
        <w:rPr>
          <w:b/>
          <w:bCs/>
        </w:rPr>
        <w:t>Why not Option C:</w:t>
      </w:r>
      <w:r w:rsidRPr="00222725">
        <w:t xml:space="preserve"> Fastest time-to-value and the most modern developer </w:t>
      </w:r>
      <w:proofErr w:type="gramStart"/>
      <w:r w:rsidRPr="00222725">
        <w:t>experience, but</w:t>
      </w:r>
      <w:proofErr w:type="gramEnd"/>
      <w:r w:rsidRPr="00222725">
        <w:t xml:space="preserve"> lacks published deployments at CVS’s scale (9,000+ retail locations). For a </w:t>
      </w:r>
      <w:proofErr w:type="gramStart"/>
      <w:r w:rsidRPr="00222725">
        <w:t>smaller-scope</w:t>
      </w:r>
      <w:proofErr w:type="gramEnd"/>
      <w:r w:rsidRPr="00222725">
        <w:t xml:space="preserve"> </w:t>
      </w:r>
      <w:proofErr w:type="gramStart"/>
      <w:r w:rsidRPr="00222725">
        <w:t>greenfield</w:t>
      </w:r>
      <w:proofErr w:type="gramEnd"/>
      <w:r w:rsidRPr="00222725">
        <w:t xml:space="preserve"> project, this would be my first choice.</w:t>
      </w:r>
    </w:p>
    <w:p w14:paraId="6177B200" w14:textId="77777777" w:rsidR="0096616D" w:rsidRPr="00222725" w:rsidRDefault="00CE491A">
      <w:pPr>
        <w:pStyle w:val="Heading3"/>
      </w:pPr>
      <w:bookmarkStart w:id="16" w:name="recommended-stack-gcp-native"/>
      <w:bookmarkEnd w:id="15"/>
      <w:r w:rsidRPr="00222725">
        <w:t>Recommended Stack (GCP-Native)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3343"/>
        <w:gridCol w:w="3677"/>
      </w:tblGrid>
      <w:tr w:rsidR="0096616D" w:rsidRPr="00222725" w14:paraId="383790A0" w14:textId="77777777" w:rsidTr="0096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7F4A508" w14:textId="77777777" w:rsidR="0096616D" w:rsidRPr="00222725" w:rsidRDefault="00CE491A">
            <w:pPr>
              <w:pStyle w:val="Compact"/>
            </w:pPr>
            <w:r w:rsidRPr="00222725">
              <w:t>Layer</w:t>
            </w:r>
          </w:p>
        </w:tc>
        <w:tc>
          <w:tcPr>
            <w:tcW w:w="2828" w:type="dxa"/>
          </w:tcPr>
          <w:p w14:paraId="0F6C077D" w14:textId="77777777" w:rsidR="0096616D" w:rsidRPr="00222725" w:rsidRDefault="00CE491A">
            <w:pPr>
              <w:pStyle w:val="Compact"/>
            </w:pPr>
            <w:r w:rsidRPr="00222725">
              <w:t>Approach</w:t>
            </w:r>
          </w:p>
        </w:tc>
        <w:tc>
          <w:tcPr>
            <w:tcW w:w="3111" w:type="dxa"/>
          </w:tcPr>
          <w:p w14:paraId="3E68093F" w14:textId="77777777" w:rsidR="0096616D" w:rsidRPr="00222725" w:rsidRDefault="00CE491A">
            <w:pPr>
              <w:pStyle w:val="Compact"/>
            </w:pPr>
            <w:r w:rsidRPr="00222725">
              <w:t>Rationale</w:t>
            </w:r>
          </w:p>
        </w:tc>
      </w:tr>
      <w:tr w:rsidR="0096616D" w:rsidRPr="00222725" w14:paraId="744E93F9" w14:textId="77777777">
        <w:tc>
          <w:tcPr>
            <w:tcW w:w="1980" w:type="dxa"/>
          </w:tcPr>
          <w:p w14:paraId="46B422B1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Frontend</w:t>
            </w:r>
          </w:p>
        </w:tc>
        <w:tc>
          <w:tcPr>
            <w:tcW w:w="2828" w:type="dxa"/>
          </w:tcPr>
          <w:p w14:paraId="07A3AE9B" w14:textId="77777777" w:rsidR="0096616D" w:rsidRPr="00222725" w:rsidRDefault="00CE491A">
            <w:pPr>
              <w:pStyle w:val="Compact"/>
            </w:pPr>
            <w:r w:rsidRPr="00222725">
              <w:t>React micro-frontends</w:t>
            </w:r>
          </w:p>
        </w:tc>
        <w:tc>
          <w:tcPr>
            <w:tcW w:w="3111" w:type="dxa"/>
          </w:tcPr>
          <w:p w14:paraId="2D6E1CAB" w14:textId="77777777" w:rsidR="0096616D" w:rsidRPr="00222725" w:rsidRDefault="00CE491A">
            <w:pPr>
              <w:pStyle w:val="Compact"/>
            </w:pPr>
            <w:r w:rsidRPr="00222725">
              <w:t>Screen-by-screen migration; server rendering keeps PHI server-side</w:t>
            </w:r>
          </w:p>
        </w:tc>
      </w:tr>
      <w:tr w:rsidR="0096616D" w:rsidRPr="00222725" w14:paraId="28D2B1E8" w14:textId="77777777">
        <w:tc>
          <w:tcPr>
            <w:tcW w:w="1980" w:type="dxa"/>
          </w:tcPr>
          <w:p w14:paraId="058FBF15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Backend</w:t>
            </w:r>
          </w:p>
        </w:tc>
        <w:tc>
          <w:tcPr>
            <w:tcW w:w="2828" w:type="dxa"/>
          </w:tcPr>
          <w:p w14:paraId="76A23369" w14:textId="77777777" w:rsidR="0096616D" w:rsidRPr="00222725" w:rsidRDefault="00CE491A">
            <w:pPr>
              <w:pStyle w:val="Compact"/>
            </w:pPr>
            <w:r w:rsidRPr="00222725">
              <w:t>Cloud Run services</w:t>
            </w:r>
          </w:p>
        </w:tc>
        <w:tc>
          <w:tcPr>
            <w:tcW w:w="3111" w:type="dxa"/>
          </w:tcPr>
          <w:p w14:paraId="479B387B" w14:textId="77777777" w:rsidR="0096616D" w:rsidRPr="00222725" w:rsidRDefault="00CE491A">
            <w:pPr>
              <w:pStyle w:val="Compact"/>
            </w:pPr>
            <w:r w:rsidRPr="00222725">
              <w:t>Anti-corruption layer between legacy and modern; auto-scales to zero</w:t>
            </w:r>
          </w:p>
        </w:tc>
      </w:tr>
      <w:tr w:rsidR="0096616D" w:rsidRPr="00222725" w14:paraId="186273B5" w14:textId="77777777">
        <w:tc>
          <w:tcPr>
            <w:tcW w:w="1980" w:type="dxa"/>
          </w:tcPr>
          <w:p w14:paraId="35FFE859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API Gateway</w:t>
            </w:r>
          </w:p>
        </w:tc>
        <w:tc>
          <w:tcPr>
            <w:tcW w:w="2828" w:type="dxa"/>
          </w:tcPr>
          <w:p w14:paraId="35817AB8" w14:textId="324985ED" w:rsidR="0096616D" w:rsidRPr="00222725" w:rsidRDefault="00CE491A">
            <w:pPr>
              <w:pStyle w:val="Compact"/>
            </w:pPr>
            <w:r w:rsidRPr="00222725">
              <w:t>Apigee</w:t>
            </w:r>
          </w:p>
        </w:tc>
        <w:tc>
          <w:tcPr>
            <w:tcW w:w="3111" w:type="dxa"/>
          </w:tcPr>
          <w:p w14:paraId="434DBD42" w14:textId="77777777" w:rsidR="0096616D" w:rsidRPr="00222725" w:rsidRDefault="00CE491A">
            <w:pPr>
              <w:pStyle w:val="Compact"/>
            </w:pPr>
            <w:r w:rsidRPr="00222725">
              <w:t>Routes traffic to legacy or modern path; FHIR support</w:t>
            </w:r>
          </w:p>
        </w:tc>
      </w:tr>
      <w:tr w:rsidR="0096616D" w:rsidRPr="00222725" w14:paraId="6EB909CB" w14:textId="77777777">
        <w:tc>
          <w:tcPr>
            <w:tcW w:w="1980" w:type="dxa"/>
          </w:tcPr>
          <w:p w14:paraId="13FD9B5B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Database</w:t>
            </w:r>
          </w:p>
        </w:tc>
        <w:tc>
          <w:tcPr>
            <w:tcW w:w="2828" w:type="dxa"/>
          </w:tcPr>
          <w:p w14:paraId="033DB92B" w14:textId="77777777" w:rsidR="0096616D" w:rsidRPr="00222725" w:rsidRDefault="00CE491A">
            <w:pPr>
              <w:pStyle w:val="Compact"/>
            </w:pPr>
            <w:r w:rsidRPr="00222725">
              <w:t xml:space="preserve">Cloud SQL (transactional) + </w:t>
            </w:r>
            <w:proofErr w:type="spellStart"/>
            <w:r w:rsidRPr="00222725">
              <w:t>BigQuery</w:t>
            </w:r>
            <w:proofErr w:type="spellEnd"/>
            <w:r w:rsidRPr="00222725">
              <w:t xml:space="preserve"> (analytics)</w:t>
            </w:r>
          </w:p>
        </w:tc>
        <w:tc>
          <w:tcPr>
            <w:tcW w:w="3111" w:type="dxa"/>
          </w:tcPr>
          <w:p w14:paraId="71F5688E" w14:textId="01AD3216" w:rsidR="0096616D" w:rsidRPr="00222725" w:rsidRDefault="00CE491A">
            <w:pPr>
              <w:pStyle w:val="Compact"/>
            </w:pPr>
            <w:r w:rsidRPr="00222725">
              <w:t xml:space="preserve">Operational and analytical workloads </w:t>
            </w:r>
            <w:r w:rsidR="00DB4F04" w:rsidRPr="00222725">
              <w:t xml:space="preserve">are </w:t>
            </w:r>
            <w:r w:rsidRPr="00222725">
              <w:t>separated</w:t>
            </w:r>
          </w:p>
        </w:tc>
      </w:tr>
      <w:tr w:rsidR="0096616D" w:rsidRPr="00222725" w14:paraId="198BC33C" w14:textId="77777777">
        <w:tc>
          <w:tcPr>
            <w:tcW w:w="1980" w:type="dxa"/>
          </w:tcPr>
          <w:p w14:paraId="4BB9AB67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Healthcare data</w:t>
            </w:r>
          </w:p>
        </w:tc>
        <w:tc>
          <w:tcPr>
            <w:tcW w:w="2828" w:type="dxa"/>
          </w:tcPr>
          <w:p w14:paraId="2CF17599" w14:textId="77777777" w:rsidR="0096616D" w:rsidRPr="00222725" w:rsidRDefault="00CE491A">
            <w:pPr>
              <w:pStyle w:val="Compact"/>
            </w:pPr>
            <w:r w:rsidRPr="00222725">
              <w:t>Cloud Healthcare API (FHIR R4)</w:t>
            </w:r>
          </w:p>
        </w:tc>
        <w:tc>
          <w:tcPr>
            <w:tcW w:w="3111" w:type="dxa"/>
          </w:tcPr>
          <w:p w14:paraId="463926A1" w14:textId="77777777" w:rsidR="0096616D" w:rsidRPr="00222725" w:rsidRDefault="00CE491A">
            <w:pPr>
              <w:pStyle w:val="Compact"/>
            </w:pPr>
            <w:r w:rsidRPr="00222725">
              <w:t>Native FHIR; supports Health100 integration</w:t>
            </w:r>
          </w:p>
        </w:tc>
      </w:tr>
      <w:tr w:rsidR="0096616D" w:rsidRPr="00222725" w14:paraId="0AD37230" w14:textId="77777777">
        <w:tc>
          <w:tcPr>
            <w:tcW w:w="1980" w:type="dxa"/>
          </w:tcPr>
          <w:p w14:paraId="21CD98FC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AI/ML</w:t>
            </w:r>
          </w:p>
        </w:tc>
        <w:tc>
          <w:tcPr>
            <w:tcW w:w="2828" w:type="dxa"/>
          </w:tcPr>
          <w:p w14:paraId="6772BA43" w14:textId="77777777" w:rsidR="0096616D" w:rsidRPr="00222725" w:rsidRDefault="00CE491A">
            <w:pPr>
              <w:pStyle w:val="Compact"/>
            </w:pPr>
            <w:r w:rsidRPr="00222725">
              <w:t>Vertex AI</w:t>
            </w:r>
          </w:p>
        </w:tc>
        <w:tc>
          <w:tcPr>
            <w:tcW w:w="3111" w:type="dxa"/>
          </w:tcPr>
          <w:p w14:paraId="37607774" w14:textId="77777777" w:rsidR="0096616D" w:rsidRPr="00222725" w:rsidRDefault="00CE491A">
            <w:pPr>
              <w:pStyle w:val="Compact"/>
            </w:pPr>
            <w:r w:rsidRPr="00222725">
              <w:t>Tiered inference for GenAI pipeline</w:t>
            </w:r>
          </w:p>
        </w:tc>
      </w:tr>
      <w:tr w:rsidR="0096616D" w:rsidRPr="00222725" w14:paraId="488476DF" w14:textId="77777777">
        <w:tc>
          <w:tcPr>
            <w:tcW w:w="1980" w:type="dxa"/>
          </w:tcPr>
          <w:p w14:paraId="6CD05521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Messaging</w:t>
            </w:r>
          </w:p>
        </w:tc>
        <w:tc>
          <w:tcPr>
            <w:tcW w:w="2828" w:type="dxa"/>
          </w:tcPr>
          <w:p w14:paraId="0F5ECDF3" w14:textId="77777777" w:rsidR="0096616D" w:rsidRPr="00222725" w:rsidRDefault="00CE491A">
            <w:pPr>
              <w:pStyle w:val="Compact"/>
            </w:pPr>
            <w:r w:rsidRPr="00222725">
              <w:t>Pub/Sub</w:t>
            </w:r>
          </w:p>
        </w:tc>
        <w:tc>
          <w:tcPr>
            <w:tcW w:w="3111" w:type="dxa"/>
          </w:tcPr>
          <w:p w14:paraId="430F999A" w14:textId="77777777" w:rsidR="0096616D" w:rsidRPr="00222725" w:rsidRDefault="00CE491A">
            <w:pPr>
              <w:pStyle w:val="Compact"/>
            </w:pPr>
            <w:r w:rsidRPr="00222725">
              <w:t>Event-driven backbone for async workflows and Health100 events</w:t>
            </w:r>
          </w:p>
        </w:tc>
      </w:tr>
      <w:tr w:rsidR="0096616D" w:rsidRPr="00222725" w14:paraId="1CDC3021" w14:textId="77777777">
        <w:tc>
          <w:tcPr>
            <w:tcW w:w="1980" w:type="dxa"/>
          </w:tcPr>
          <w:p w14:paraId="1CD11F42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Observability</w:t>
            </w:r>
          </w:p>
        </w:tc>
        <w:tc>
          <w:tcPr>
            <w:tcW w:w="2828" w:type="dxa"/>
          </w:tcPr>
          <w:p w14:paraId="1DA8DD14" w14:textId="77777777" w:rsidR="0096616D" w:rsidRPr="00222725" w:rsidRDefault="00CE491A">
            <w:pPr>
              <w:pStyle w:val="Compact"/>
            </w:pPr>
            <w:r w:rsidRPr="00222725">
              <w:t xml:space="preserve">Cloud Monitoring + </w:t>
            </w:r>
            <w:proofErr w:type="spellStart"/>
            <w:r w:rsidRPr="00222725">
              <w:t>OpenTelemetry</w:t>
            </w:r>
            <w:proofErr w:type="spellEnd"/>
          </w:p>
        </w:tc>
        <w:tc>
          <w:tcPr>
            <w:tcW w:w="3111" w:type="dxa"/>
          </w:tcPr>
          <w:p w14:paraId="72360149" w14:textId="77777777" w:rsidR="0096616D" w:rsidRPr="00222725" w:rsidRDefault="00CE491A">
            <w:pPr>
              <w:pStyle w:val="Compact"/>
            </w:pPr>
            <w:r w:rsidRPr="00222725">
              <w:t>Distributed tracing across legacy and modern systems</w:t>
            </w:r>
          </w:p>
        </w:tc>
      </w:tr>
    </w:tbl>
    <w:p w14:paraId="462F16F6" w14:textId="77777777" w:rsidR="0096616D" w:rsidRPr="00222725" w:rsidRDefault="00CE491A">
      <w:pPr>
        <w:pStyle w:val="Heading3"/>
      </w:pPr>
      <w:bookmarkStart w:id="17" w:name="X068c40fbb570b3db332c99373224aff6a45bf29"/>
      <w:bookmarkEnd w:id="16"/>
      <w:r w:rsidRPr="00222725">
        <w:t>GenAI Pipeline — Prior Authorization Automation</w:t>
      </w:r>
    </w:p>
    <w:p w14:paraId="1790C552" w14:textId="77777777" w:rsidR="0096616D" w:rsidRPr="00222725" w:rsidRDefault="00CE491A">
      <w:pPr>
        <w:pStyle w:val="FirstParagraph"/>
      </w:pPr>
      <w:r w:rsidRPr="00222725">
        <w:t>The prior authorization (PA) workflow is the strongest candidate for GenAI augmentation: it involves document review, clinical code extraction, and formulary matching — all tasks where large language models add measurable value.</w:t>
      </w:r>
    </w:p>
    <w:p w14:paraId="27EE881F" w14:textId="3F2C4697" w:rsidR="0096616D" w:rsidRPr="00222725" w:rsidRDefault="00CE491A" w:rsidP="00FD5BCD">
      <w:pPr>
        <w:pStyle w:val="BodyText"/>
      </w:pPr>
      <w:r w:rsidRPr="00222725">
        <w:rPr>
          <w:noProof/>
        </w:rPr>
        <w:drawing>
          <wp:anchor distT="0" distB="0" distL="114300" distR="114300" simplePos="0" relativeHeight="251658240" behindDoc="0" locked="0" layoutInCell="1" allowOverlap="1" wp14:anchorId="12346711" wp14:editId="0B80D6CD">
            <wp:simplePos x="914400" y="914400"/>
            <wp:positionH relativeFrom="margin">
              <wp:align>left</wp:align>
            </wp:positionH>
            <wp:positionV relativeFrom="margin">
              <wp:align>center</wp:align>
            </wp:positionV>
            <wp:extent cx="2594592" cy="8816576"/>
            <wp:effectExtent l="0" t="0" r="0" b="3810"/>
            <wp:wrapSquare wrapText="bothSides"/>
            <wp:docPr id="29" name="Picture" descr="Diagram: flowchart T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paulp\AppData\Local\Temp\md-to-docx-d0mqKs\diagram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592" cy="881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22725">
        <w:rPr>
          <w:b/>
          <w:bCs/>
        </w:rPr>
        <w:t>Key design decisions:</w:t>
      </w:r>
    </w:p>
    <w:p w14:paraId="04E8E2FC" w14:textId="01AF9D27" w:rsidR="0096616D" w:rsidRPr="00222725" w:rsidRDefault="00CE491A">
      <w:pPr>
        <w:pStyle w:val="Compact"/>
        <w:numPr>
          <w:ilvl w:val="0"/>
          <w:numId w:val="3"/>
        </w:numPr>
      </w:pPr>
      <w:r w:rsidRPr="00222725">
        <w:rPr>
          <w:b/>
          <w:bCs/>
        </w:rPr>
        <w:t>Human-in-the-loop is mandatory.</w:t>
      </w:r>
      <w:r w:rsidRPr="00222725">
        <w:t xml:space="preserve"> </w:t>
      </w:r>
      <w:r w:rsidRPr="00EC3879">
        <w:rPr>
          <w:lang w:val="fr-FR"/>
        </w:rPr>
        <w:t xml:space="preserve">AI recommends; a clinical pharmacist decides. </w:t>
      </w:r>
      <w:r w:rsidRPr="00222725">
        <w:t>Healthcare GenAI outputs require clinical validation because accountability requires a human decision-maker for patient-affecting actions.</w:t>
      </w:r>
    </w:p>
    <w:p w14:paraId="7558893A" w14:textId="77777777" w:rsidR="0096616D" w:rsidRPr="00222725" w:rsidRDefault="00CE491A">
      <w:pPr>
        <w:pStyle w:val="Compact"/>
        <w:numPr>
          <w:ilvl w:val="0"/>
          <w:numId w:val="3"/>
        </w:numPr>
      </w:pPr>
      <w:r w:rsidRPr="00222725">
        <w:rPr>
          <w:b/>
          <w:bCs/>
        </w:rPr>
        <w:t>Tiered inference.</w:t>
      </w:r>
      <w:r w:rsidRPr="00222725">
        <w:t xml:space="preserve"> A larger model handles complex cases requiring multi-document reasoning. A smaller, cost-optimized model handles routine cases — reducing cost on the most volatile cost layer.</w:t>
      </w:r>
    </w:p>
    <w:p w14:paraId="6095724D" w14:textId="77777777" w:rsidR="0096616D" w:rsidRPr="00222725" w:rsidRDefault="00CE491A">
      <w:pPr>
        <w:pStyle w:val="Compact"/>
        <w:numPr>
          <w:ilvl w:val="0"/>
          <w:numId w:val="3"/>
        </w:numPr>
      </w:pPr>
      <w:r w:rsidRPr="00222725">
        <w:rPr>
          <w:b/>
          <w:bCs/>
        </w:rPr>
        <w:t>De-identification before inference.</w:t>
      </w:r>
      <w:r w:rsidRPr="00222725">
        <w:t xml:space="preserve"> A data loss prevention gate runs before any clinical text reaches the AI model. If the GenAI pipeline is compromised, the attacker accesses de-identified data only — never raw PHI.</w:t>
      </w:r>
    </w:p>
    <w:p w14:paraId="604ED41B" w14:textId="77777777" w:rsidR="0096616D" w:rsidRPr="00222725" w:rsidRDefault="00CE491A">
      <w:r>
        <w:pict w14:anchorId="07BDD465">
          <v:rect id="_x0000_i1029" style="width:0;height:1.5pt" o:hralign="center" o:hrstd="t" o:hr="t"/>
        </w:pict>
      </w:r>
    </w:p>
    <w:p w14:paraId="4B2BEB5F" w14:textId="77777777" w:rsidR="0096616D" w:rsidRPr="00222725" w:rsidRDefault="00CE491A">
      <w:pPr>
        <w:pStyle w:val="Heading2"/>
      </w:pPr>
      <w:bookmarkStart w:id="18" w:name="iam-strategy"/>
      <w:bookmarkEnd w:id="14"/>
      <w:bookmarkEnd w:id="17"/>
      <w:r w:rsidRPr="00222725">
        <w:t>4. IAM Strategy</w:t>
      </w:r>
    </w:p>
    <w:p w14:paraId="6EF17400" w14:textId="77777777" w:rsidR="0096616D" w:rsidRPr="00222725" w:rsidRDefault="00CE491A">
      <w:pPr>
        <w:pStyle w:val="Heading3"/>
      </w:pPr>
      <w:bookmarkStart w:id="19" w:name="zero-trust-approach"/>
      <w:r w:rsidRPr="00222725">
        <w:t>Zero Trust Approach</w:t>
      </w:r>
    </w:p>
    <w:p w14:paraId="05B64F13" w14:textId="605A4F23" w:rsidR="00D63F15" w:rsidRDefault="00CE491A">
      <w:pPr>
        <w:pStyle w:val="FirstParagraph"/>
      </w:pPr>
      <w:r w:rsidRPr="00222725">
        <w:t xml:space="preserve">Following </w:t>
      </w:r>
      <w:hyperlink r:id="rId8">
        <w:r w:rsidR="00D63F15" w:rsidRPr="00222725">
          <w:rPr>
            <w:rStyle w:val="Hyperlink"/>
          </w:rPr>
          <w:t>NIST SP 800-207</w:t>
        </w:r>
      </w:hyperlink>
      <w:r w:rsidRPr="00222725">
        <w:t xml:space="preserve"> principles: never trust, always verify. Every request is authenticated, authorized, and encrypted regardless of network location. </w:t>
      </w:r>
    </w:p>
    <w:p w14:paraId="3FFC11B2" w14:textId="4EA75D62" w:rsidR="0096616D" w:rsidRPr="00222725" w:rsidRDefault="00CE491A">
      <w:pPr>
        <w:pStyle w:val="FirstParagraph"/>
      </w:pPr>
      <w:r w:rsidRPr="00222725">
        <w:t>Key principles:</w:t>
      </w:r>
    </w:p>
    <w:p w14:paraId="443FB082" w14:textId="41C71784" w:rsidR="0096616D" w:rsidRPr="00222725" w:rsidRDefault="00CE491A">
      <w:pPr>
        <w:pStyle w:val="Compact"/>
        <w:numPr>
          <w:ilvl w:val="0"/>
          <w:numId w:val="4"/>
        </w:numPr>
      </w:pPr>
      <w:r w:rsidRPr="00222725">
        <w:rPr>
          <w:b/>
          <w:bCs/>
        </w:rPr>
        <w:t>Least privilege</w:t>
      </w:r>
      <w:r w:rsidRPr="00222725">
        <w:t xml:space="preserve"> — minimum </w:t>
      </w:r>
      <w:r w:rsidR="00D63F15" w:rsidRPr="00222725">
        <w:t>permission</w:t>
      </w:r>
      <w:r w:rsidRPr="00222725">
        <w:t xml:space="preserve"> per function; resource-level access bindings, never broad grants</w:t>
      </w:r>
    </w:p>
    <w:p w14:paraId="5A6332B5" w14:textId="77777777" w:rsidR="0096616D" w:rsidRPr="00222725" w:rsidRDefault="00CE491A">
      <w:pPr>
        <w:pStyle w:val="Compact"/>
        <w:numPr>
          <w:ilvl w:val="0"/>
          <w:numId w:val="4"/>
        </w:numPr>
      </w:pPr>
      <w:r w:rsidRPr="00222725">
        <w:rPr>
          <w:b/>
          <w:bCs/>
        </w:rPr>
        <w:t>Separation of duties</w:t>
      </w:r>
      <w:r w:rsidRPr="00222725">
        <w:t xml:space="preserve"> — no single account combines administrative and clinical access</w:t>
      </w:r>
    </w:p>
    <w:p w14:paraId="2A9D2E89" w14:textId="77777777" w:rsidR="0096616D" w:rsidRPr="00222725" w:rsidRDefault="00CE491A">
      <w:pPr>
        <w:pStyle w:val="Compact"/>
        <w:numPr>
          <w:ilvl w:val="0"/>
          <w:numId w:val="4"/>
        </w:numPr>
      </w:pPr>
      <w:r w:rsidRPr="00222725">
        <w:rPr>
          <w:b/>
          <w:bCs/>
        </w:rPr>
        <w:t>Assume breach</w:t>
      </w:r>
      <w:r w:rsidRPr="00222725">
        <w:t xml:space="preserve"> — design as if the perimeter is already compromised</w:t>
      </w:r>
    </w:p>
    <w:p w14:paraId="6B0EFD02" w14:textId="77777777" w:rsidR="0096616D" w:rsidRPr="00222725" w:rsidRDefault="00CE491A">
      <w:pPr>
        <w:pStyle w:val="Heading3"/>
      </w:pPr>
      <w:bookmarkStart w:id="20" w:name="access-model"/>
      <w:bookmarkEnd w:id="19"/>
      <w:r w:rsidRPr="00222725">
        <w:t>Access Model</w:t>
      </w:r>
    </w:p>
    <w:p w14:paraId="390D1B41" w14:textId="77777777" w:rsidR="0096616D" w:rsidRPr="00222725" w:rsidRDefault="00CE491A">
      <w:pPr>
        <w:pStyle w:val="FirstParagraph"/>
      </w:pPr>
      <w:r w:rsidRPr="00222725">
        <w:t>Role-based access control (RBAC) provides auditable role assignments. Contextual attributes (department, location, certification status) add constraints that pure RBAC cannot express — for example, restricting controlled substance access to DEA-certified pharmacists.</w:t>
      </w:r>
    </w:p>
    <w:p w14:paraId="46DB6B3F" w14:textId="6580086C" w:rsidR="0096616D" w:rsidRPr="00222725" w:rsidRDefault="00CE491A">
      <w:pPr>
        <w:pStyle w:val="BodyText"/>
      </w:pPr>
      <w:r w:rsidRPr="00222725">
        <w:t xml:space="preserve">Users authenticate </w:t>
      </w:r>
      <w:r w:rsidR="003D4DAA">
        <w:t>via the enterprise identity provider (Active Directory/Okta) using federation (SAML 2.0/</w:t>
      </w:r>
      <w:r w:rsidRPr="00222725">
        <w:t>OIDC), with multi-factor authentication required for all access. Step-up authentication applies to high-impact actions</w:t>
      </w:r>
      <w:r w:rsidR="003D4DAA">
        <w:t>, such as</w:t>
      </w:r>
      <w:r w:rsidRPr="00222725">
        <w:t xml:space="preserve"> prior authorization commits.</w:t>
      </w:r>
    </w:p>
    <w:p w14:paraId="6AAE3989" w14:textId="77777777" w:rsidR="0096616D" w:rsidRPr="00222725" w:rsidRDefault="00CE491A">
      <w:pPr>
        <w:pStyle w:val="Heading3"/>
      </w:pPr>
      <w:bookmarkStart w:id="21" w:name="defense-in-depth"/>
      <w:bookmarkEnd w:id="20"/>
      <w:r w:rsidRPr="00222725">
        <w:t>Defense-in-Depth</w:t>
      </w:r>
    </w:p>
    <w:p w14:paraId="38E21AF5" w14:textId="77777777" w:rsidR="0096616D" w:rsidRPr="00222725" w:rsidRDefault="00CE491A">
      <w:pPr>
        <w:pStyle w:val="FirstParagraph"/>
      </w:pPr>
      <w:r w:rsidRPr="00222725">
        <w:t>Security controls operate at every layer — no single layer’s failure exposes the system:</w:t>
      </w:r>
    </w:p>
    <w:p w14:paraId="5530E8D8" w14:textId="77777777" w:rsidR="0096616D" w:rsidRPr="00222725" w:rsidRDefault="00CE491A">
      <w:pPr>
        <w:pStyle w:val="Compact"/>
        <w:numPr>
          <w:ilvl w:val="0"/>
          <w:numId w:val="5"/>
        </w:numPr>
      </w:pPr>
      <w:r w:rsidRPr="00222725">
        <w:rPr>
          <w:b/>
          <w:bCs/>
        </w:rPr>
        <w:t>Network:</w:t>
      </w:r>
      <w:r w:rsidRPr="00222725">
        <w:t xml:space="preserve"> VPC perimeter controls, encrypted interconnect to on-premises, web application firewall, default-</w:t>
      </w:r>
      <w:proofErr w:type="gramStart"/>
      <w:r w:rsidRPr="00222725">
        <w:t>deny</w:t>
      </w:r>
      <w:proofErr w:type="gramEnd"/>
      <w:r w:rsidRPr="00222725">
        <w:t xml:space="preserve"> firewall rules</w:t>
      </w:r>
    </w:p>
    <w:p w14:paraId="50617704" w14:textId="77777777" w:rsidR="0096616D" w:rsidRPr="00222725" w:rsidRDefault="00CE491A">
      <w:pPr>
        <w:pStyle w:val="Compact"/>
        <w:numPr>
          <w:ilvl w:val="0"/>
          <w:numId w:val="5"/>
        </w:numPr>
      </w:pPr>
      <w:r w:rsidRPr="00222725">
        <w:rPr>
          <w:b/>
          <w:bCs/>
        </w:rPr>
        <w:t>Identity:</w:t>
      </w:r>
      <w:r w:rsidRPr="00222725">
        <w:t xml:space="preserve"> Federated SSO, MFA, step-up authentication for sensitive operations, workload identity for service-to-service calls</w:t>
      </w:r>
    </w:p>
    <w:p w14:paraId="461FB868" w14:textId="77777777" w:rsidR="0096616D" w:rsidRPr="00222725" w:rsidRDefault="00CE491A">
      <w:pPr>
        <w:pStyle w:val="Compact"/>
        <w:numPr>
          <w:ilvl w:val="0"/>
          <w:numId w:val="5"/>
        </w:numPr>
      </w:pPr>
      <w:r w:rsidRPr="00222725">
        <w:rPr>
          <w:b/>
          <w:bCs/>
        </w:rPr>
        <w:t>Application:</w:t>
      </w:r>
      <w:r w:rsidRPr="00222725">
        <w:t xml:space="preserve"> API gateway validation, schema enforcement, content security policies</w:t>
      </w:r>
    </w:p>
    <w:p w14:paraId="49F25375" w14:textId="77777777" w:rsidR="0096616D" w:rsidRPr="00222725" w:rsidRDefault="00CE491A">
      <w:pPr>
        <w:pStyle w:val="Compact"/>
        <w:numPr>
          <w:ilvl w:val="0"/>
          <w:numId w:val="5"/>
        </w:numPr>
      </w:pPr>
      <w:r w:rsidRPr="00222725">
        <w:rPr>
          <w:b/>
          <w:bCs/>
        </w:rPr>
        <w:t>Data:</w:t>
      </w:r>
      <w:r w:rsidRPr="00222725">
        <w:t xml:space="preserve"> Encryption at rest (customer-managed keys) and in transit (TLS), data loss prevention scanning, row-level security on PHI tables, column-level security on analytics</w:t>
      </w:r>
    </w:p>
    <w:p w14:paraId="70789BFF" w14:textId="748FB906" w:rsidR="0096616D" w:rsidRPr="00222725" w:rsidRDefault="00CE491A">
      <w:pPr>
        <w:pStyle w:val="Compact"/>
        <w:numPr>
          <w:ilvl w:val="0"/>
          <w:numId w:val="5"/>
        </w:numPr>
      </w:pPr>
      <w:r w:rsidRPr="00222725">
        <w:rPr>
          <w:b/>
          <w:bCs/>
        </w:rPr>
        <w:t>Monitoring:</w:t>
      </w:r>
      <w:r w:rsidRPr="00222725">
        <w:t xml:space="preserve"> Centralized audit logging with long-term retention for HIPAA compliance, anomaly detection, </w:t>
      </w:r>
      <w:r w:rsidR="00857D4B">
        <w:t xml:space="preserve">and </w:t>
      </w:r>
      <w:r w:rsidRPr="00222725">
        <w:t>distributed tracing across hybrid boundary</w:t>
      </w:r>
    </w:p>
    <w:p w14:paraId="5E058670" w14:textId="77777777" w:rsidR="0096616D" w:rsidRPr="00222725" w:rsidRDefault="00CE491A">
      <w:pPr>
        <w:pStyle w:val="Heading3"/>
      </w:pPr>
      <w:bookmarkStart w:id="22" w:name="ai-specific-security"/>
      <w:bookmarkEnd w:id="21"/>
      <w:r w:rsidRPr="00222725">
        <w:t>AI-Specific Security</w:t>
      </w:r>
    </w:p>
    <w:p w14:paraId="150359D2" w14:textId="77777777" w:rsidR="0096616D" w:rsidRPr="00222725" w:rsidRDefault="00CE491A">
      <w:pPr>
        <w:pStyle w:val="FirstParagraph"/>
      </w:pPr>
      <w:r w:rsidRPr="00222725">
        <w:t xml:space="preserve">The GenAI pipeline service account has </w:t>
      </w:r>
      <w:r w:rsidRPr="00222725">
        <w:rPr>
          <w:b/>
          <w:bCs/>
        </w:rPr>
        <w:t>zero direct access to any PHI data store.</w:t>
      </w:r>
      <w:r w:rsidRPr="00222725">
        <w:t xml:space="preserve"> All clinical text passes through a de-identification gate before reaching the AI layer. Structured output enforcement prevents free-text generation. This architecture-level isolation means a compromised AI pipeline cannot access raw patient data.</w:t>
      </w:r>
    </w:p>
    <w:p w14:paraId="3C998CAE" w14:textId="77777777" w:rsidR="0096616D" w:rsidRPr="00222725" w:rsidRDefault="00CE491A">
      <w:pPr>
        <w:pStyle w:val="Heading3"/>
      </w:pPr>
      <w:bookmarkStart w:id="23" w:name="compliance"/>
      <w:bookmarkEnd w:id="22"/>
      <w:r w:rsidRPr="00222725">
        <w:t>Compliance</w:t>
      </w:r>
    </w:p>
    <w:p w14:paraId="69B6BC4F" w14:textId="77777777" w:rsidR="0096616D" w:rsidRPr="00222725" w:rsidRDefault="00CE491A">
      <w:pPr>
        <w:pStyle w:val="FirstParagraph"/>
      </w:pPr>
      <w:r w:rsidRPr="00222725">
        <w:t>The architecture is designed to support HIPAA/HITECH requirements for access control, audit trails, and transmission security. PCI-DSS applies to any payment card handling. Specific compliance controls would be validated with CVS’s security and compliance teams during implementation.</w:t>
      </w:r>
    </w:p>
    <w:p w14:paraId="22631F62" w14:textId="77777777" w:rsidR="0096616D" w:rsidRPr="00222725" w:rsidRDefault="00CE491A">
      <w:r>
        <w:pict w14:anchorId="1889DBF8">
          <v:rect id="_x0000_i1030" style="width:0;height:1.5pt" o:hralign="center" o:hrstd="t" o:hr="t"/>
        </w:pict>
      </w:r>
    </w:p>
    <w:p w14:paraId="4FB7AFAB" w14:textId="77777777" w:rsidR="0096616D" w:rsidRPr="00222725" w:rsidRDefault="00CE491A">
      <w:pPr>
        <w:pStyle w:val="Heading2"/>
      </w:pPr>
      <w:bookmarkStart w:id="24" w:name="change-management"/>
      <w:bookmarkEnd w:id="18"/>
      <w:bookmarkEnd w:id="23"/>
      <w:r w:rsidRPr="00222725">
        <w:t>5. Change Management</w:t>
      </w:r>
    </w:p>
    <w:p w14:paraId="54DB0E62" w14:textId="77777777" w:rsidR="0096616D" w:rsidRPr="00222725" w:rsidRDefault="00CE491A">
      <w:pPr>
        <w:pStyle w:val="Heading3"/>
      </w:pPr>
      <w:bookmarkStart w:id="25" w:name="adkar-framework"/>
      <w:r w:rsidRPr="00222725">
        <w:t>ADKAR Framework</w:t>
      </w:r>
    </w:p>
    <w:p w14:paraId="72C3A894" w14:textId="77777777" w:rsidR="0096616D" w:rsidRPr="00222725" w:rsidRDefault="00CE491A">
      <w:pPr>
        <w:pStyle w:val="FirstParagraph"/>
      </w:pPr>
      <w:r w:rsidRPr="00222725">
        <w:t xml:space="preserve">I apply </w:t>
      </w:r>
      <w:proofErr w:type="spellStart"/>
      <w:r w:rsidRPr="00222725">
        <w:t>Prosci’s</w:t>
      </w:r>
      <w:proofErr w:type="spellEnd"/>
      <w:r w:rsidRPr="00222725">
        <w:t xml:space="preserve"> </w:t>
      </w:r>
      <w:hyperlink r:id="rId9">
        <w:r w:rsidR="0096616D" w:rsidRPr="00222725">
          <w:rPr>
            <w:rStyle w:val="Hyperlink"/>
          </w:rPr>
          <w:t>ADKAR model</w:t>
        </w:r>
      </w:hyperlink>
      <w:r w:rsidRPr="00222725">
        <w:t xml:space="preserve"> — </w:t>
      </w:r>
      <w:r w:rsidRPr="00222725">
        <w:rPr>
          <w:b/>
          <w:bCs/>
        </w:rPr>
        <w:t>A</w:t>
      </w:r>
      <w:r w:rsidRPr="00222725">
        <w:t xml:space="preserve">wareness, </w:t>
      </w:r>
      <w:r w:rsidRPr="00222725">
        <w:rPr>
          <w:b/>
          <w:bCs/>
        </w:rPr>
        <w:t>D</w:t>
      </w:r>
      <w:r w:rsidRPr="00222725">
        <w:t xml:space="preserve">esire, </w:t>
      </w:r>
      <w:r w:rsidRPr="00222725">
        <w:rPr>
          <w:b/>
          <w:bCs/>
        </w:rPr>
        <w:t>K</w:t>
      </w:r>
      <w:r w:rsidRPr="00222725">
        <w:t xml:space="preserve">nowledge, </w:t>
      </w:r>
      <w:r w:rsidRPr="00222725">
        <w:rPr>
          <w:b/>
          <w:bCs/>
        </w:rPr>
        <w:t>A</w:t>
      </w:r>
      <w:r w:rsidRPr="00222725">
        <w:t xml:space="preserve">bility, </w:t>
      </w:r>
      <w:r w:rsidRPr="00222725">
        <w:rPr>
          <w:b/>
          <w:bCs/>
        </w:rPr>
        <w:t>R</w:t>
      </w:r>
      <w:r w:rsidRPr="00222725">
        <w:t>einforcement — because it focuses on individual transitions rather than abstract organizational theory. Each staff member moves through these stages at their own pace.</w:t>
      </w:r>
    </w:p>
    <w:p w14:paraId="572733F2" w14:textId="77777777" w:rsidR="0096616D" w:rsidRPr="00222725" w:rsidRDefault="00CE491A">
      <w:pPr>
        <w:pStyle w:val="Heading3"/>
      </w:pPr>
      <w:bookmarkStart w:id="26" w:name="concrete-techniques"/>
      <w:bookmarkEnd w:id="25"/>
      <w:r w:rsidRPr="00222725">
        <w:t>Concrete Techniques</w:t>
      </w:r>
    </w:p>
    <w:p w14:paraId="1600A043" w14:textId="77777777" w:rsidR="0096616D" w:rsidRPr="00222725" w:rsidRDefault="00CE491A">
      <w:pPr>
        <w:pStyle w:val="Compact"/>
        <w:numPr>
          <w:ilvl w:val="0"/>
          <w:numId w:val="6"/>
        </w:numPr>
      </w:pPr>
      <w:r w:rsidRPr="00222725">
        <w:rPr>
          <w:b/>
          <w:bCs/>
        </w:rPr>
        <w:t>Champion network:</w:t>
      </w:r>
      <w:r w:rsidRPr="00222725">
        <w:t xml:space="preserve"> Volunteer super-users who bridge the gap between the project team and the pharmacy floor. Champions provide peer coaching, collect feedback, and serve as advocates — not management proxies.</w:t>
      </w:r>
    </w:p>
    <w:p w14:paraId="3110D98C" w14:textId="77777777" w:rsidR="0096616D" w:rsidRPr="00222725" w:rsidRDefault="00CE491A">
      <w:pPr>
        <w:pStyle w:val="Compact"/>
        <w:numPr>
          <w:ilvl w:val="0"/>
          <w:numId w:val="6"/>
        </w:numPr>
      </w:pPr>
      <w:r w:rsidRPr="00222725">
        <w:rPr>
          <w:b/>
          <w:bCs/>
        </w:rPr>
        <w:t>Green screen escape hatch:</w:t>
      </w:r>
      <w:r w:rsidRPr="00222725">
        <w:t xml:space="preserve"> The legacy interface remains available throughout the migration. If users struggle, they can fall back immediately. Escape hatch usage is tracked as an adoption signal — high usage in any module triggers targeted floor support.</w:t>
      </w:r>
    </w:p>
    <w:p w14:paraId="6E7693F7" w14:textId="72A5D9CB" w:rsidR="0096616D" w:rsidRPr="00222725" w:rsidRDefault="00CE491A">
      <w:pPr>
        <w:pStyle w:val="Compact"/>
        <w:numPr>
          <w:ilvl w:val="0"/>
          <w:numId w:val="6"/>
        </w:numPr>
      </w:pPr>
      <w:r w:rsidRPr="00222725">
        <w:rPr>
          <w:b/>
          <w:bCs/>
        </w:rPr>
        <w:t>Speed parity demonstration:</w:t>
      </w:r>
      <w:r w:rsidRPr="00222725">
        <w:t xml:space="preserve"> For expert users whose identity is tied to green screen speed, the most effective change lever is proving the modern UI matches their throughput. </w:t>
      </w:r>
      <w:r w:rsidR="000F454D">
        <w:t>The command palette and</w:t>
      </w:r>
      <w:r w:rsidRPr="00222725">
        <w:t xml:space="preserve"> keyboard shortcuts target this directly.</w:t>
      </w:r>
    </w:p>
    <w:p w14:paraId="56176F34" w14:textId="2A621111" w:rsidR="0096616D" w:rsidRPr="00222725" w:rsidRDefault="00CE491A">
      <w:pPr>
        <w:pStyle w:val="Compact"/>
        <w:numPr>
          <w:ilvl w:val="0"/>
          <w:numId w:val="6"/>
        </w:numPr>
      </w:pPr>
      <w:r w:rsidRPr="00222725">
        <w:rPr>
          <w:b/>
          <w:bCs/>
        </w:rPr>
        <w:t>Role-based training:</w:t>
      </w:r>
      <w:r w:rsidRPr="00222725">
        <w:t xml:space="preserve"> Training tailored to each persona’s actual workflows — not generic “here’s the new system” sessions. Expert users learn keyboard shortcuts and </w:t>
      </w:r>
      <w:proofErr w:type="gramStart"/>
      <w:r w:rsidR="000F454D">
        <w:t xml:space="preserve">the </w:t>
      </w:r>
      <w:r w:rsidR="000F454D" w:rsidRPr="00222725">
        <w:t>command</w:t>
      </w:r>
      <w:proofErr w:type="gramEnd"/>
      <w:r w:rsidRPr="00222725">
        <w:t xml:space="preserve"> palette first. New hires follow guided onboarding workflows.</w:t>
      </w:r>
    </w:p>
    <w:p w14:paraId="5C11FD20" w14:textId="77777777" w:rsidR="0096616D" w:rsidRPr="00222725" w:rsidRDefault="00CE491A">
      <w:pPr>
        <w:pStyle w:val="Heading3"/>
      </w:pPr>
      <w:bookmarkStart w:id="27" w:name="measuring-adoption"/>
      <w:bookmarkEnd w:id="26"/>
      <w:r w:rsidRPr="00222725">
        <w:t>Measuring Adoption</w:t>
      </w:r>
    </w:p>
    <w:p w14:paraId="3928894B" w14:textId="77777777" w:rsidR="0096616D" w:rsidRPr="00222725" w:rsidRDefault="00CE491A">
      <w:pPr>
        <w:pStyle w:val="FirstParagraph"/>
      </w:pPr>
      <w:r w:rsidRPr="00222725">
        <w:t>Track escape hatch usage, user adoption rates, task completion time vs. baseline, and qualitative feedback through the champion network. If adoption lags in any module, that’s a signal to invest in floor support and UX refinement for that specific workflow — not to push harder.</w:t>
      </w:r>
    </w:p>
    <w:p w14:paraId="6327E5D3" w14:textId="77777777" w:rsidR="0096616D" w:rsidRPr="00222725" w:rsidRDefault="00CE491A">
      <w:r>
        <w:pict w14:anchorId="7BC87230">
          <v:rect id="_x0000_i1031" style="width:0;height:1.5pt" o:hralign="center" o:hrstd="t" o:hr="t"/>
        </w:pict>
      </w:r>
    </w:p>
    <w:p w14:paraId="0CA8B8DB" w14:textId="77777777" w:rsidR="0096616D" w:rsidRPr="00222725" w:rsidRDefault="00CE491A">
      <w:pPr>
        <w:pStyle w:val="Heading2"/>
      </w:pPr>
      <w:bookmarkStart w:id="28" w:name="high-level-roadmap"/>
      <w:bookmarkEnd w:id="24"/>
      <w:bookmarkEnd w:id="27"/>
      <w:r w:rsidRPr="00222725">
        <w:t>6. High-Level Roadmap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8"/>
        <w:gridCol w:w="2925"/>
        <w:gridCol w:w="4387"/>
      </w:tblGrid>
      <w:tr w:rsidR="0096616D" w:rsidRPr="00222725" w14:paraId="5FC4D735" w14:textId="77777777" w:rsidTr="0096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14:paraId="3FC85DEF" w14:textId="77777777" w:rsidR="0096616D" w:rsidRPr="00222725" w:rsidRDefault="00CE491A">
            <w:pPr>
              <w:pStyle w:val="Compact"/>
            </w:pPr>
            <w:r w:rsidRPr="00222725">
              <w:t>Phase</w:t>
            </w:r>
          </w:p>
        </w:tc>
        <w:tc>
          <w:tcPr>
            <w:tcW w:w="2475" w:type="dxa"/>
          </w:tcPr>
          <w:p w14:paraId="04C87265" w14:textId="77777777" w:rsidR="0096616D" w:rsidRPr="00222725" w:rsidRDefault="00CE491A">
            <w:pPr>
              <w:pStyle w:val="Compact"/>
            </w:pPr>
            <w:r w:rsidRPr="00222725">
              <w:t>Duration</w:t>
            </w:r>
          </w:p>
        </w:tc>
        <w:tc>
          <w:tcPr>
            <w:tcW w:w="3712" w:type="dxa"/>
          </w:tcPr>
          <w:p w14:paraId="18D934A2" w14:textId="77777777" w:rsidR="0096616D" w:rsidRPr="00222725" w:rsidRDefault="00CE491A">
            <w:pPr>
              <w:pStyle w:val="Compact"/>
            </w:pPr>
            <w:r w:rsidRPr="00222725">
              <w:t>Key Milestone</w:t>
            </w:r>
          </w:p>
        </w:tc>
      </w:tr>
      <w:tr w:rsidR="0096616D" w:rsidRPr="00222725" w14:paraId="6451B14B" w14:textId="77777777">
        <w:tc>
          <w:tcPr>
            <w:tcW w:w="1732" w:type="dxa"/>
          </w:tcPr>
          <w:p w14:paraId="1D80FA7A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1. Foundation</w:t>
            </w:r>
          </w:p>
        </w:tc>
        <w:tc>
          <w:tcPr>
            <w:tcW w:w="2475" w:type="dxa"/>
          </w:tcPr>
          <w:p w14:paraId="7815D536" w14:textId="77777777" w:rsidR="0096616D" w:rsidRPr="00222725" w:rsidRDefault="00CE491A">
            <w:pPr>
              <w:pStyle w:val="Compact"/>
            </w:pPr>
            <w:r w:rsidRPr="00222725">
              <w:t>~3 months</w:t>
            </w:r>
          </w:p>
        </w:tc>
        <w:tc>
          <w:tcPr>
            <w:tcW w:w="3712" w:type="dxa"/>
          </w:tcPr>
          <w:p w14:paraId="78A16FFA" w14:textId="77777777" w:rsidR="0096616D" w:rsidRPr="00222725" w:rsidRDefault="00CE491A">
            <w:pPr>
              <w:pStyle w:val="Compact"/>
            </w:pPr>
            <w:r w:rsidRPr="00222725">
              <w:t xml:space="preserve">Cloud infrastructure, first API exposed from </w:t>
            </w:r>
            <w:proofErr w:type="spellStart"/>
            <w:r w:rsidRPr="00222725">
              <w:t>IBMi</w:t>
            </w:r>
            <w:proofErr w:type="spellEnd"/>
            <w:r w:rsidRPr="00222725">
              <w:t>, SSO integration, CDC proof of concept</w:t>
            </w:r>
          </w:p>
        </w:tc>
      </w:tr>
      <w:tr w:rsidR="0096616D" w:rsidRPr="00222725" w14:paraId="3B195808" w14:textId="77777777">
        <w:tc>
          <w:tcPr>
            <w:tcW w:w="1732" w:type="dxa"/>
          </w:tcPr>
          <w:p w14:paraId="2D0B849B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2. Pilot</w:t>
            </w:r>
          </w:p>
        </w:tc>
        <w:tc>
          <w:tcPr>
            <w:tcW w:w="2475" w:type="dxa"/>
          </w:tcPr>
          <w:p w14:paraId="2DEAF98A" w14:textId="77777777" w:rsidR="0096616D" w:rsidRPr="00222725" w:rsidRDefault="00CE491A">
            <w:pPr>
              <w:pStyle w:val="Compact"/>
            </w:pPr>
            <w:r w:rsidRPr="00222725">
              <w:t>~3 months</w:t>
            </w:r>
          </w:p>
        </w:tc>
        <w:tc>
          <w:tcPr>
            <w:tcW w:w="3712" w:type="dxa"/>
          </w:tcPr>
          <w:p w14:paraId="2A73E4B2" w14:textId="77777777" w:rsidR="0096616D" w:rsidRPr="00222725" w:rsidRDefault="00CE491A">
            <w:pPr>
              <w:pStyle w:val="Compact"/>
            </w:pPr>
            <w:r w:rsidRPr="00222725">
              <w:t>First workflow migrated (member eligibility), parallel validation running, training sandbox live</w:t>
            </w:r>
          </w:p>
        </w:tc>
      </w:tr>
      <w:tr w:rsidR="0096616D" w:rsidRPr="00222725" w14:paraId="615555D6" w14:textId="77777777">
        <w:tc>
          <w:tcPr>
            <w:tcW w:w="1732" w:type="dxa"/>
          </w:tcPr>
          <w:p w14:paraId="5652FCCD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3. Expansion</w:t>
            </w:r>
          </w:p>
        </w:tc>
        <w:tc>
          <w:tcPr>
            <w:tcW w:w="2475" w:type="dxa"/>
          </w:tcPr>
          <w:p w14:paraId="48B932C4" w14:textId="77777777" w:rsidR="0096616D" w:rsidRPr="00222725" w:rsidRDefault="00CE491A">
            <w:pPr>
              <w:pStyle w:val="Compact"/>
            </w:pPr>
            <w:r w:rsidRPr="00222725">
              <w:t>~6 months</w:t>
            </w:r>
          </w:p>
        </w:tc>
        <w:tc>
          <w:tcPr>
            <w:tcW w:w="3712" w:type="dxa"/>
          </w:tcPr>
          <w:p w14:paraId="03DD716F" w14:textId="77777777" w:rsidR="0096616D" w:rsidRPr="00222725" w:rsidRDefault="00CE491A">
            <w:pPr>
              <w:pStyle w:val="Compact"/>
            </w:pPr>
            <w:r w:rsidRPr="00222725">
              <w:t>Core workflows migrated (claims, formulary, PA), GenAI pipeline operational, broader user rollout</w:t>
            </w:r>
          </w:p>
        </w:tc>
      </w:tr>
      <w:tr w:rsidR="0096616D" w:rsidRPr="00222725" w14:paraId="6F38E84C" w14:textId="77777777">
        <w:tc>
          <w:tcPr>
            <w:tcW w:w="1732" w:type="dxa"/>
          </w:tcPr>
          <w:p w14:paraId="21CADA85" w14:textId="77777777" w:rsidR="0096616D" w:rsidRPr="00222725" w:rsidRDefault="00CE491A">
            <w:pPr>
              <w:pStyle w:val="Compact"/>
            </w:pPr>
            <w:r w:rsidRPr="00222725">
              <w:rPr>
                <w:b/>
                <w:bCs/>
              </w:rPr>
              <w:t>4. Completion</w:t>
            </w:r>
          </w:p>
        </w:tc>
        <w:tc>
          <w:tcPr>
            <w:tcW w:w="2475" w:type="dxa"/>
          </w:tcPr>
          <w:p w14:paraId="7E2DE9BE" w14:textId="77777777" w:rsidR="0096616D" w:rsidRPr="00222725" w:rsidRDefault="00CE491A">
            <w:pPr>
              <w:pStyle w:val="Compact"/>
            </w:pPr>
            <w:r w:rsidRPr="00222725">
              <w:t>~6 months</w:t>
            </w:r>
          </w:p>
        </w:tc>
        <w:tc>
          <w:tcPr>
            <w:tcW w:w="3712" w:type="dxa"/>
          </w:tcPr>
          <w:p w14:paraId="426D1E87" w14:textId="77777777" w:rsidR="0096616D" w:rsidRPr="00222725" w:rsidRDefault="00CE491A">
            <w:pPr>
              <w:pStyle w:val="Compact"/>
            </w:pPr>
            <w:r w:rsidRPr="00222725">
              <w:t>Remaining workflows, Health100 integration, compliance audits, full go-live</w:t>
            </w:r>
          </w:p>
        </w:tc>
      </w:tr>
    </w:tbl>
    <w:p w14:paraId="7534A1D8" w14:textId="77777777" w:rsidR="0096616D" w:rsidRPr="00222725" w:rsidRDefault="00CE491A">
      <w:pPr>
        <w:pStyle w:val="BodyText"/>
      </w:pPr>
      <w:r w:rsidRPr="00222725">
        <w:t>Each phase ends with a decision gate — measurable go/no-go criteria, not opinions. Details on team composition, decision gate criteria, and investment are available for discussion.</w:t>
      </w:r>
    </w:p>
    <w:p w14:paraId="7F31CD95" w14:textId="77777777" w:rsidR="0096616D" w:rsidRPr="00222725" w:rsidRDefault="00CE491A">
      <w:r>
        <w:pict w14:anchorId="53D18503">
          <v:rect id="_x0000_i1032" style="width:0;height:1.5pt" o:hralign="center" o:hrstd="t" o:hr="t"/>
        </w:pict>
      </w:r>
    </w:p>
    <w:p w14:paraId="34A8BF8C" w14:textId="77777777" w:rsidR="0096616D" w:rsidRPr="00222725" w:rsidRDefault="00CE491A">
      <w:pPr>
        <w:pStyle w:val="Heading2"/>
      </w:pPr>
      <w:bookmarkStart w:id="29" w:name="questions-open-items"/>
      <w:bookmarkEnd w:id="28"/>
      <w:r w:rsidRPr="00222725">
        <w:t>Questions &amp; Open Items</w:t>
      </w:r>
    </w:p>
    <w:p w14:paraId="48C91F6C" w14:textId="4DFB7D78" w:rsidR="0096616D" w:rsidRPr="00222725" w:rsidRDefault="00CE491A">
      <w:pPr>
        <w:pStyle w:val="FirstParagraph"/>
      </w:pPr>
      <w:r w:rsidRPr="00222725">
        <w:t>These questions</w:t>
      </w:r>
      <w:r w:rsidR="003C1F69">
        <w:t xml:space="preserve"> </w:t>
      </w:r>
      <w:r w:rsidRPr="00222725">
        <w:t>shape the architecture:</w:t>
      </w:r>
    </w:p>
    <w:p w14:paraId="66C74999" w14:textId="21413B86" w:rsidR="0096616D" w:rsidRPr="00222725" w:rsidRDefault="00CE491A">
      <w:pPr>
        <w:numPr>
          <w:ilvl w:val="0"/>
          <w:numId w:val="7"/>
        </w:numPr>
      </w:pPr>
      <w:proofErr w:type="spellStart"/>
      <w:r w:rsidRPr="00222725">
        <w:rPr>
          <w:b/>
          <w:bCs/>
        </w:rPr>
        <w:t>IBMi</w:t>
      </w:r>
      <w:proofErr w:type="spellEnd"/>
      <w:r w:rsidRPr="00222725">
        <w:rPr>
          <w:b/>
          <w:bCs/>
        </w:rPr>
        <w:t xml:space="preserve"> API readiness:</w:t>
      </w:r>
      <w:r w:rsidRPr="00222725">
        <w:t xml:space="preserve"> How many </w:t>
      </w:r>
      <w:r w:rsidR="004D6B0F">
        <w:t>software services</w:t>
      </w:r>
      <w:r w:rsidRPr="00222725">
        <w:t xml:space="preserve"> are already exposed as REST </w:t>
      </w:r>
      <w:proofErr w:type="gramStart"/>
      <w:r w:rsidRPr="00222725">
        <w:t>APIs ?</w:t>
      </w:r>
      <w:proofErr w:type="gramEnd"/>
      <w:r w:rsidRPr="00222725">
        <w:t xml:space="preserve"> If none, the Phase 1 timeline depends heavily on </w:t>
      </w:r>
      <w:r w:rsidR="004D6B0F">
        <w:t>API</w:t>
      </w:r>
      <w:r w:rsidRPr="00222725">
        <w:t xml:space="preserve"> developer availability and </w:t>
      </w:r>
      <w:proofErr w:type="spellStart"/>
      <w:r w:rsidRPr="00222725">
        <w:t>IBMi</w:t>
      </w:r>
      <w:proofErr w:type="spellEnd"/>
      <w:r w:rsidRPr="00222725">
        <w:t xml:space="preserve"> team capacity.</w:t>
      </w:r>
    </w:p>
    <w:p w14:paraId="065F6AD9" w14:textId="1B5EDEC1" w:rsidR="0096616D" w:rsidRPr="00222725" w:rsidRDefault="00CE491A">
      <w:pPr>
        <w:numPr>
          <w:ilvl w:val="0"/>
          <w:numId w:val="7"/>
        </w:numPr>
      </w:pPr>
      <w:r w:rsidRPr="00222725">
        <w:rPr>
          <w:b/>
          <w:bCs/>
        </w:rPr>
        <w:t>Health100 integration scope:</w:t>
      </w:r>
      <w:r w:rsidRPr="00222725">
        <w:t xml:space="preserve"> What is the expected integration surface between modernization and Health100? Event-driven (Pub/Sub) vs. synchronous API calls </w:t>
      </w:r>
      <w:r w:rsidR="005335EA">
        <w:t xml:space="preserve">significantly change </w:t>
      </w:r>
      <w:proofErr w:type="gramStart"/>
      <w:r w:rsidR="005335EA">
        <w:t>the architecture</w:t>
      </w:r>
      <w:proofErr w:type="gramEnd"/>
      <w:r w:rsidRPr="00222725">
        <w:t>.</w:t>
      </w:r>
    </w:p>
    <w:p w14:paraId="1592A867" w14:textId="77777777" w:rsidR="0096616D" w:rsidRPr="00222725" w:rsidRDefault="00CE491A">
      <w:pPr>
        <w:numPr>
          <w:ilvl w:val="0"/>
          <w:numId w:val="7"/>
        </w:numPr>
      </w:pPr>
      <w:r w:rsidRPr="00222725">
        <w:rPr>
          <w:b/>
          <w:bCs/>
        </w:rPr>
        <w:t>Existing identity infrastructure:</w:t>
      </w:r>
      <w:r w:rsidRPr="00222725">
        <w:t xml:space="preserve"> Is CVS currently using Active Directory, Okta, or another identity provider? Is there an existing MFA deployment? This determines whether IAM is greenfield or integration.</w:t>
      </w:r>
    </w:p>
    <w:p w14:paraId="31C94C09" w14:textId="11A391C5" w:rsidR="0096616D" w:rsidRPr="00222725" w:rsidRDefault="00CE491A" w:rsidP="007227E2">
      <w:pPr>
        <w:numPr>
          <w:ilvl w:val="0"/>
          <w:numId w:val="7"/>
        </w:numPr>
      </w:pPr>
      <w:r w:rsidRPr="00222725">
        <w:rPr>
          <w:b/>
          <w:bCs/>
        </w:rPr>
        <w:t>CDC tooling:</w:t>
      </w:r>
      <w:r w:rsidRPr="00222725">
        <w:t xml:space="preserve"> Is Precisely Connect (or similar) already licensed for </w:t>
      </w:r>
      <w:proofErr w:type="spellStart"/>
      <w:r w:rsidRPr="00222725">
        <w:t>IBMi</w:t>
      </w:r>
      <w:proofErr w:type="spellEnd"/>
      <w:r w:rsidRPr="00222725">
        <w:t xml:space="preserve"> journal-based CDC, or would this be </w:t>
      </w:r>
      <w:r w:rsidR="005335EA">
        <w:t xml:space="preserve">a </w:t>
      </w:r>
      <w:r w:rsidRPr="00222725">
        <w:t>new procurement? CDC is on the critical path for Phase 1.</w:t>
      </w:r>
    </w:p>
    <w:p w14:paraId="1276B6AF" w14:textId="77777777" w:rsidR="0096616D" w:rsidRPr="00222725" w:rsidRDefault="00CE491A">
      <w:pPr>
        <w:numPr>
          <w:ilvl w:val="0"/>
          <w:numId w:val="7"/>
        </w:numPr>
      </w:pPr>
      <w:r w:rsidRPr="00222725">
        <w:rPr>
          <w:b/>
          <w:bCs/>
        </w:rPr>
        <w:t>Compliance timeline:</w:t>
      </w:r>
      <w:r w:rsidRPr="00222725">
        <w:t xml:space="preserve"> Are there specific compliance milestones (SOC 2 audit dates, HIPAA assessment cycles) that the roadmap should align to?</w:t>
      </w:r>
    </w:p>
    <w:p w14:paraId="6F4B2100" w14:textId="77777777" w:rsidR="0096616D" w:rsidRPr="00222725" w:rsidRDefault="00CE491A">
      <w:pPr>
        <w:numPr>
          <w:ilvl w:val="0"/>
          <w:numId w:val="7"/>
        </w:numPr>
      </w:pPr>
      <w:r w:rsidRPr="00222725">
        <w:rPr>
          <w:b/>
          <w:bCs/>
        </w:rPr>
        <w:t>User population:</w:t>
      </w:r>
      <w:r w:rsidRPr="00222725">
        <w:t xml:space="preserve"> How many total users interact with green screen applications today, and across how many distinct workflows? This directly impacts the champion network sizing and rollout sequencing.</w:t>
      </w:r>
    </w:p>
    <w:p w14:paraId="303DFD81" w14:textId="77777777" w:rsidR="0096616D" w:rsidRPr="00222725" w:rsidRDefault="00CE491A">
      <w:pPr>
        <w:numPr>
          <w:ilvl w:val="0"/>
          <w:numId w:val="7"/>
        </w:numPr>
      </w:pPr>
      <w:r w:rsidRPr="00222725">
        <w:rPr>
          <w:b/>
          <w:bCs/>
        </w:rPr>
        <w:t>GenAI appetite:</w:t>
      </w:r>
      <w:r w:rsidRPr="00222725">
        <w:t xml:space="preserve"> What is CVS’s current comfort level with GenAI in clinical workflows? Is the PA automation pipeline exciting or premature for this initiative?</w:t>
      </w:r>
    </w:p>
    <w:p w14:paraId="5533051E" w14:textId="77777777" w:rsidR="0096616D" w:rsidRPr="00222725" w:rsidRDefault="00CE491A">
      <w:r>
        <w:pict w14:anchorId="27E89B62">
          <v:rect id="_x0000_i1033" style="width:0;height:1.5pt" o:hralign="center" o:hrstd="t" o:hr="t"/>
        </w:pict>
      </w:r>
    </w:p>
    <w:p w14:paraId="21584623" w14:textId="03D056F5" w:rsidR="0096616D" w:rsidRDefault="00CE491A">
      <w:pPr>
        <w:pStyle w:val="FirstParagraph"/>
      </w:pPr>
      <w:r w:rsidRPr="00222725">
        <w:rPr>
          <w:i/>
          <w:iCs/>
        </w:rPr>
        <w:t>Produced with AI assistance</w:t>
      </w:r>
      <w:r w:rsidR="00F30BBF" w:rsidRPr="00222725">
        <w:rPr>
          <w:i/>
          <w:iCs/>
        </w:rPr>
        <w:t xml:space="preserve"> using a custom Solutions Architect Agent created by Paul Prae to augment him in this assignment.</w:t>
      </w:r>
      <w:r w:rsidR="003F0D2D">
        <w:rPr>
          <w:i/>
          <w:iCs/>
        </w:rPr>
        <w:t xml:space="preserve"> </w:t>
      </w:r>
      <w:r w:rsidR="003F0D2D" w:rsidRPr="00222725">
        <w:rPr>
          <w:i/>
          <w:iCs/>
        </w:rPr>
        <w:t xml:space="preserve">This personalized AI agent embodies Paul’s professional </w:t>
      </w:r>
      <w:r w:rsidR="004D7D38">
        <w:rPr>
          <w:i/>
          <w:iCs/>
        </w:rPr>
        <w:t>experience in solution architecture</w:t>
      </w:r>
      <w:r w:rsidR="003F0D2D" w:rsidRPr="00222725">
        <w:rPr>
          <w:i/>
          <w:iCs/>
        </w:rPr>
        <w:t>. It is backed by Anthropic Claude and was developed using GitHub Copilot.</w:t>
      </w:r>
      <w:r w:rsidR="004D7D38">
        <w:rPr>
          <w:i/>
          <w:iCs/>
        </w:rPr>
        <w:t xml:space="preserve"> </w:t>
      </w:r>
      <w:r w:rsidR="00F30BBF" w:rsidRPr="00222725">
        <w:rPr>
          <w:i/>
          <w:iCs/>
        </w:rPr>
        <w:t xml:space="preserve"> See his work here: </w:t>
      </w:r>
      <w:hyperlink r:id="rId10" w:history="1">
        <w:r w:rsidR="00F30BBF" w:rsidRPr="00222725">
          <w:rPr>
            <w:rStyle w:val="Hyperlink"/>
            <w:i/>
            <w:iCs/>
          </w:rPr>
          <w:t>GitHub - Modular-Earth-LLC/solutions-architecture-agent: Orchestrates specialized skills through the complete solutions architecture lifecycle: ideation → requirements → architecture → team composition → cost. Designed for local Claude Code CLI and Anthropic cloud deployment. · GitHub</w:t>
        </w:r>
      </w:hyperlink>
      <w:r w:rsidR="003F0D2D">
        <w:rPr>
          <w:i/>
          <w:iCs/>
        </w:rPr>
        <w:t>.</w:t>
      </w:r>
      <w:r w:rsidR="00F30BBF" w:rsidRPr="00222725">
        <w:rPr>
          <w:i/>
          <w:iCs/>
        </w:rPr>
        <w:t xml:space="preserve"> </w:t>
      </w:r>
      <w:r w:rsidRPr="00222725">
        <w:rPr>
          <w:i/>
          <w:iCs/>
        </w:rPr>
        <w:t xml:space="preserve">Architecture decisions and quality assessments </w:t>
      </w:r>
      <w:r w:rsidR="005D43BE" w:rsidRPr="00222725">
        <w:rPr>
          <w:i/>
          <w:iCs/>
        </w:rPr>
        <w:t>were made by Paul</w:t>
      </w:r>
      <w:r w:rsidRPr="00222725">
        <w:rPr>
          <w:i/>
          <w:iCs/>
        </w:rPr>
        <w:t>.</w:t>
      </w:r>
      <w:bookmarkEnd w:id="0"/>
      <w:bookmarkEnd w:id="29"/>
    </w:p>
    <w:sectPr w:rsidR="0096616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4E52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7A10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D26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938243">
    <w:abstractNumId w:val="0"/>
  </w:num>
  <w:num w:numId="2" w16cid:durableId="766731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1118635">
    <w:abstractNumId w:val="1"/>
  </w:num>
  <w:num w:numId="4" w16cid:durableId="1167014321">
    <w:abstractNumId w:val="1"/>
  </w:num>
  <w:num w:numId="5" w16cid:durableId="1316568063">
    <w:abstractNumId w:val="1"/>
  </w:num>
  <w:num w:numId="6" w16cid:durableId="436412805">
    <w:abstractNumId w:val="1"/>
  </w:num>
  <w:num w:numId="7" w16cid:durableId="621150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16D"/>
    <w:rsid w:val="00043848"/>
    <w:rsid w:val="000A0873"/>
    <w:rsid w:val="000F454D"/>
    <w:rsid w:val="00132590"/>
    <w:rsid w:val="00162D80"/>
    <w:rsid w:val="00192510"/>
    <w:rsid w:val="00222725"/>
    <w:rsid w:val="002525A0"/>
    <w:rsid w:val="00262844"/>
    <w:rsid w:val="003C1F69"/>
    <w:rsid w:val="003D4DAA"/>
    <w:rsid w:val="003F0D2D"/>
    <w:rsid w:val="004A3355"/>
    <w:rsid w:val="004D6B0F"/>
    <w:rsid w:val="004D7D38"/>
    <w:rsid w:val="004F47BB"/>
    <w:rsid w:val="004F53F9"/>
    <w:rsid w:val="005171C3"/>
    <w:rsid w:val="00523B3A"/>
    <w:rsid w:val="005335EA"/>
    <w:rsid w:val="0054339B"/>
    <w:rsid w:val="00565544"/>
    <w:rsid w:val="00574357"/>
    <w:rsid w:val="005C7D5A"/>
    <w:rsid w:val="005D43BE"/>
    <w:rsid w:val="007227E2"/>
    <w:rsid w:val="007C5727"/>
    <w:rsid w:val="00857D4B"/>
    <w:rsid w:val="008831EB"/>
    <w:rsid w:val="0096616D"/>
    <w:rsid w:val="00992B8C"/>
    <w:rsid w:val="00AB5909"/>
    <w:rsid w:val="00AD39C1"/>
    <w:rsid w:val="00B77D85"/>
    <w:rsid w:val="00C1165F"/>
    <w:rsid w:val="00C57829"/>
    <w:rsid w:val="00CE491A"/>
    <w:rsid w:val="00D11A6A"/>
    <w:rsid w:val="00D63F15"/>
    <w:rsid w:val="00DB4F04"/>
    <w:rsid w:val="00E24F9A"/>
    <w:rsid w:val="00EC3879"/>
    <w:rsid w:val="00F30BBF"/>
    <w:rsid w:val="00F3509C"/>
    <w:rsid w:val="00F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6574"/>
  <w15:docId w15:val="{B0134C00-4E16-456A-BC75-31A1554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30B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30B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ubs/sp/800/207/fin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artinfowler.com/bliki/StranglerFigApplication.html" TargetMode="External"/><Relationship Id="rId10" Type="http://schemas.openxmlformats.org/officeDocument/2006/relationships/hyperlink" Target="https://github.com/Modular-Earth-LLC/solutions-architecture-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sci.com/methodology/ad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2107</Words>
  <Characters>13190</Characters>
  <Application>Microsoft Office Word</Application>
  <DocSecurity>0</DocSecurity>
  <Lines>439</Lines>
  <Paragraphs>259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Prae</dc:creator>
  <cp:keywords/>
  <cp:lastModifiedBy>Paul Prae</cp:lastModifiedBy>
  <cp:revision>2</cp:revision>
  <dcterms:created xsi:type="dcterms:W3CDTF">2026-03-17T14:44:00Z</dcterms:created>
  <dcterms:modified xsi:type="dcterms:W3CDTF">2026-03-17T14:44:00Z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74369434-7d4e-4272-b094-6526bacca0f7</vt:lpwstr>
  </property>
</Properties>
</file>