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31.png" ContentType="image/png"/>
  <Override PartName="/word/media/rId36.png" ContentType="image/png"/>
  <Override PartName="/word/media/rId39.png" ContentType="image/png"/>
  <Override PartName="/word/media/rId43.png" ContentType="image/png"/>
  <Override PartName="/word/media/rId49.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05590659fcfddf7fd548c95bab85f181a59e3c0"/>
    <w:p>
      <w:pPr>
        <w:pStyle w:val="Heading1"/>
      </w:pPr>
      <w:r>
        <w:t xml:space="preserve">Legacy System Transformation: IBMi Green Screen Modernization</w:t>
      </w:r>
    </w:p>
    <w:bookmarkStart w:id="9" w:name="X0dec71f04054ff3eae932e6d51571358c11f836"/>
    <w:p>
      <w:pPr>
        <w:pStyle w:val="Heading2"/>
      </w:pPr>
      <w:r>
        <w:t xml:space="preserve">Solution Architecture Document — CVS Health</w:t>
      </w:r>
    </w:p>
    <w:p>
      <w:pPr>
        <w:pStyle w:val="FirstParagraph"/>
      </w:pPr>
      <w:r>
        <w:rPr>
          <w:b/>
          <w:bCs/>
        </w:rPr>
        <w:t xml:space="preserve">Author:</w:t>
      </w:r>
      <w:r>
        <w:t xml:space="preserve"> </w:t>
      </w:r>
      <w:r>
        <w:t xml:space="preserve">Paul Prae — Modular Earth LLC</w:t>
      </w:r>
      <w:r>
        <w:t xml:space="preserve"> </w:t>
      </w:r>
      <w:r>
        <w:rPr>
          <w:b/>
          <w:bCs/>
        </w:rPr>
        <w:t xml:space="preserve">Date:</w:t>
      </w:r>
      <w:r>
        <w:t xml:space="preserve"> </w:t>
      </w:r>
      <w:r>
        <w:t xml:space="preserve">March 2026</w:t>
      </w:r>
      <w:r>
        <w:t xml:space="preserve"> </w:t>
      </w:r>
      <w:r>
        <w:rPr>
          <w:b/>
          <w:bCs/>
        </w:rPr>
        <w:t xml:space="preserve">Engagement:</w:t>
      </w:r>
      <w:r>
        <w:t xml:space="preserve"> </w:t>
      </w:r>
      <w:r>
        <w:t xml:space="preserve">eng-2026-001</w:t>
      </w:r>
    </w:p>
    <w:p>
      <w:r>
        <w:pict>
          <v:rect style="width:0;height:1.5pt" o:hralign="center" o:hrstd="t" o:hr="t"/>
        </w:pict>
      </w:r>
    </w:p>
    <w:bookmarkEnd w:id="9"/>
    <w:bookmarkStart w:id="10" w:name="reading-guide"/>
    <w:p>
      <w:pPr>
        <w:pStyle w:val="Heading2"/>
      </w:pPr>
      <w:r>
        <w:t xml:space="preserve">Reading Guide</w:t>
      </w:r>
    </w:p>
    <w:tbl>
      <w:tblPr>
        <w:tblStyle w:val="Table"/>
        <w:tblW w:type="pct" w:w="5000"/>
        <w:tblLayout w:type="fixed"/>
        <w:tblLook w:firstRow="1" w:lastRow="0" w:firstColumn="0" w:lastColumn="0" w:noHBand="0" w:noVBand="0" w:val="0020"/>
      </w:tblPr>
      <w:tblGrid>
        <w:gridCol w:w="1344"/>
        <w:gridCol w:w="2689"/>
        <w:gridCol w:w="3885"/>
      </w:tblGrid>
      <w:tr>
        <w:trPr>
          <w:tblHeader w:val="on"/>
        </w:trPr>
        <w:tc>
          <w:tcPr/>
          <w:p>
            <w:pPr>
              <w:pStyle w:val="Compact"/>
            </w:pPr>
            <w:r>
              <w:t xml:space="preserve">Section</w:t>
            </w:r>
          </w:p>
        </w:tc>
        <w:tc>
          <w:tcPr/>
          <w:p>
            <w:pPr>
              <w:pStyle w:val="Compact"/>
            </w:pPr>
            <w:r>
              <w:t xml:space="preserve">Key Consideration</w:t>
            </w:r>
          </w:p>
        </w:tc>
        <w:tc>
          <w:tcPr/>
          <w:p>
            <w:pPr>
              <w:pStyle w:val="Compact"/>
            </w:pPr>
            <w:r>
              <w:t xml:space="preserve">Suggested Interview Focus</w:t>
            </w:r>
          </w:p>
        </w:tc>
      </w:tr>
      <w:tr>
        <w:tc>
          <w:tcPr/>
          <w:p>
            <w:pPr>
              <w:pStyle w:val="Compact"/>
            </w:pPr>
            <w:r>
              <w:t xml:space="preserve">§1 Legacy System Integration</w:t>
            </w:r>
          </w:p>
        </w:tc>
        <w:tc>
          <w:tcPr/>
          <w:p>
            <w:pPr>
              <w:pStyle w:val="Compact"/>
            </w:pPr>
            <w:r>
              <w:t xml:space="preserve">KC #1 — IBMi modernization</w:t>
            </w:r>
          </w:p>
        </w:tc>
        <w:tc>
          <w:tcPr/>
          <w:p>
            <w:pPr>
              <w:pStyle w:val="Compact"/>
            </w:pPr>
            <w:r>
              <w:t xml:space="preserve">Strangler fig pattern, IWS API layer, CDC strategy</w:t>
            </w:r>
          </w:p>
        </w:tc>
      </w:tr>
      <w:tr>
        <w:tc>
          <w:tcPr/>
          <w:p>
            <w:pPr>
              <w:pStyle w:val="Compact"/>
            </w:pPr>
            <w:r>
              <w:t xml:space="preserve">§2 Human-Centered Design</w:t>
            </w:r>
          </w:p>
        </w:tc>
        <w:tc>
          <w:tcPr/>
          <w:p>
            <w:pPr>
              <w:pStyle w:val="Compact"/>
            </w:pPr>
            <w:r>
              <w:t xml:space="preserve">KC #3 — HCD principles</w:t>
            </w:r>
          </w:p>
        </w:tc>
        <w:tc>
          <w:tcPr/>
          <w:p>
            <w:pPr>
              <w:pStyle w:val="Compact"/>
            </w:pPr>
            <w:r>
              <w:t xml:space="preserve">Cognitive science foundation, dual-mode interface, personas</w:t>
            </w:r>
          </w:p>
        </w:tc>
      </w:tr>
      <w:tr>
        <w:tc>
          <w:tcPr/>
          <w:p>
            <w:pPr>
              <w:pStyle w:val="Compact"/>
            </w:pPr>
            <w:r>
              <w:t xml:space="preserve">§3 Solution Architecture</w:t>
            </w:r>
          </w:p>
        </w:tc>
        <w:tc>
          <w:tcPr/>
          <w:p>
            <w:pPr>
              <w:pStyle w:val="Compact"/>
            </w:pPr>
            <w:r>
              <w:t xml:space="preserve">KC #4 — Tech stack selection</w:t>
            </w:r>
          </w:p>
        </w:tc>
        <w:tc>
          <w:tcPr/>
          <w:p>
            <w:pPr>
              <w:pStyle w:val="Compact"/>
            </w:pPr>
            <w:r>
              <w:t xml:space="preserve">3-option comparison, GCP recommendation, GenAI pipeline</w:t>
            </w:r>
          </w:p>
        </w:tc>
      </w:tr>
      <w:tr>
        <w:tc>
          <w:tcPr/>
          <w:p>
            <w:pPr>
              <w:pStyle w:val="Compact"/>
            </w:pPr>
            <w:r>
              <w:t xml:space="preserve">§4 Identity &amp; Access Management</w:t>
            </w:r>
          </w:p>
        </w:tc>
        <w:tc>
          <w:tcPr/>
          <w:p>
            <w:pPr>
              <w:pStyle w:val="Compact"/>
            </w:pPr>
            <w:r>
              <w:t xml:space="preserve">KC #2 — IAM + Security</w:t>
            </w:r>
          </w:p>
        </w:tc>
        <w:tc>
          <w:tcPr/>
          <w:p>
            <w:pPr>
              <w:pStyle w:val="Compact"/>
            </w:pPr>
            <w:r>
              <w:t xml:space="preserve">Zero trust, RBAC/ABAC, STRIDE threats, compliance</w:t>
            </w:r>
          </w:p>
        </w:tc>
      </w:tr>
      <w:tr>
        <w:tc>
          <w:tcPr/>
          <w:p>
            <w:pPr>
              <w:pStyle w:val="Compact"/>
            </w:pPr>
            <w:r>
              <w:t xml:space="preserve">§5 Change Management</w:t>
            </w:r>
          </w:p>
        </w:tc>
        <w:tc>
          <w:tcPr/>
          <w:p>
            <w:pPr>
              <w:pStyle w:val="Compact"/>
            </w:pPr>
            <w:r>
              <w:t xml:space="preserve">KC #5 — Organizational change</w:t>
            </w:r>
          </w:p>
        </w:tc>
        <w:tc>
          <w:tcPr/>
          <w:p>
            <w:pPr>
              <w:pStyle w:val="Compact"/>
            </w:pPr>
            <w:r>
              <w:t xml:space="preserve">ADKAR framework, champion network, adoption metrics</w:t>
            </w:r>
          </w:p>
        </w:tc>
      </w:tr>
      <w:tr>
        <w:tc>
          <w:tcPr/>
          <w:p>
            <w:pPr>
              <w:pStyle w:val="Compact"/>
            </w:pPr>
            <w:r>
              <w:t xml:space="preserve">§6 Implementation Roadmap</w:t>
            </w:r>
          </w:p>
        </w:tc>
        <w:tc>
          <w:tcPr/>
          <w:p>
            <w:pPr>
              <w:pStyle w:val="Compact"/>
            </w:pPr>
            <w:r>
              <w:t xml:space="preserve">Timeline &amp; investment</w:t>
            </w:r>
          </w:p>
        </w:tc>
        <w:tc>
          <w:tcPr/>
          <w:p>
            <w:pPr>
              <w:pStyle w:val="Compact"/>
            </w:pPr>
            <w:r>
              <w:t xml:space="preserve">4 phases, decision gates, team composition, cost range</w:t>
            </w:r>
          </w:p>
        </w:tc>
      </w:tr>
      <w:tr>
        <w:tc>
          <w:tcPr/>
          <w:p>
            <w:pPr>
              <w:pStyle w:val="Compact"/>
            </w:pPr>
            <w:r>
              <w:t xml:space="preserve">§7 AI-Assisted Methodology</w:t>
            </w:r>
          </w:p>
        </w:tc>
        <w:tc>
          <w:tcPr/>
          <w:p>
            <w:pPr>
              <w:pStyle w:val="Compact"/>
            </w:pPr>
            <w:r>
              <w:t xml:space="preserve">How this was produced</w:t>
            </w:r>
          </w:p>
        </w:tc>
        <w:tc>
          <w:tcPr/>
          <w:p>
            <w:pPr>
              <w:pStyle w:val="Compact"/>
            </w:pPr>
            <w:r>
              <w:t xml:space="preserve">Human-AI collaboration model, quality process</w:t>
            </w:r>
          </w:p>
        </w:tc>
      </w:tr>
    </w:tbl>
    <w:p>
      <w:r>
        <w:pict>
          <v:rect style="width:0;height:1.5pt" o:hralign="center" o:hrstd="t" o:hr="t"/>
        </w:pict>
      </w:r>
    </w:p>
    <w:bookmarkEnd w:id="10"/>
    <w:bookmarkStart w:id="14" w:name="executive-summary"/>
    <w:p>
      <w:pPr>
        <w:pStyle w:val="Heading2"/>
      </w:pPr>
      <w:r>
        <w:t xml:space="preserve">Executive Summary</w:t>
      </w:r>
    </w:p>
    <w:p>
      <w:pPr>
        <w:pStyle w:val="FirstParagraph"/>
      </w:pPr>
      <w:r>
        <w:t xml:space="preserve">CVS Health operates critical pharmacy benefits applications on IBMi (AS/400) green screen interfaces — systems that adjudicate 99%+ of pharmacy claims electronically at sub-second latency. These systems are functionally robust but present significant challenges: 6-8 week onboarding for new staff, 40% higher data entry error rates than modern UIs, inability to connect with cloud services or meet WCAG accessibility standards, and a shrinking RPG/CL developer pool (average age ~70 per ASNA). With CVS’s March 2026 Google Cloud strategic partnership launching the Health100 agentic AI platform, the gap between legacy green screens and modern cloud capabilities has become a strategic impediment.</w:t>
      </w:r>
    </w:p>
    <w:p>
      <w:pPr>
        <w:pStyle w:val="BodyText"/>
      </w:pPr>
      <w:r>
        <w:t xml:space="preserve">I recommend an</w:t>
      </w:r>
      <w:r>
        <w:t xml:space="preserve"> </w:t>
      </w:r>
      <w:r>
        <w:rPr>
          <w:b/>
          <w:bCs/>
        </w:rPr>
        <w:t xml:space="preserve">API-First Strangler Fig migration</w:t>
      </w:r>
      <w:r>
        <w:t xml:space="preserve"> </w:t>
      </w:r>
      <w:r>
        <w:t xml:space="preserve">that preserves decades of pharmacy business logic on IBMi while incrementally replacing green screen interfaces with a modern React-based UI. This approach avoids the 50-70% failure rate associated with big-bang rewrites (DitsTek, Programmers.io, Gartner) by migrating one workflow at a time with parallel validation at every step.</w:t>
      </w:r>
    </w:p>
    <w:bookmarkStart w:id="11" w:name="three-architecture-options"/>
    <w:p>
      <w:pPr>
        <w:pStyle w:val="Heading3"/>
      </w:pPr>
      <w:r>
        <w:t xml:space="preserve">Three Architecture Options</w:t>
      </w:r>
    </w:p>
    <w:tbl>
      <w:tblPr>
        <w:tblStyle w:val="Table"/>
        <w:tblW w:type="pct" w:w="5000"/>
        <w:tblLayout w:type="fixed"/>
        <w:tblLook w:firstRow="1" w:lastRow="0" w:firstColumn="0" w:lastColumn="0" w:noHBand="0" w:noVBand="0" w:val="0020"/>
      </w:tblPr>
      <w:tblGrid>
        <w:gridCol w:w="957"/>
        <w:gridCol w:w="3220"/>
        <w:gridCol w:w="1827"/>
        <w:gridCol w:w="1914"/>
      </w:tblGrid>
      <w:tr>
        <w:trPr>
          <w:tblHeader w:val="on"/>
        </w:trPr>
        <w:tc>
          <w:tcPr/>
          <w:p>
            <w:pPr>
              <w:pStyle w:val="Compact"/>
            </w:pPr>
            <w:r>
              <w:t xml:space="preserve">Dimension</w:t>
            </w:r>
          </w:p>
        </w:tc>
        <w:tc>
          <w:tcPr/>
          <w:p>
            <w:pPr>
              <w:pStyle w:val="Compact"/>
            </w:pPr>
            <w:r>
              <w:t xml:space="preserve">Option A: GCP-Native (Recommended)</w:t>
            </w:r>
          </w:p>
        </w:tc>
        <w:tc>
          <w:tcPr/>
          <w:p>
            <w:pPr>
              <w:pStyle w:val="Compact"/>
            </w:pPr>
            <w:r>
              <w:t xml:space="preserve">Option B: AWS-Native</w:t>
            </w:r>
          </w:p>
        </w:tc>
        <w:tc>
          <w:tcPr/>
          <w:p>
            <w:pPr>
              <w:pStyle w:val="Compact"/>
            </w:pPr>
            <w:r>
              <w:t xml:space="preserve">Option C: Modern Cloud</w:t>
            </w:r>
          </w:p>
        </w:tc>
      </w:tr>
      <w:tr>
        <w:tc>
          <w:tcPr/>
          <w:p>
            <w:pPr>
              <w:pStyle w:val="Compact"/>
            </w:pPr>
            <w:r>
              <w:rPr>
                <w:b/>
                <w:bCs/>
              </w:rPr>
              <w:t xml:space="preserve">Strategic alignment</w:t>
            </w:r>
          </w:p>
        </w:tc>
        <w:tc>
          <w:tcPr/>
          <w:p>
            <w:pPr>
              <w:pStyle w:val="Compact"/>
            </w:pPr>
            <w:r>
              <w:t xml:space="preserve">CVS Health100 partnership (Gemini, BigQuery, Cloud Healthcare API)</w:t>
            </w:r>
          </w:p>
        </w:tc>
        <w:tc>
          <w:tcPr/>
          <w:p>
            <w:pPr>
              <w:pStyle w:val="Compact"/>
            </w:pPr>
            <w:r>
              <w:t xml:space="preserve">Largest HIPAA-eligible catalog (166+ services)</w:t>
            </w:r>
          </w:p>
        </w:tc>
        <w:tc>
          <w:tcPr/>
          <w:p>
            <w:pPr>
              <w:pStyle w:val="Compact"/>
            </w:pPr>
            <w:r>
              <w:t xml:space="preserve">Maximum developer velocity (Vercel + Supabase)</w:t>
            </w:r>
          </w:p>
        </w:tc>
      </w:tr>
      <w:tr>
        <w:tc>
          <w:tcPr/>
          <w:p>
            <w:pPr>
              <w:pStyle w:val="Compact"/>
            </w:pPr>
            <w:r>
              <w:rPr>
                <w:b/>
                <w:bCs/>
              </w:rPr>
              <w:t xml:space="preserve">GenAI</w:t>
            </w:r>
          </w:p>
        </w:tc>
        <w:tc>
          <w:tcPr/>
          <w:p>
            <w:pPr>
              <w:pStyle w:val="Compact"/>
            </w:pPr>
            <w:r>
              <w:t xml:space="preserve">Vertex AI + Gemini/MedGemma</w:t>
            </w:r>
          </w:p>
        </w:tc>
        <w:tc>
          <w:tcPr/>
          <w:p>
            <w:pPr>
              <w:pStyle w:val="Compact"/>
            </w:pPr>
            <w:r>
              <w:t xml:space="preserve">Bedrock + HealthLake + Comprehend Medical</w:t>
            </w:r>
          </w:p>
        </w:tc>
        <w:tc>
          <w:tcPr/>
          <w:p>
            <w:pPr>
              <w:pStyle w:val="Compact"/>
            </w:pPr>
            <w:r>
              <w:t xml:space="preserve">Vercel AI SDK 6 (model-agnostic, 24+ providers)</w:t>
            </w:r>
          </w:p>
        </w:tc>
      </w:tr>
      <w:tr>
        <w:tc>
          <w:tcPr/>
          <w:p>
            <w:pPr>
              <w:pStyle w:val="Compact"/>
            </w:pPr>
            <w:r>
              <w:rPr>
                <w:b/>
                <w:bCs/>
              </w:rPr>
              <w:t xml:space="preserve">FHIR</w:t>
            </w:r>
          </w:p>
        </w:tc>
        <w:tc>
          <w:tcPr/>
          <w:p>
            <w:pPr>
              <w:pStyle w:val="Compact"/>
            </w:pPr>
            <w:r>
              <w:t xml:space="preserve">Cloud Healthcare API (native FHIR R4)</w:t>
            </w:r>
          </w:p>
        </w:tc>
        <w:tc>
          <w:tcPr/>
          <w:p>
            <w:pPr>
              <w:pStyle w:val="Compact"/>
            </w:pPr>
            <w:r>
              <w:t xml:space="preserve">HealthLake (FHIR R4 + built-in NLP)</w:t>
            </w:r>
          </w:p>
        </w:tc>
        <w:tc>
          <w:tcPr/>
          <w:p>
            <w:pPr>
              <w:pStyle w:val="Compact"/>
            </w:pPr>
            <w:r>
              <w:t xml:space="preserve">HAPI FHIR on PostgreSQL</w:t>
            </w:r>
          </w:p>
        </w:tc>
      </w:tr>
      <w:tr>
        <w:tc>
          <w:tcPr/>
          <w:p>
            <w:pPr>
              <w:pStyle w:val="Compact"/>
            </w:pPr>
            <w:r>
              <w:rPr>
                <w:b/>
                <w:bCs/>
              </w:rPr>
              <w:t xml:space="preserve">API gateway</w:t>
            </w:r>
          </w:p>
        </w:tc>
        <w:tc>
          <w:tcPr/>
          <w:p>
            <w:pPr>
              <w:pStyle w:val="Compact"/>
            </w:pPr>
            <w:r>
              <w:t xml:space="preserve">Apigee X + HealthAPIx</w:t>
            </w:r>
          </w:p>
        </w:tc>
        <w:tc>
          <w:tcPr/>
          <w:p>
            <w:pPr>
              <w:pStyle w:val="Compact"/>
            </w:pPr>
            <w:r>
              <w:t xml:space="preserve">API Gateway (pay-per-request)</w:t>
            </w:r>
          </w:p>
        </w:tc>
        <w:tc>
          <w:tcPr/>
          <w:p>
            <w:pPr>
              <w:pStyle w:val="Compact"/>
            </w:pPr>
            <w:r>
              <w:t xml:space="preserve">Next.js API routes</w:t>
            </w:r>
          </w:p>
        </w:tc>
      </w:tr>
      <w:tr>
        <w:tc>
          <w:tcPr/>
          <w:p>
            <w:pPr>
              <w:pStyle w:val="Compact"/>
            </w:pPr>
            <w:r>
              <w:rPr>
                <w:b/>
                <w:bCs/>
              </w:rPr>
              <w:t xml:space="preserve">CDC tooling</w:t>
            </w:r>
          </w:p>
        </w:tc>
        <w:tc>
          <w:tcPr/>
          <w:p>
            <w:pPr>
              <w:pStyle w:val="Compact"/>
            </w:pPr>
            <w:r>
              <w:t xml:space="preserve">Precisely Connect → Pub/Sub → Dataflow</w:t>
            </w:r>
          </w:p>
        </w:tc>
        <w:tc>
          <w:tcPr/>
          <w:p>
            <w:pPr>
              <w:pStyle w:val="Compact"/>
            </w:pPr>
            <w:r>
              <w:t xml:space="preserve">Precisely + AWS Mainframe Modernization</w:t>
            </w:r>
          </w:p>
        </w:tc>
        <w:tc>
          <w:tcPr/>
          <w:p>
            <w:pPr>
              <w:pStyle w:val="Compact"/>
            </w:pPr>
            <w:r>
              <w:t xml:space="preserve">Precisely Connect → Supabase PostgreSQL</w:t>
            </w:r>
          </w:p>
        </w:tc>
      </w:tr>
      <w:tr>
        <w:tc>
          <w:tcPr/>
          <w:p>
            <w:pPr>
              <w:pStyle w:val="Compact"/>
            </w:pPr>
            <w:r>
              <w:rPr>
                <w:b/>
                <w:bCs/>
              </w:rPr>
              <w:t xml:space="preserve">Enterprise maturity</w:t>
            </w:r>
          </w:p>
        </w:tc>
        <w:tc>
          <w:tcPr/>
          <w:p>
            <w:pPr>
              <w:pStyle w:val="Compact"/>
            </w:pPr>
            <w:r>
              <w:t xml:space="preserve">Google’s own infrastructure at scale</w:t>
            </w:r>
          </w:p>
        </w:tc>
        <w:tc>
          <w:tcPr/>
          <w:p>
            <w:pPr>
              <w:pStyle w:val="Compact"/>
            </w:pPr>
            <w:r>
              <w:t xml:space="preserve">Largest enterprise healthcare adoption</w:t>
            </w:r>
          </w:p>
        </w:tc>
        <w:tc>
          <w:tcPr/>
          <w:p>
            <w:pPr>
              <w:pStyle w:val="Compact"/>
            </w:pPr>
            <w:r>
              <w:t xml:space="preserve">Emerging — no PBM deployments at CVS scale</w:t>
            </w:r>
          </w:p>
        </w:tc>
      </w:tr>
      <w:tr>
        <w:tc>
          <w:tcPr/>
          <w:p>
            <w:pPr>
              <w:pStyle w:val="Compact"/>
            </w:pPr>
            <w:r>
              <w:rPr>
                <w:b/>
                <w:bCs/>
              </w:rPr>
              <w:t xml:space="preserve">Paul’s depth</w:t>
            </w:r>
          </w:p>
        </w:tc>
        <w:tc>
          <w:tcPr/>
          <w:p>
            <w:pPr>
              <w:pStyle w:val="Compact"/>
            </w:pPr>
            <w:r>
              <w:t xml:space="preserve">Research-backed via AWS→GCP translation</w:t>
            </w:r>
          </w:p>
        </w:tc>
        <w:tc>
          <w:tcPr/>
          <w:p>
            <w:pPr>
              <w:pStyle w:val="Compact"/>
            </w:pPr>
            <w:r>
              <w:t xml:space="preserve">3 years as AWS Enterprise SA (deep)</w:t>
            </w:r>
          </w:p>
        </w:tc>
        <w:tc>
          <w:tcPr/>
          <w:p>
            <w:pPr>
              <w:pStyle w:val="Compact"/>
            </w:pPr>
            <w:r>
              <w:t xml:space="preserve">Production architectures (Paloist, paulprae.com)</w:t>
            </w:r>
          </w:p>
        </w:tc>
      </w:tr>
    </w:tbl>
    <w:p>
      <w:pPr>
        <w:pStyle w:val="BodyText"/>
      </w:pPr>
      <w:r>
        <w:rPr>
          <w:b/>
          <w:bCs/>
        </w:rPr>
        <w:t xml:space="preserve">Recommendation: Option A (GCP-Native)</w:t>
      </w:r>
      <w:r>
        <w:t xml:space="preserve"> </w:t>
      </w:r>
      <w:r>
        <w:t xml:space="preserve">— strategic alignment with Health100 outweighs AWS familiarity. Building PBM modernization on AWS would create cross-cloud integration complexity and duplicate FHIR infrastructure. I present GCP through my AWS lens:</w:t>
      </w:r>
      <w:r>
        <w:t xml:space="preserve"> </w:t>
      </w:r>
      <w:r>
        <w:t xml:space="preserve">“I’ve architected equivalent solutions on AWS, and here’s how they map to GCP services.”</w:t>
      </w:r>
    </w:p>
    <w:bookmarkEnd w:id="11"/>
    <w:bookmarkStart w:id="12" w:name="key-differentiators"/>
    <w:p>
      <w:pPr>
        <w:pStyle w:val="Heading3"/>
      </w:pPr>
      <w:r>
        <w:t xml:space="preserve">Key Differentiators</w:t>
      </w:r>
    </w:p>
    <w:p>
      <w:pPr>
        <w:pStyle w:val="FirstParagraph"/>
      </w:pPr>
      <w:r>
        <w:t xml:space="preserve">This solution demonstrates both</w:t>
      </w:r>
      <w:r>
        <w:t xml:space="preserve"> </w:t>
      </w:r>
      <w:r>
        <w:rPr>
          <w:b/>
          <w:bCs/>
        </w:rPr>
        <w:t xml:space="preserve">principal architect</w:t>
      </w:r>
      <w:r>
        <w:t xml:space="preserve"> </w:t>
      </w:r>
      <w:r>
        <w:t xml:space="preserve">and</w:t>
      </w:r>
      <w:r>
        <w:t xml:space="preserve"> </w:t>
      </w:r>
      <w:r>
        <w:rPr>
          <w:b/>
          <w:bCs/>
        </w:rPr>
        <w:t xml:space="preserve">GenAI team leadership</w:t>
      </w:r>
      <w:r>
        <w:t xml:space="preserve"> </w:t>
      </w:r>
      <w:r>
        <w:t xml:space="preserve">capabilities:</w:t>
      </w:r>
    </w:p>
    <w:p>
      <w:pPr>
        <w:pStyle w:val="Compact"/>
        <w:numPr>
          <w:ilvl w:val="0"/>
          <w:numId w:val="1001"/>
        </w:numPr>
      </w:pPr>
      <w:r>
        <w:rPr>
          <w:b/>
          <w:bCs/>
        </w:rPr>
        <w:t xml:space="preserve">Architecture depth</w:t>
      </w:r>
      <w:r>
        <w:t xml:space="preserve">: 12 components, 7 data flows, 7 Mermaid diagrams, Well-Architected scoring (7.7/10 overall)</w:t>
      </w:r>
    </w:p>
    <w:p>
      <w:pPr>
        <w:pStyle w:val="Compact"/>
        <w:numPr>
          <w:ilvl w:val="0"/>
          <w:numId w:val="1001"/>
        </w:numPr>
      </w:pPr>
      <w:r>
        <w:rPr>
          <w:b/>
          <w:bCs/>
        </w:rPr>
        <w:t xml:space="preserve">GenAI pipeline</w:t>
      </w:r>
      <w:r>
        <w:t xml:space="preserve">: Tiered inference (Gemini for complex cases, MedGemma for routine), confidence-based routing, human-in-the-loop for all PA decisions, OWASP LLM Top 10 alignment</w:t>
      </w:r>
    </w:p>
    <w:p>
      <w:pPr>
        <w:pStyle w:val="Compact"/>
        <w:numPr>
          <w:ilvl w:val="0"/>
          <w:numId w:val="1001"/>
        </w:numPr>
      </w:pPr>
      <w:r>
        <w:rPr>
          <w:b/>
          <w:bCs/>
        </w:rPr>
        <w:t xml:space="preserve">Security rigor</w:t>
      </w:r>
      <w:r>
        <w:t xml:space="preserve">: 30 STRIDE threats analyzed, 6 compliance frameworks mapped (HIPAA, HITECH, PCI-DSS 4.0, DEA 21 CFR 1311, SOC 2, NIST SP 800-207)</w:t>
      </w:r>
    </w:p>
    <w:p>
      <w:pPr>
        <w:pStyle w:val="Compact"/>
        <w:numPr>
          <w:ilvl w:val="0"/>
          <w:numId w:val="1001"/>
        </w:numPr>
      </w:pPr>
      <w:r>
        <w:rPr>
          <w:b/>
          <w:bCs/>
        </w:rPr>
        <w:t xml:space="preserve">Human-centered design</w:t>
      </w:r>
      <w:r>
        <w:t xml:space="preserve">: Grounded in my Cognitive Science BA — dual-mode interface serving both green screen experts and new hires simultaneously</w:t>
      </w:r>
    </w:p>
    <w:bookmarkEnd w:id="12"/>
    <w:bookmarkStart w:id="13" w:name="investment-range"/>
    <w:p>
      <w:pPr>
        <w:pStyle w:val="Heading3"/>
      </w:pPr>
      <w:r>
        <w:t xml:space="preserve">Investment Range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Confidence Level</w:t>
            </w:r>
          </w:p>
        </w:tc>
        <w:tc>
          <w:tcPr/>
          <w:p>
            <w:pPr>
              <w:pStyle w:val="Compact"/>
            </w:pPr>
            <w:r>
              <w:t xml:space="preserve">Total Investment</w:t>
            </w:r>
          </w:p>
        </w:tc>
        <w:tc>
          <w:tcPr/>
          <w:p>
            <w:pPr>
              <w:pStyle w:val="Compact"/>
            </w:pPr>
            <w:r>
              <w:t xml:space="preserve">Basis</w:t>
            </w:r>
          </w:p>
        </w:tc>
      </w:tr>
      <w:tr>
        <w:tc>
          <w:tcPr/>
          <w:p>
            <w:pPr>
              <w:pStyle w:val="Compact"/>
            </w:pPr>
            <w:r>
              <w:t xml:space="preserve">P10 (Optimistic)</w:t>
            </w:r>
          </w:p>
        </w:tc>
        <w:tc>
          <w:tcPr/>
          <w:p>
            <w:pPr>
              <w:pStyle w:val="Compact"/>
            </w:pPr>
            <w:r>
              <w:t xml:space="preserve">$8.5M</w:t>
            </w:r>
          </w:p>
        </w:tc>
        <w:tc>
          <w:tcPr/>
          <w:p>
            <w:pPr>
              <w:pStyle w:val="Compact"/>
            </w:pPr>
            <w:r>
              <w:t xml:space="preserve">Fast ramp, AI tools highly effective</w:t>
            </w:r>
          </w:p>
        </w:tc>
      </w:tr>
      <w:tr>
        <w:tc>
          <w:tcPr/>
          <w:p>
            <w:pPr>
              <w:pStyle w:val="Compact"/>
            </w:pPr>
            <w:r>
              <w:rPr>
                <w:b/>
                <w:bCs/>
              </w:rPr>
              <w:t xml:space="preserve">P50 (Expected)</w:t>
            </w:r>
          </w:p>
        </w:tc>
        <w:tc>
          <w:tcPr/>
          <w:p>
            <w:pPr>
              <w:pStyle w:val="Compact"/>
            </w:pPr>
            <w:r>
              <w:rPr>
                <w:b/>
                <w:bCs/>
              </w:rPr>
              <w:t xml:space="preserve">$11.7M</w:t>
            </w:r>
          </w:p>
        </w:tc>
        <w:tc>
          <w:tcPr/>
          <w:p>
            <w:pPr>
              <w:pStyle w:val="Compact"/>
            </w:pPr>
            <w:r>
              <w:t xml:space="preserve">Three-point PERT estimate</w:t>
            </w:r>
          </w:p>
        </w:tc>
      </w:tr>
      <w:tr>
        <w:tc>
          <w:tcPr/>
          <w:p>
            <w:pPr>
              <w:pStyle w:val="Compact"/>
            </w:pPr>
            <w:r>
              <w:t xml:space="preserve">P90 (Pessimistic)</w:t>
            </w:r>
          </w:p>
        </w:tc>
        <w:tc>
          <w:tcPr/>
          <w:p>
            <w:pPr>
              <w:pStyle w:val="Compact"/>
            </w:pPr>
            <w:r>
              <w:t xml:space="preserve">$16.5M</w:t>
            </w:r>
          </w:p>
        </w:tc>
        <w:tc>
          <w:tcPr/>
          <w:p>
            <w:pPr>
              <w:pStyle w:val="Compact"/>
            </w:pPr>
            <w:r>
              <w:t xml:space="preserve">RPG/CL delays, compliance extensions</w:t>
            </w:r>
          </w:p>
        </w:tc>
      </w:tr>
    </w:tbl>
    <w:p>
      <w:pPr>
        <w:pStyle w:val="BodyText"/>
      </w:pPr>
      <w:r>
        <w:rPr>
          <w:i/>
          <w:iCs/>
        </w:rPr>
        <w:t xml:space="preserve">78 weeks, 4 phases, 4 decision gates, ~15 peak FTE + CVS internal product team</w:t>
      </w:r>
    </w:p>
    <w:p>
      <w:r>
        <w:pict>
          <v:rect style="width:0;height:1.5pt" o:hralign="center" o:hrstd="t" o:hr="t"/>
        </w:pict>
      </w:r>
    </w:p>
    <w:bookmarkEnd w:id="13"/>
    <w:bookmarkEnd w:id="14"/>
    <w:bookmarkStart w:id="23" w:name="legacy-system-integration"/>
    <w:p>
      <w:pPr>
        <w:pStyle w:val="Heading2"/>
      </w:pPr>
      <w:r>
        <w:t xml:space="preserve">1. Legacy System Integration</w:t>
      </w:r>
    </w:p>
    <w:bookmarkStart w:id="15" w:name="the-challenge"/>
    <w:p>
      <w:pPr>
        <w:pStyle w:val="Heading3"/>
      </w:pPr>
      <w:r>
        <w:t xml:space="preserve">The Challenge</w:t>
      </w:r>
    </w:p>
    <w:p>
      <w:pPr>
        <w:pStyle w:val="FirstParagraph"/>
      </w:pPr>
      <w:r>
        <w:t xml:space="preserve">CVS Health’s pharmacy benefits engine runs on IBMi (AS/400), processing millions of claims daily through RPG/CL programs on Db2 for i. The green screen interface is text-only — 80 columns by 24 rows, keyboard-driven, no mouse interaction. These systems work. The business logic is proven. The challenge is not replacing them — it’s wrapping them in modern interfaces while preserving every bit of that logic.</w:t>
      </w:r>
    </w:p>
    <w:bookmarkEnd w:id="15"/>
    <w:bookmarkStart w:id="16" w:name="X1728b8dad0bf876eb269d2c6510cf7e351c032b"/>
    <w:p>
      <w:pPr>
        <w:pStyle w:val="Heading3"/>
      </w:pPr>
      <w:r>
        <w:t xml:space="preserve">Migration Pattern: API-First Strangler Fig</w:t>
      </w:r>
    </w:p>
    <w:p>
      <w:pPr>
        <w:pStyle w:val="FirstParagraph"/>
      </w:pPr>
      <w:r>
        <w:t xml:space="preserve">The strangler fig pattern migrates one workflow at a time, with the legacy system remaining fully operational throughout. Each workflow follows the same sequence:</w:t>
      </w:r>
    </w:p>
    <w:p>
      <w:pPr>
        <w:pStyle w:val="Compact"/>
        <w:numPr>
          <w:ilvl w:val="0"/>
          <w:numId w:val="1002"/>
        </w:numPr>
      </w:pPr>
      <w:r>
        <w:rPr>
          <w:b/>
          <w:bCs/>
        </w:rPr>
        <w:t xml:space="preserve">Expose</w:t>
      </w:r>
      <w:r>
        <w:t xml:space="preserve"> </w:t>
      </w:r>
      <w:r>
        <w:t xml:space="preserve">existing RPG/CL service programs as REST APIs via IBM IWS 3.0</w:t>
      </w:r>
    </w:p>
    <w:p>
      <w:pPr>
        <w:pStyle w:val="Compact"/>
        <w:numPr>
          <w:ilvl w:val="0"/>
          <w:numId w:val="1002"/>
        </w:numPr>
      </w:pPr>
      <w:r>
        <w:rPr>
          <w:b/>
          <w:bCs/>
        </w:rPr>
        <w:t xml:space="preserve">Route</w:t>
      </w:r>
      <w:r>
        <w:t xml:space="preserve"> </w:t>
      </w:r>
      <w:r>
        <w:t xml:space="preserve">traffic through Apigee X API gateway (legacy vs. modern based on migration status)</w:t>
      </w:r>
    </w:p>
    <w:p>
      <w:pPr>
        <w:pStyle w:val="Compact"/>
        <w:numPr>
          <w:ilvl w:val="0"/>
          <w:numId w:val="1002"/>
        </w:numPr>
      </w:pPr>
      <w:r>
        <w:rPr>
          <w:b/>
          <w:bCs/>
        </w:rPr>
        <w:t xml:space="preserve">Build</w:t>
      </w:r>
      <w:r>
        <w:t xml:space="preserve"> </w:t>
      </w:r>
      <w:r>
        <w:t xml:space="preserve">modern React micro-frontend consuming the same API</w:t>
      </w:r>
    </w:p>
    <w:p>
      <w:pPr>
        <w:pStyle w:val="Compact"/>
        <w:numPr>
          <w:ilvl w:val="0"/>
          <w:numId w:val="1002"/>
        </w:numPr>
      </w:pPr>
      <w:r>
        <w:rPr>
          <w:b/>
          <w:bCs/>
        </w:rPr>
        <w:t xml:space="preserve">Validate</w:t>
      </w:r>
      <w:r>
        <w:t xml:space="preserve"> </w:t>
      </w:r>
      <w:r>
        <w:t xml:space="preserve">via parallel production — both systems process requests simultaneously, results compared in BigQuery</w:t>
      </w:r>
    </w:p>
    <w:p>
      <w:pPr>
        <w:pStyle w:val="Compact"/>
        <w:numPr>
          <w:ilvl w:val="0"/>
          <w:numId w:val="1002"/>
        </w:numPr>
      </w:pPr>
      <w:r>
        <w:rPr>
          <w:b/>
          <w:bCs/>
        </w:rPr>
        <w:t xml:space="preserve">Switch</w:t>
      </w:r>
      <w:r>
        <w:t xml:space="preserve"> </w:t>
      </w:r>
      <w:r>
        <w:t xml:space="preserve">traffic to modern path when validation reaches ≥99.9% accuracy over 30 days</w:t>
      </w:r>
    </w:p>
    <w:p>
      <w:pPr>
        <w:pStyle w:val="Compact"/>
        <w:numPr>
          <w:ilvl w:val="0"/>
          <w:numId w:val="1002"/>
        </w:numPr>
      </w:pPr>
      <w:r>
        <w:rPr>
          <w:b/>
          <w:bCs/>
        </w:rPr>
        <w:t xml:space="preserve">Retain</w:t>
      </w:r>
      <w:r>
        <w:t xml:space="preserve"> </w:t>
      </w:r>
      <w:r>
        <w:t xml:space="preserve">green screen escape hatch until adoption metrics confirm safe decommissioning</w:t>
      </w:r>
    </w:p>
    <w:p>
      <w:pPr>
        <w:pStyle w:val="FirstParagraph"/>
      </w:pPr>
      <w:r>
        <w:t xml:space="preserve">This avoids the 50-70% failure rate of big-bang migrations by making every step independently reversible via Apigee route configuration — no code deployment required to roll back.</w:t>
      </w:r>
    </w:p>
    <w:bookmarkEnd w:id="16"/>
    <w:bookmarkStart w:id="17" w:name="ibm-iws-3.0-api-layer"/>
    <w:p>
      <w:pPr>
        <w:pStyle w:val="Heading3"/>
      </w:pPr>
      <w:r>
        <w:t xml:space="preserve">IBM IWS 3.0 API Layer</w:t>
      </w:r>
    </w:p>
    <w:p>
      <w:pPr>
        <w:pStyle w:val="FirstParagraph"/>
      </w:pPr>
      <w:r>
        <w:t xml:space="preserve">IBM Integrated Web Services 3.0 (Jakarta EE) exposes existing RPG service programs as REST APIs without rewriting business logic. This is the critical bridge between decades of pharmacy logic and modern cloud services.</w:t>
      </w:r>
    </w:p>
    <w:tbl>
      <w:tblPr>
        <w:tblStyle w:val="Table"/>
        <w:tblW w:type="pct" w:w="5000"/>
        <w:tblLayout w:type="fixed"/>
        <w:tblLook w:firstRow="1" w:lastRow="0" w:firstColumn="0" w:lastColumn="0" w:noHBand="0" w:noVBand="0" w:val="0020"/>
      </w:tblPr>
      <w:tblGrid>
        <w:gridCol w:w="1042"/>
        <w:gridCol w:w="2709"/>
        <w:gridCol w:w="2709"/>
        <w:gridCol w:w="1458"/>
      </w:tblGrid>
      <w:tr>
        <w:trPr>
          <w:tblHeader w:val="on"/>
        </w:trPr>
        <w:tc>
          <w:tcPr/>
          <w:p>
            <w:pPr>
              <w:pStyle w:val="Compact"/>
            </w:pPr>
            <w:r>
              <w:t xml:space="preserve">API</w:t>
            </w:r>
          </w:p>
        </w:tc>
        <w:tc>
          <w:tcPr/>
          <w:p>
            <w:pPr>
              <w:pStyle w:val="Compact"/>
            </w:pPr>
            <w:r>
              <w:t xml:space="preserve">Latency SLA</w:t>
            </w:r>
          </w:p>
        </w:tc>
        <w:tc>
          <w:tcPr/>
          <w:p>
            <w:pPr>
              <w:pStyle w:val="Compact"/>
            </w:pPr>
            <w:r>
              <w:t xml:space="preserve">Criticality</w:t>
            </w:r>
          </w:p>
        </w:tc>
        <w:tc>
          <w:tcPr/>
          <w:p>
            <w:pPr>
              <w:pStyle w:val="Compact"/>
            </w:pPr>
            <w:r>
              <w:t xml:space="preserve">Notes</w:t>
            </w:r>
          </w:p>
        </w:tc>
      </w:tr>
      <w:tr>
        <w:tc>
          <w:tcPr/>
          <w:p>
            <w:pPr>
              <w:pStyle w:val="Compact"/>
            </w:pPr>
            <w:r>
              <w:t xml:space="preserve">Claims Adjudication (INT-001)</w:t>
            </w:r>
          </w:p>
        </w:tc>
        <w:tc>
          <w:tcPr/>
          <w:p>
            <w:pPr>
              <w:pStyle w:val="Compact"/>
            </w:pPr>
            <w:r>
              <w:t xml:space="preserve">P95 ≤ 500ms</w:t>
            </w:r>
          </w:p>
        </w:tc>
        <w:tc>
          <w:tcPr/>
          <w:p>
            <w:pPr>
              <w:pStyle w:val="Compact"/>
            </w:pPr>
            <w:r>
              <w:t xml:space="preserve">Critical</w:t>
            </w:r>
          </w:p>
        </w:tc>
        <w:tc>
          <w:tcPr/>
          <w:p>
            <w:pPr>
              <w:pStyle w:val="Compact"/>
            </w:pPr>
            <w:r>
              <w:t xml:space="preserve">NCPDP B1 transactions; non-negotiable latency</w:t>
            </w:r>
          </w:p>
        </w:tc>
      </w:tr>
      <w:tr>
        <w:tc>
          <w:tcPr/>
          <w:p>
            <w:pPr>
              <w:pStyle w:val="Compact"/>
            </w:pPr>
            <w:r>
              <w:t xml:space="preserve">Member Eligibility (INT-002)</w:t>
            </w:r>
          </w:p>
        </w:tc>
        <w:tc>
          <w:tcPr/>
          <w:p>
            <w:pPr>
              <w:pStyle w:val="Compact"/>
            </w:pPr>
            <w:r>
              <w:t xml:space="preserve">P95 ≤ 200ms</w:t>
            </w:r>
          </w:p>
        </w:tc>
        <w:tc>
          <w:tcPr/>
          <w:p>
            <w:pPr>
              <w:pStyle w:val="Compact"/>
            </w:pPr>
            <w:r>
              <w:t xml:space="preserve">Critical</w:t>
            </w:r>
          </w:p>
        </w:tc>
        <w:tc>
          <w:tcPr/>
          <w:p>
            <w:pPr>
              <w:pStyle w:val="Compact"/>
            </w:pPr>
            <w:r>
              <w:t xml:space="preserve">First strangler fig candidate — read-only, highest frequency</w:t>
            </w:r>
          </w:p>
        </w:tc>
      </w:tr>
      <w:tr>
        <w:tc>
          <w:tcPr/>
          <w:p>
            <w:pPr>
              <w:pStyle w:val="Compact"/>
            </w:pPr>
            <w:r>
              <w:t xml:space="preserve">Formulary Management (INT-003)</w:t>
            </w:r>
          </w:p>
        </w:tc>
        <w:tc>
          <w:tcPr/>
          <w:p>
            <w:pPr>
              <w:pStyle w:val="Compact"/>
            </w:pPr>
            <w:r>
              <w:t xml:space="preserve">P95 ≤ 300ms</w:t>
            </w:r>
          </w:p>
        </w:tc>
        <w:tc>
          <w:tcPr/>
          <w:p>
            <w:pPr>
              <w:pStyle w:val="Compact"/>
            </w:pPr>
            <w:r>
              <w:t xml:space="preserve">High</w:t>
            </w:r>
          </w:p>
        </w:tc>
        <w:tc>
          <w:tcPr/>
          <w:p>
            <w:pPr>
              <w:pStyle w:val="Compact"/>
            </w:pPr>
            <w:r>
              <w:t xml:space="preserve">Clinical audit trail required for all changes</w:t>
            </w:r>
          </w:p>
        </w:tc>
      </w:tr>
      <w:tr>
        <w:tc>
          <w:tcPr/>
          <w:p>
            <w:pPr>
              <w:pStyle w:val="Compact"/>
            </w:pPr>
            <w:r>
              <w:t xml:space="preserve">Prior Authorization (INT-004)</w:t>
            </w:r>
          </w:p>
        </w:tc>
        <w:tc>
          <w:tcPr/>
          <w:p>
            <w:pPr>
              <w:pStyle w:val="Compact"/>
            </w:pPr>
            <w:r>
              <w:t xml:space="preserve">P95 ≤ 1,000ms</w:t>
            </w:r>
          </w:p>
        </w:tc>
        <w:tc>
          <w:tcPr/>
          <w:p>
            <w:pPr>
              <w:pStyle w:val="Compact"/>
            </w:pPr>
            <w:r>
              <w:t xml:space="preserve">High</w:t>
            </w:r>
          </w:p>
        </w:tc>
        <w:tc>
          <w:tcPr/>
          <w:p>
            <w:pPr>
              <w:pStyle w:val="Compact"/>
            </w:pPr>
            <w:r>
              <w:t xml:space="preserve">GenAI pipeline integration target</w:t>
            </w:r>
          </w:p>
        </w:tc>
      </w:tr>
    </w:tbl>
    <w:p>
      <w:pPr>
        <w:pStyle w:val="BodyText"/>
      </w:pPr>
      <w:r>
        <w:rPr>
          <w:b/>
          <w:bCs/>
        </w:rPr>
        <w:t xml:space="preserve">Performance strategy</w:t>
      </w:r>
      <w:r>
        <w:t xml:space="preserve">: IWS 3.0 provides 20% improvement over IWS 2.6. For hot paths (claims adjudication), the YAJL library handles high-throughput JSON. MAX ACT in *BASE pool tuned to ≥1,000. DB connections kept open, VARCHAR preferred over CHAR.</w:t>
      </w:r>
    </w:p>
    <w:bookmarkEnd w:id="17"/>
    <w:bookmarkStart w:id="18" w:name="change-data-capture-db2-for-i-gcp"/>
    <w:p>
      <w:pPr>
        <w:pStyle w:val="Heading3"/>
      </w:pPr>
      <w:r>
        <w:t xml:space="preserve">Change Data Capture: Db2 for i → GCP</w:t>
      </w:r>
    </w:p>
    <w:p>
      <w:pPr>
        <w:pStyle w:val="FirstParagraph"/>
      </w:pPr>
      <w:r>
        <w:rPr>
          <w:b/>
          <w:bCs/>
        </w:rPr>
        <w:t xml:space="preserve">Critical constraint</w:t>
      </w:r>
      <w:r>
        <w:t xml:space="preserve">: Neither Google Datastream nor AWS DMS supports Db2 for i natively. CDC requires third-party tooling.</w:t>
      </w:r>
    </w:p>
    <w:p>
      <w:pPr>
        <w:pStyle w:val="BodyText"/>
      </w:pPr>
      <w:r>
        <w:t xml:space="preserve">The CDC pipeline uses</w:t>
      </w:r>
      <w:r>
        <w:t xml:space="preserve"> </w:t>
      </w:r>
      <w:r>
        <w:rPr>
          <w:b/>
          <w:bCs/>
        </w:rPr>
        <w:t xml:space="preserve">Precisely Connect</w:t>
      </w:r>
      <w:r>
        <w:t xml:space="preserve"> </w:t>
      </w:r>
      <w:r>
        <w:t xml:space="preserve">(or Striim as contingency) to read IBM i journal entries (PT/UP/DL) without triggers or table scans:</w:t>
      </w:r>
    </w:p>
    <w:p>
      <w:pPr>
        <w:pStyle w:val="SourceCode"/>
      </w:pPr>
      <w:r>
        <w:rPr>
          <w:rStyle w:val="VerbatimChar"/>
        </w:rPr>
        <w:t xml:space="preserve">IBM i Journals → Precisely Connect → Pub/Sub → Dataflow → Cloud SQL + BigQuery</w:t>
      </w:r>
    </w:p>
    <w:p>
      <w:pPr>
        <w:pStyle w:val="FirstParagraph"/>
      </w:pPr>
      <w:r>
        <w:t xml:space="preserve">Dataflow transforms handle the encoding boundary: EBCDIC → UTF-8, packed decimal → numeric, IBM dates → ISO 8601. Latency target: &lt; 5 seconds for continuous synchronization across 14 data entities.</w:t>
      </w:r>
    </w:p>
    <w:bookmarkEnd w:id="18"/>
    <w:bookmarkStart w:id="22" w:name="strangler-fig-migration-sequence"/>
    <w:p>
      <w:pPr>
        <w:pStyle w:val="Heading3"/>
      </w:pPr>
      <w:r>
        <w:t xml:space="preserve">Strangler Fig Migration Sequence</w:t>
      </w:r>
    </w:p>
    <w:p>
      <w:pPr>
        <w:pStyle w:val="FirstParagraph"/>
      </w:pPr>
      <w:r>
        <w:drawing>
          <wp:inline>
            <wp:extent cx="5334000" cy="5810250"/>
            <wp:effectExtent b="0" l="0" r="0" t="0"/>
            <wp:docPr descr="Diagram: flowchart LR" title="" id="20" name="Picture"/>
            <a:graphic>
              <a:graphicData uri="http://schemas.openxmlformats.org/drawingml/2006/picture">
                <pic:pic>
                  <pic:nvPicPr>
                    <pic:cNvPr descr="C:\Users\paulp\AppData\Local\Temp\md-to-docx-22mYpF\diagram-0.png" id="21" name="Picture"/>
                    <pic:cNvPicPr>
                      <a:picLocks noChangeArrowheads="1" noChangeAspect="1"/>
                    </pic:cNvPicPr>
                  </pic:nvPicPr>
                  <pic:blipFill>
                    <a:blip r:embed="rId19"/>
                    <a:stretch>
                      <a:fillRect/>
                    </a:stretch>
                  </pic:blipFill>
                  <pic:spPr bwMode="auto">
                    <a:xfrm>
                      <a:off x="0" y="0"/>
                      <a:ext cx="5334000" cy="5810250"/>
                    </a:xfrm>
                    <a:prstGeom prst="rect">
                      <a:avLst/>
                    </a:prstGeom>
                    <a:noFill/>
                    <a:ln w="9525">
                      <a:noFill/>
                      <a:headEnd/>
                      <a:tailEnd/>
                    </a:ln>
                  </pic:spPr>
                </pic:pic>
              </a:graphicData>
            </a:graphic>
          </wp:inline>
        </w:drawing>
      </w:r>
      <w:r>
        <w:t xml:space="preserve"> </w:t>
      </w:r>
      <w:r>
        <w:t xml:space="preserve">### Coexistence Strategy</w:t>
      </w:r>
    </w:p>
    <w:p>
      <w:pPr>
        <w:pStyle w:val="BodyText"/>
      </w:pPr>
      <w:r>
        <w:t xml:space="preserve">During the 18-month migration, three environments coexist:</w:t>
      </w:r>
    </w:p>
    <w:tbl>
      <w:tblPr>
        <w:tblStyle w:val="Table"/>
        <w:tblW w:type="pct" w:w="5000"/>
        <w:tblLayout w:type="fixed"/>
        <w:tblLook w:firstRow="1" w:lastRow="0" w:firstColumn="0" w:lastColumn="0" w:noHBand="0" w:noVBand="0" w:val="0020"/>
      </w:tblPr>
      <w:tblGrid>
        <w:gridCol w:w="3217"/>
        <w:gridCol w:w="2475"/>
        <w:gridCol w:w="2227"/>
      </w:tblGrid>
      <w:tr>
        <w:trPr>
          <w:tblHeader w:val="on"/>
        </w:trPr>
        <w:tc>
          <w:tcPr/>
          <w:p>
            <w:pPr>
              <w:pStyle w:val="Compact"/>
            </w:pPr>
            <w:r>
              <w:t xml:space="preserve">Environment</w:t>
            </w:r>
          </w:p>
        </w:tc>
        <w:tc>
          <w:tcPr/>
          <w:p>
            <w:pPr>
              <w:pStyle w:val="Compact"/>
            </w:pPr>
            <w:r>
              <w:t xml:space="preserve">Platform</w:t>
            </w:r>
          </w:p>
        </w:tc>
        <w:tc>
          <w:tcPr/>
          <w:p>
            <w:pPr>
              <w:pStyle w:val="Compact"/>
            </w:pPr>
            <w:r>
              <w:t xml:space="preserve">Purpose</w:t>
            </w:r>
          </w:p>
        </w:tc>
      </w:tr>
      <w:tr>
        <w:tc>
          <w:tcPr/>
          <w:p>
            <w:pPr>
              <w:pStyle w:val="Compact"/>
            </w:pPr>
            <w:r>
              <w:t xml:space="preserve">IBMi (on-premises)</w:t>
            </w:r>
          </w:p>
        </w:tc>
        <w:tc>
          <w:tcPr/>
          <w:p>
            <w:pPr>
              <w:pStyle w:val="Compact"/>
            </w:pPr>
            <w:r>
              <w:t xml:space="preserve">RPG/CL + Db2 for i</w:t>
            </w:r>
          </w:p>
        </w:tc>
        <w:tc>
          <w:tcPr/>
          <w:p>
            <w:pPr>
              <w:pStyle w:val="Compact"/>
            </w:pPr>
            <w:r>
              <w:t xml:space="preserve">System of record — all business logic runs here until migrated</w:t>
            </w:r>
          </w:p>
        </w:tc>
      </w:tr>
      <w:tr>
        <w:tc>
          <w:tcPr/>
          <w:p>
            <w:pPr>
              <w:pStyle w:val="Compact"/>
            </w:pPr>
            <w:r>
              <w:t xml:space="preserve">GCP (primary cloud)</w:t>
            </w:r>
          </w:p>
        </w:tc>
        <w:tc>
          <w:tcPr/>
          <w:p>
            <w:pPr>
              <w:pStyle w:val="Compact"/>
            </w:pPr>
            <w:r>
              <w:t xml:space="preserve">Cloud Run, BigQuery, Vertex AI</w:t>
            </w:r>
          </w:p>
        </w:tc>
        <w:tc>
          <w:tcPr/>
          <w:p>
            <w:pPr>
              <w:pStyle w:val="Compact"/>
            </w:pPr>
            <w:r>
              <w:t xml:space="preserve">Modernized services, GenAI pipeline, Health100 integration</w:t>
            </w:r>
          </w:p>
        </w:tc>
      </w:tr>
      <w:tr>
        <w:tc>
          <w:tcPr/>
          <w:p>
            <w:pPr>
              <w:pStyle w:val="Compact"/>
            </w:pPr>
            <w:r>
              <w:t xml:space="preserve">Azure (existing)</w:t>
            </w:r>
          </w:p>
        </w:tc>
        <w:tc>
          <w:tcPr/>
          <w:p>
            <w:pPr>
              <w:pStyle w:val="Compact"/>
            </w:pPr>
            <w:r>
              <w:t xml:space="preserve">myPBM portal (130+ APIs)</w:t>
            </w:r>
          </w:p>
        </w:tc>
        <w:tc>
          <w:tcPr/>
          <w:p>
            <w:pPr>
              <w:pStyle w:val="Compact"/>
            </w:pPr>
            <w:r>
              <w:t xml:space="preserve">Client management — API-to-API integration, not legacy bridging</w:t>
            </w:r>
          </w:p>
        </w:tc>
      </w:tr>
    </w:tbl>
    <w:p>
      <w:pPr>
        <w:pStyle w:val="BodyText"/>
      </w:pPr>
      <w:r>
        <w:t xml:space="preserve">Hybrid connectivity via</w:t>
      </w:r>
      <w:r>
        <w:t xml:space="preserve"> </w:t>
      </w:r>
      <w:r>
        <w:rPr>
          <w:b/>
          <w:bCs/>
        </w:rPr>
        <w:t xml:space="preserve">Partner Interconnect</w:t>
      </w:r>
      <w:r>
        <w:t xml:space="preserve"> </w:t>
      </w:r>
      <w:r>
        <w:t xml:space="preserve">(1-2 Gbps) with HA VPN (IPsec) backup. Network latency target: &lt;10ms GCP↔IBMi. VPC Service Controls create a security perimeter around all HIPAA-regulated GCP services.</w:t>
      </w:r>
    </w:p>
    <w:p>
      <w:r>
        <w:pict>
          <v:rect style="width:0;height:1.5pt" o:hralign="center" o:hrstd="t" o:hr="t"/>
        </w:pict>
      </w:r>
    </w:p>
    <w:bookmarkEnd w:id="22"/>
    <w:bookmarkEnd w:id="23"/>
    <w:bookmarkStart w:id="30" w:name="human-centered-design"/>
    <w:p>
      <w:pPr>
        <w:pStyle w:val="Heading2"/>
      </w:pPr>
      <w:r>
        <w:t xml:space="preserve">2. Human-Centered Design</w:t>
      </w:r>
    </w:p>
    <w:bookmarkStart w:id="24" w:name="design-philosophy"/>
    <w:p>
      <w:pPr>
        <w:pStyle w:val="Heading3"/>
      </w:pPr>
      <w:r>
        <w:t xml:space="preserve">Design Philosophy</w:t>
      </w:r>
    </w:p>
    <w:p>
      <w:pPr>
        <w:pStyle w:val="FirstParagraph"/>
      </w:pPr>
      <w:r>
        <w:t xml:space="preserve">This design approach is grounded in my academic training in</w:t>
      </w:r>
      <w:r>
        <w:t xml:space="preserve"> </w:t>
      </w:r>
      <w:r>
        <w:rPr>
          <w:b/>
          <w:bCs/>
        </w:rPr>
        <w:t xml:space="preserve">Cognitive Science with a focused foundation in Artificial Intelligence</w:t>
      </w:r>
      <w:r>
        <w:t xml:space="preserve"> </w:t>
      </w:r>
      <w:r>
        <w:t xml:space="preserve">(University of Georgia) and formal</w:t>
      </w:r>
      <w:r>
        <w:t xml:space="preserve"> </w:t>
      </w:r>
      <w:r>
        <w:rPr>
          <w:b/>
          <w:bCs/>
        </w:rPr>
        <w:t xml:space="preserve">Human-Computer Interaction (HCI) coursework</w:t>
      </w:r>
      <w:r>
        <w:t xml:space="preserve">, combined with 6+ UX projects spanning healthcare, conversational AI, and enterprise applications.</w:t>
      </w:r>
    </w:p>
    <w:p>
      <w:pPr>
        <w:pStyle w:val="BodyText"/>
      </w:pPr>
      <w:r>
        <w:t xml:space="preserve">The central insight from cognitive science:</w:t>
      </w:r>
      <w:r>
        <w:t xml:space="preserve"> </w:t>
      </w:r>
      <w:r>
        <w:rPr>
          <w:b/>
          <w:bCs/>
        </w:rPr>
        <w:t xml:space="preserve">users don’t adapt to interfaces — interfaces must adapt to users’ existing mental models.</w:t>
      </w:r>
      <w:r>
        <w:t xml:space="preserve"> </w:t>
      </w:r>
      <w:r>
        <w:t xml:space="preserve">For CVS Health’s green screen transformation, this means we cannot simply replace 5250 terminal screens with web forms. We must understand how pharmacy benefits staff have built expertise around the green screen paradigm — memorized screen codes, F-key sequences, spatial memory of data layouts — and create a modern UI that preserves their expertise while eliminating their pain points.</w:t>
      </w:r>
    </w:p>
    <w:p>
      <w:pPr>
        <w:pStyle w:val="BodyText"/>
      </w:pPr>
      <w:r>
        <w:t xml:space="preserve">This is not an interface replacement. It is a</w:t>
      </w:r>
      <w:r>
        <w:t xml:space="preserve"> </w:t>
      </w:r>
      <w:r>
        <w:rPr>
          <w:b/>
          <w:bCs/>
        </w:rPr>
        <w:t xml:space="preserve">cognitive bridge</w:t>
      </w:r>
      <w:r>
        <w:t xml:space="preserve">.</w:t>
      </w:r>
    </w:p>
    <w:bookmarkEnd w:id="24"/>
    <w:bookmarkStart w:id="25" w:name="user-personas"/>
    <w:p>
      <w:pPr>
        <w:pStyle w:val="Heading3"/>
      </w:pPr>
      <w:r>
        <w:t xml:space="preserve">User Personas</w:t>
      </w:r>
    </w:p>
    <w:tbl>
      <w:tblPr>
        <w:tblStyle w:val="Table"/>
        <w:tblW w:type="pct" w:w="5000"/>
        <w:tblLayout w:type="fixed"/>
        <w:tblLook w:firstRow="1" w:lastRow="0" w:firstColumn="0" w:lastColumn="0" w:noHBand="0" w:noVBand="0" w:val="0020"/>
      </w:tblPr>
      <w:tblGrid>
        <w:gridCol w:w="1018"/>
        <w:gridCol w:w="678"/>
        <w:gridCol w:w="2149"/>
        <w:gridCol w:w="2149"/>
        <w:gridCol w:w="1923"/>
      </w:tblGrid>
      <w:tr>
        <w:trPr>
          <w:tblHeader w:val="on"/>
        </w:trPr>
        <w:tc>
          <w:tcPr/>
          <w:p>
            <w:pPr>
              <w:pStyle w:val="Compact"/>
            </w:pPr>
            <w:r>
              <w:t xml:space="preserve">Persona</w:t>
            </w:r>
          </w:p>
        </w:tc>
        <w:tc>
          <w:tcPr/>
          <w:p>
            <w:pPr>
              <w:pStyle w:val="Compact"/>
            </w:pPr>
            <w:r>
              <w:t xml:space="preserve">Role</w:t>
            </w:r>
          </w:p>
        </w:tc>
        <w:tc>
          <w:tcPr/>
          <w:p>
            <w:pPr>
              <w:pStyle w:val="Compact"/>
            </w:pPr>
            <w:r>
              <w:t xml:space="preserve">Green Screen Exp.</w:t>
            </w:r>
          </w:p>
        </w:tc>
        <w:tc>
          <w:tcPr/>
          <w:p>
            <w:pPr>
              <w:pStyle w:val="Compact"/>
            </w:pPr>
            <w:r>
              <w:t xml:space="preserve">Change Resistance</w:t>
            </w:r>
          </w:p>
        </w:tc>
        <w:tc>
          <w:tcPr/>
          <w:p>
            <w:pPr>
              <w:pStyle w:val="Compact"/>
            </w:pPr>
            <w:r>
              <w:t xml:space="preserve">Key Design Need</w:t>
            </w:r>
          </w:p>
        </w:tc>
      </w:tr>
      <w:tr>
        <w:tc>
          <w:tcPr/>
          <w:p>
            <w:pPr>
              <w:pStyle w:val="Compact"/>
            </w:pPr>
            <w:r>
              <w:rPr>
                <w:b/>
                <w:bCs/>
              </w:rPr>
              <w:t xml:space="preserve">Maria Torres</w:t>
            </w:r>
          </w:p>
        </w:tc>
        <w:tc>
          <w:tcPr/>
          <w:p>
            <w:pPr>
              <w:pStyle w:val="Compact"/>
            </w:pPr>
            <w:r>
              <w:t xml:space="preserve">Claims Processor</w:t>
            </w:r>
          </w:p>
        </w:tc>
        <w:tc>
          <w:tcPr/>
          <w:p>
            <w:pPr>
              <w:pStyle w:val="Compact"/>
            </w:pPr>
            <w:r>
              <w:t xml:space="preserve">12 years, 200+ claims/shift</w:t>
            </w:r>
          </w:p>
        </w:tc>
        <w:tc>
          <w:tcPr/>
          <w:p>
            <w:pPr>
              <w:pStyle w:val="Compact"/>
            </w:pPr>
            <w:r>
              <w:t xml:space="preserve">HIGH —</w:t>
            </w:r>
            <w:r>
              <w:t xml:space="preserve"> </w:t>
            </w:r>
            <w:r>
              <w:t xml:space="preserve">“I’m faster on green screen”</w:t>
            </w:r>
          </w:p>
        </w:tc>
        <w:tc>
          <w:tcPr/>
          <w:p>
            <w:pPr>
              <w:pStyle w:val="Compact"/>
            </w:pPr>
            <w:r>
              <w:t xml:space="preserve">Speed parity day one, keyboard shortcuts, split-pane views</w:t>
            </w:r>
          </w:p>
        </w:tc>
      </w:tr>
      <w:tr>
        <w:tc>
          <w:tcPr/>
          <w:p>
            <w:pPr>
              <w:pStyle w:val="Compact"/>
            </w:pPr>
            <w:r>
              <w:rPr>
                <w:b/>
                <w:bCs/>
              </w:rPr>
              <w:t xml:space="preserve">Dr. James Chen</w:t>
            </w:r>
          </w:p>
        </w:tc>
        <w:tc>
          <w:tcPr/>
          <w:p>
            <w:pPr>
              <w:pStyle w:val="Compact"/>
            </w:pPr>
            <w:r>
              <w:t xml:space="preserve">Clinical Pharmacist</w:t>
            </w:r>
          </w:p>
        </w:tc>
        <w:tc>
          <w:tcPr/>
          <w:p>
            <w:pPr>
              <w:pStyle w:val="Compact"/>
            </w:pPr>
            <w:r>
              <w:t xml:space="preserve">8 years, DUR/PA review</w:t>
            </w:r>
          </w:p>
        </w:tc>
        <w:tc>
          <w:tcPr/>
          <w:p>
            <w:pPr>
              <w:pStyle w:val="Compact"/>
            </w:pPr>
            <w:r>
              <w:t xml:space="preserve">MODERATE — open if tools are better</w:t>
            </w:r>
          </w:p>
        </w:tc>
        <w:tc>
          <w:tcPr/>
          <w:p>
            <w:pPr>
              <w:pStyle w:val="Compact"/>
            </w:pPr>
            <w:r>
              <w:t xml:space="preserve">GenAI recommendation panel, severity-coded alerts</w:t>
            </w:r>
          </w:p>
        </w:tc>
      </w:tr>
      <w:tr>
        <w:tc>
          <w:tcPr/>
          <w:p>
            <w:pPr>
              <w:pStyle w:val="Compact"/>
            </w:pPr>
            <w:r>
              <w:rPr>
                <w:b/>
                <w:bCs/>
              </w:rPr>
              <w:t xml:space="preserve">Angela Washington</w:t>
            </w:r>
          </w:p>
        </w:tc>
        <w:tc>
          <w:tcPr/>
          <w:p>
            <w:pPr>
              <w:pStyle w:val="Compact"/>
            </w:pPr>
            <w:r>
              <w:t xml:space="preserve">Benefits Analyst</w:t>
            </w:r>
          </w:p>
        </w:tc>
        <w:tc>
          <w:tcPr/>
          <w:p>
            <w:pPr>
              <w:pStyle w:val="Compact"/>
            </w:pPr>
            <w:r>
              <w:t xml:space="preserve">5 years, myPBM + green screen</w:t>
            </w:r>
          </w:p>
        </w:tc>
        <w:tc>
          <w:tcPr/>
          <w:p>
            <w:pPr>
              <w:pStyle w:val="Compact"/>
            </w:pPr>
            <w:r>
              <w:t xml:space="preserve">LOW — already uses modern tools</w:t>
            </w:r>
          </w:p>
        </w:tc>
        <w:tc>
          <w:tcPr/>
          <w:p>
            <w:pPr>
              <w:pStyle w:val="Compact"/>
            </w:pPr>
            <w:r>
              <w:t xml:space="preserve">Visual dashboards, plan comparison, wizard flows</w:t>
            </w:r>
          </w:p>
        </w:tc>
      </w:tr>
      <w:tr>
        <w:tc>
          <w:tcPr/>
          <w:p>
            <w:pPr>
              <w:pStyle w:val="Compact"/>
            </w:pPr>
            <w:r>
              <w:rPr>
                <w:b/>
                <w:bCs/>
              </w:rPr>
              <w:t xml:space="preserve">Raj Patel</w:t>
            </w:r>
          </w:p>
        </w:tc>
        <w:tc>
          <w:tcPr/>
          <w:p>
            <w:pPr>
              <w:pStyle w:val="Compact"/>
            </w:pPr>
            <w:r>
              <w:t xml:space="preserve">IT Administrator</w:t>
            </w:r>
          </w:p>
        </w:tc>
        <w:tc>
          <w:tcPr/>
          <w:p>
            <w:pPr>
              <w:pStyle w:val="Compact"/>
            </w:pPr>
            <w:r>
              <w:t xml:space="preserve">7 years, IAM + monitoring</w:t>
            </w:r>
          </w:p>
        </w:tc>
        <w:tc>
          <w:tcPr/>
          <w:p>
            <w:pPr>
              <w:pStyle w:val="Compact"/>
            </w:pPr>
            <w:r>
              <w:t xml:space="preserve">LOW — wants modernization</w:t>
            </w:r>
          </w:p>
        </w:tc>
        <w:tc>
          <w:tcPr/>
          <w:p>
            <w:pPr>
              <w:pStyle w:val="Compact"/>
            </w:pPr>
            <w:r>
              <w:t xml:space="preserve">Unified IAM dashboard, automated provisioning</w:t>
            </w:r>
          </w:p>
        </w:tc>
      </w:tr>
      <w:tr>
        <w:tc>
          <w:tcPr/>
          <w:p>
            <w:pPr>
              <w:pStyle w:val="Compact"/>
            </w:pPr>
            <w:r>
              <w:rPr>
                <w:b/>
                <w:bCs/>
              </w:rPr>
              <w:t xml:space="preserve">Sofia Martinez</w:t>
            </w:r>
          </w:p>
        </w:tc>
        <w:tc>
          <w:tcPr/>
          <w:p>
            <w:pPr>
              <w:pStyle w:val="Compact"/>
            </w:pPr>
            <w:r>
              <w:t xml:space="preserve">New Hire Trainee</w:t>
            </w:r>
          </w:p>
        </w:tc>
        <w:tc>
          <w:tcPr/>
          <w:p>
            <w:pPr>
              <w:pStyle w:val="Compact"/>
            </w:pPr>
            <w:r>
              <w:t xml:space="preserve">Zero green screen experience</w:t>
            </w:r>
          </w:p>
        </w:tc>
        <w:tc>
          <w:tcPr/>
          <w:p>
            <w:pPr>
              <w:pStyle w:val="Compact"/>
            </w:pPr>
            <w:r>
              <w:t xml:space="preserve">NONE — represents future workforce</w:t>
            </w:r>
          </w:p>
        </w:tc>
        <w:tc>
          <w:tcPr/>
          <w:p>
            <w:pPr>
              <w:pStyle w:val="Compact"/>
            </w:pPr>
            <w:r>
              <w:t xml:space="preserve">Guided workflows, contextual help, learn by doing</w:t>
            </w:r>
          </w:p>
        </w:tc>
      </w:tr>
    </w:tbl>
    <w:bookmarkEnd w:id="25"/>
    <w:bookmarkStart w:id="26" w:name="design-principles"/>
    <w:p>
      <w:pPr>
        <w:pStyle w:val="Heading3"/>
      </w:pPr>
      <w:r>
        <w:t xml:space="preserve">Design Principles</w:t>
      </w:r>
    </w:p>
    <w:p>
      <w:pPr>
        <w:pStyle w:val="FirstParagraph"/>
      </w:pPr>
      <w:r>
        <w:t xml:space="preserve">Six principles grounded in cognitive science theory:</w:t>
      </w:r>
    </w:p>
    <w:tbl>
      <w:tblPr>
        <w:tblStyle w:val="Table"/>
        <w:tblW w:type="pct" w:w="5000"/>
        <w:tblLayout w:type="fixed"/>
        <w:tblLook w:firstRow="1" w:lastRow="0" w:firstColumn="0" w:lastColumn="0" w:noHBand="0" w:noVBand="0" w:val="0020"/>
      </w:tblPr>
      <w:tblGrid>
        <w:gridCol w:w="465"/>
        <w:gridCol w:w="1708"/>
        <w:gridCol w:w="3727"/>
        <w:gridCol w:w="2018"/>
      </w:tblGrid>
      <w:tr>
        <w:trPr>
          <w:tblHeader w:val="on"/>
        </w:trPr>
        <w:tc>
          <w:tcPr/>
          <w:p>
            <w:pPr>
              <w:pStyle w:val="Compact"/>
            </w:pPr>
            <w:r>
              <w:t xml:space="preserve">#</w:t>
            </w:r>
          </w:p>
        </w:tc>
        <w:tc>
          <w:tcPr/>
          <w:p>
            <w:pPr>
              <w:pStyle w:val="Compact"/>
            </w:pPr>
            <w:r>
              <w:t xml:space="preserve">Principle</w:t>
            </w:r>
          </w:p>
        </w:tc>
        <w:tc>
          <w:tcPr/>
          <w:p>
            <w:pPr>
              <w:pStyle w:val="Compact"/>
            </w:pPr>
            <w:r>
              <w:t xml:space="preserve">Cognitive Science Basis</w:t>
            </w:r>
          </w:p>
        </w:tc>
        <w:tc>
          <w:tcPr/>
          <w:p>
            <w:pPr>
              <w:pStyle w:val="Compact"/>
            </w:pPr>
            <w:r>
              <w:t xml:space="preserve">Application</w:t>
            </w:r>
          </w:p>
        </w:tc>
      </w:tr>
      <w:tr>
        <w:tc>
          <w:tcPr/>
          <w:p>
            <w:pPr>
              <w:pStyle w:val="Compact"/>
            </w:pPr>
            <w:r>
              <w:t xml:space="preserve">1</w:t>
            </w:r>
          </w:p>
        </w:tc>
        <w:tc>
          <w:tcPr/>
          <w:p>
            <w:pPr>
              <w:pStyle w:val="Compact"/>
            </w:pPr>
            <w:r>
              <w:rPr>
                <w:b/>
                <w:bCs/>
              </w:rPr>
              <w:t xml:space="preserve">Cognitive Load Reduction</w:t>
            </w:r>
          </w:p>
        </w:tc>
        <w:tc>
          <w:tcPr/>
          <w:p>
            <w:pPr>
              <w:pStyle w:val="Compact"/>
            </w:pPr>
            <w:r>
              <w:t xml:space="preserve">Hick’s Law (decision time ∝ log options), Miller’s Law (7±2 working memory)</w:t>
            </w:r>
          </w:p>
        </w:tc>
        <w:tc>
          <w:tcPr/>
          <w:p>
            <w:pPr>
              <w:pStyle w:val="Compact"/>
            </w:pPr>
            <w:r>
              <w:t xml:space="preserve">Progressive disclosure: summary → detail on demand. Sensible defaults. Visual hierarchy.</w:t>
            </w:r>
          </w:p>
        </w:tc>
      </w:tr>
      <w:tr>
        <w:tc>
          <w:tcPr/>
          <w:p>
            <w:pPr>
              <w:pStyle w:val="Compact"/>
            </w:pPr>
            <w:r>
              <w:t xml:space="preserve">2</w:t>
            </w:r>
          </w:p>
        </w:tc>
        <w:tc>
          <w:tcPr/>
          <w:p>
            <w:pPr>
              <w:pStyle w:val="Compact"/>
            </w:pPr>
            <w:r>
              <w:rPr>
                <w:b/>
                <w:bCs/>
              </w:rPr>
              <w:t xml:space="preserve">Efficiency Preservation</w:t>
            </w:r>
          </w:p>
        </w:tc>
        <w:tc>
          <w:tcPr/>
          <w:p>
            <w:pPr>
              <w:pStyle w:val="Compact"/>
            </w:pPr>
            <w:r>
              <w:t xml:space="preserve">Fitts’s Law (keyboard shortcuts = zero distance)</w:t>
            </w:r>
          </w:p>
        </w:tc>
        <w:tc>
          <w:tcPr/>
          <w:p>
            <w:pPr>
              <w:pStyle w:val="Compact"/>
            </w:pPr>
            <w:r>
              <w:t xml:space="preserve">Keyboard shortcuts for every action. Command palette (Ctrl+K). Tab-order mirrors workflow.</w:t>
            </w:r>
          </w:p>
        </w:tc>
      </w:tr>
      <w:tr>
        <w:tc>
          <w:tcPr/>
          <w:p>
            <w:pPr>
              <w:pStyle w:val="Compact"/>
            </w:pPr>
            <w:r>
              <w:t xml:space="preserve">3</w:t>
            </w:r>
          </w:p>
        </w:tc>
        <w:tc>
          <w:tcPr/>
          <w:p>
            <w:pPr>
              <w:pStyle w:val="Compact"/>
            </w:pPr>
            <w:r>
              <w:rPr>
                <w:b/>
                <w:bCs/>
              </w:rPr>
              <w:t xml:space="preserve">Recognition Over Recall</w:t>
            </w:r>
          </w:p>
        </w:tc>
        <w:tc>
          <w:tcPr/>
          <w:p>
            <w:pPr>
              <w:pStyle w:val="Compact"/>
            </w:pPr>
            <w:r>
              <w:t xml:space="preserve">Nielsen’s heuristic #6, schema theory</w:t>
            </w:r>
          </w:p>
        </w:tc>
        <w:tc>
          <w:tcPr/>
          <w:p>
            <w:pPr>
              <w:pStyle w:val="Compact"/>
            </w:pPr>
            <w:r>
              <w:t xml:space="preserve">Visual navigation replaces memorized screen codes. Autocomplete replaces exact NDC entry.</w:t>
            </w:r>
          </w:p>
        </w:tc>
      </w:tr>
      <w:tr>
        <w:tc>
          <w:tcPr/>
          <w:p>
            <w:pPr>
              <w:pStyle w:val="Compact"/>
            </w:pPr>
            <w:r>
              <w:t xml:space="preserve">4</w:t>
            </w:r>
          </w:p>
        </w:tc>
        <w:tc>
          <w:tcPr/>
          <w:p>
            <w:pPr>
              <w:pStyle w:val="Compact"/>
            </w:pPr>
            <w:r>
              <w:rPr>
                <w:b/>
                <w:bCs/>
              </w:rPr>
              <w:t xml:space="preserve">Error Prevention</w:t>
            </w:r>
          </w:p>
        </w:tc>
        <w:tc>
          <w:tcPr/>
          <w:p>
            <w:pPr>
              <w:pStyle w:val="Compact"/>
            </w:pPr>
            <w:r>
              <w:t xml:space="preserve">Reason’s taxonomy (slips vs. mistakes)</w:t>
            </w:r>
          </w:p>
        </w:tc>
        <w:tc>
          <w:tcPr/>
          <w:p>
            <w:pPr>
              <w:pStyle w:val="Compact"/>
            </w:pPr>
            <w:r>
              <w:t xml:space="preserve">Real-time inline validation. Confirmation for high-impact actions. Plain-language errors.</w:t>
            </w:r>
          </w:p>
        </w:tc>
      </w:tr>
      <w:tr>
        <w:tc>
          <w:tcPr/>
          <w:p>
            <w:pPr>
              <w:pStyle w:val="Compact"/>
            </w:pPr>
            <w:r>
              <w:t xml:space="preserve">5</w:t>
            </w:r>
          </w:p>
        </w:tc>
        <w:tc>
          <w:tcPr/>
          <w:p>
            <w:pPr>
              <w:pStyle w:val="Compact"/>
            </w:pPr>
            <w:r>
              <w:rPr>
                <w:b/>
                <w:bCs/>
              </w:rPr>
              <w:t xml:space="preserve">Dual-Mode Interface</w:t>
            </w:r>
          </w:p>
        </w:tc>
        <w:tc>
          <w:tcPr/>
          <w:p>
            <w:pPr>
              <w:pStyle w:val="Compact"/>
            </w:pPr>
            <w:r>
              <w:t xml:space="preserve">Dreyfus model of skill acquisition (novice → expert)</w:t>
            </w:r>
          </w:p>
        </w:tc>
        <w:tc>
          <w:tcPr/>
          <w:p>
            <w:pPr>
              <w:pStyle w:val="Compact"/>
            </w:pPr>
            <w:r>
              <w:t xml:space="preserve">Mouse-discovery for learners + keyboard-power for experts. Both modes always active — no toggle.</w:t>
            </w:r>
          </w:p>
        </w:tc>
      </w:tr>
      <w:tr>
        <w:tc>
          <w:tcPr/>
          <w:p>
            <w:pPr>
              <w:pStyle w:val="Compact"/>
            </w:pPr>
            <w:r>
              <w:t xml:space="preserve">6</w:t>
            </w:r>
          </w:p>
        </w:tc>
        <w:tc>
          <w:tcPr/>
          <w:p>
            <w:pPr>
              <w:pStyle w:val="Compact"/>
            </w:pPr>
            <w:r>
              <w:rPr>
                <w:b/>
                <w:bCs/>
              </w:rPr>
              <w:t xml:space="preserve">Consistent Mental Models</w:t>
            </w:r>
          </w:p>
        </w:tc>
        <w:tc>
          <w:tcPr/>
          <w:p>
            <w:pPr>
              <w:pStyle w:val="Compact"/>
            </w:pPr>
            <w:r>
              <w:t xml:space="preserve">Johnson-Laird mental model theory</w:t>
            </w:r>
          </w:p>
        </w:tc>
        <w:tc>
          <w:tcPr/>
          <w:p>
            <w:pPr>
              <w:pStyle w:val="Compact"/>
            </w:pPr>
            <w:r>
              <w:t xml:space="preserve">Screen code → URL mapping (SC04 →</w:t>
            </w:r>
            <w:r>
              <w:t xml:space="preserve"> </w:t>
            </w:r>
            <w:r>
              <w:rPr>
                <w:rStyle w:val="VerbatimChar"/>
              </w:rPr>
              <w:t xml:space="preserve">/members/{id}</w:t>
            </w:r>
            <w:r>
              <w:t xml:space="preserve">). F-key → shortcut mapping. Terminology preserved.</w:t>
            </w:r>
          </w:p>
        </w:tc>
      </w:tr>
    </w:tbl>
    <w:bookmarkEnd w:id="26"/>
    <w:bookmarkStart w:id="27" w:name="command-palette-as-bridge-pattern"/>
    <w:p>
      <w:pPr>
        <w:pStyle w:val="Heading3"/>
      </w:pPr>
      <w:r>
        <w:t xml:space="preserve">Command Palette as Bridge Pattern</w:t>
      </w:r>
    </w:p>
    <w:p>
      <w:pPr>
        <w:pStyle w:val="FirstParagraph"/>
      </w:pPr>
      <w:r>
        <w:t xml:space="preserve">The command palette (Ctrl+K) is the single most important UX decision in this modernization. Green screen users think in</w:t>
      </w:r>
      <w:r>
        <w:t xml:space="preserve"> </w:t>
      </w:r>
      <w:r>
        <w:t xml:space="preserve">“type a code → get a result”</w:t>
      </w:r>
      <w:r>
        <w:t xml:space="preserve"> </w:t>
      </w:r>
      <w:r>
        <w:t xml:space="preserve">terms. The command palette is this exact mental model in modern form.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Green Screen Command</w:t>
            </w:r>
          </w:p>
        </w:tc>
        <w:tc>
          <w:tcPr/>
          <w:p>
            <w:pPr>
              <w:pStyle w:val="Compact"/>
            </w:pPr>
            <w:r>
              <w:t xml:space="preserve">Command Palette Equivalent</w:t>
            </w:r>
          </w:p>
        </w:tc>
      </w:tr>
      <w:tr>
        <w:tc>
          <w:tcPr/>
          <w:p>
            <w:pPr>
              <w:pStyle w:val="Compact"/>
            </w:pPr>
            <w:r>
              <w:rPr>
                <w:rStyle w:val="VerbatimChar"/>
              </w:rPr>
              <w:t xml:space="preserve">SC04</w:t>
            </w:r>
          </w:p>
        </w:tc>
        <w:tc>
          <w:tcPr/>
          <w:p>
            <w:pPr>
              <w:pStyle w:val="Compact"/>
            </w:pPr>
            <w:r>
              <w:t xml:space="preserve">Type</w:t>
            </w:r>
            <w:r>
              <w:t xml:space="preserve"> </w:t>
            </w:r>
            <w:r>
              <w:t xml:space="preserve">“SC04”</w:t>
            </w:r>
            <w:r>
              <w:t xml:space="preserve"> </w:t>
            </w:r>
            <w:r>
              <w:t xml:space="preserve">or</w:t>
            </w:r>
            <w:r>
              <w:t xml:space="preserve"> </w:t>
            </w:r>
            <w:r>
              <w:t xml:space="preserve">“member”</w:t>
            </w:r>
            <w:r>
              <w:t xml:space="preserve"> </w:t>
            </w:r>
            <w:r>
              <w:t xml:space="preserve">or</w:t>
            </w:r>
            <w:r>
              <w:t xml:space="preserve"> </w:t>
            </w:r>
            <w:r>
              <w:t xml:space="preserve">“eligibility”</w:t>
            </w:r>
          </w:p>
        </w:tc>
      </w:tr>
      <w:tr>
        <w:tc>
          <w:tcPr/>
          <w:p>
            <w:pPr>
              <w:pStyle w:val="Compact"/>
            </w:pPr>
            <w:r>
              <w:rPr>
                <w:rStyle w:val="VerbatimChar"/>
              </w:rPr>
              <w:t xml:space="preserve">F5</w:t>
            </w:r>
            <w:r>
              <w:t xml:space="preserve"> </w:t>
            </w:r>
            <w:r>
              <w:t xml:space="preserve">(refresh)</w:t>
            </w:r>
          </w:p>
        </w:tc>
        <w:tc>
          <w:tcPr/>
          <w:p>
            <w:pPr>
              <w:pStyle w:val="Compact"/>
            </w:pPr>
            <w:r>
              <w:t xml:space="preserve">Type</w:t>
            </w:r>
            <w:r>
              <w:t xml:space="preserve"> </w:t>
            </w:r>
            <w:r>
              <w:t xml:space="preserve">“refresh”</w:t>
            </w:r>
            <w:r>
              <w:t xml:space="preserve"> </w:t>
            </w:r>
            <w:r>
              <w:t xml:space="preserve">or press F5</w:t>
            </w:r>
          </w:p>
        </w:tc>
      </w:tr>
      <w:tr>
        <w:tc>
          <w:tcPr/>
          <w:p>
            <w:pPr>
              <w:pStyle w:val="Compact"/>
            </w:pPr>
            <w:r>
              <w:rPr>
                <w:rStyle w:val="VerbatimChar"/>
              </w:rPr>
              <w:t xml:space="preserve">F3</w:t>
            </w:r>
            <w:r>
              <w:t xml:space="preserve"> </w:t>
            </w:r>
            <w:r>
              <w:t xml:space="preserve">(exit)</w:t>
            </w:r>
          </w:p>
        </w:tc>
        <w:tc>
          <w:tcPr/>
          <w:p>
            <w:pPr>
              <w:pStyle w:val="Compact"/>
            </w:pPr>
            <w:r>
              <w:t xml:space="preserve">Press Escape or type</w:t>
            </w:r>
            <w:r>
              <w:t xml:space="preserve"> </w:t>
            </w:r>
            <w:r>
              <w:t xml:space="preserve">“back”</w:t>
            </w:r>
          </w:p>
        </w:tc>
      </w:tr>
      <w:tr>
        <w:tc>
          <w:tcPr/>
          <w:p>
            <w:pPr>
              <w:pStyle w:val="Compact"/>
            </w:pPr>
            <w:r>
              <w:rPr>
                <w:rStyle w:val="VerbatimChar"/>
              </w:rPr>
              <w:t xml:space="preserve">WRKACTJOB</w:t>
            </w:r>
          </w:p>
        </w:tc>
        <w:tc>
          <w:tcPr/>
          <w:p>
            <w:pPr>
              <w:pStyle w:val="Compact"/>
            </w:pPr>
            <w:r>
              <w:t xml:space="preserve">Type</w:t>
            </w:r>
            <w:r>
              <w:t xml:space="preserve"> </w:t>
            </w:r>
            <w:r>
              <w:t xml:space="preserve">“active jobs”</w:t>
            </w:r>
            <w:r>
              <w:t xml:space="preserve"> </w:t>
            </w:r>
            <w:r>
              <w:t xml:space="preserve">or</w:t>
            </w:r>
            <w:r>
              <w:t xml:space="preserve"> </w:t>
            </w:r>
            <w:r>
              <w:t xml:space="preserve">“system status”</w:t>
            </w:r>
          </w:p>
        </w:tc>
      </w:tr>
    </w:tbl>
    <w:p>
      <w:pPr>
        <w:pStyle w:val="BodyText"/>
      </w:pPr>
      <w:r>
        <w:t xml:space="preserve">Fuzzy matching, grouped results (Navigation, Actions, Recent, Bookmarks), and keyboard shortcut display alongside each result enable progressive discovery.</w:t>
      </w:r>
    </w:p>
    <w:bookmarkEnd w:id="27"/>
    <w:bookmarkStart w:id="28" w:name="transition-strategy"/>
    <w:p>
      <w:pPr>
        <w:pStyle w:val="Heading3"/>
      </w:pPr>
      <w:r>
        <w:t xml:space="preserve">Transition Strategy</w:t>
      </w:r>
    </w:p>
    <w:p>
      <w:pPr>
        <w:pStyle w:val="FirstParagraph"/>
      </w:pPr>
      <w:r>
        <w:t xml:space="preserve">Maria Torres (claims processor, 12 years on green screen, highest change resistance) follows this journey:</w:t>
      </w:r>
    </w:p>
    <w:p>
      <w:pPr>
        <w:pStyle w:val="Compact"/>
        <w:numPr>
          <w:ilvl w:val="0"/>
          <w:numId w:val="1003"/>
        </w:numPr>
      </w:pPr>
      <w:r>
        <w:rPr>
          <w:b/>
          <w:bCs/>
        </w:rPr>
        <w:t xml:space="preserve">Week 1-2</w:t>
      </w:r>
      <w:r>
        <w:t xml:space="preserve">: Mouse-discovery mode. Guided workflows with tooltips. 20-30 claims/day.</w:t>
      </w:r>
      <w:r>
        <w:t xml:space="preserve"> </w:t>
      </w:r>
      <w:r>
        <w:t xml:space="preserve">“This is more intuitive than green screen training.”</w:t>
      </w:r>
    </w:p>
    <w:p>
      <w:pPr>
        <w:pStyle w:val="Compact"/>
        <w:numPr>
          <w:ilvl w:val="0"/>
          <w:numId w:val="1003"/>
        </w:numPr>
      </w:pPr>
      <w:r>
        <w:rPr>
          <w:b/>
          <w:bCs/>
        </w:rPr>
        <w:t xml:space="preserve">Week 3-4</w:t>
      </w:r>
      <w:r>
        <w:t xml:space="preserve">: Hybrid mode. Discovers keyboard shortcuts shown alongside UI elements. 50-80 claims/day.</w:t>
      </w:r>
    </w:p>
    <w:p>
      <w:pPr>
        <w:pStyle w:val="Compact"/>
        <w:numPr>
          <w:ilvl w:val="0"/>
          <w:numId w:val="1003"/>
        </w:numPr>
      </w:pPr>
      <w:r>
        <w:rPr>
          <w:b/>
          <w:bCs/>
        </w:rPr>
        <w:t xml:space="preserve">Month 1-3</w:t>
      </w:r>
      <w:r>
        <w:t xml:space="preserve">: Keyboard-power mode. Command palette as primary navigation. 100-150 claims/day.</w:t>
      </w:r>
      <w:r>
        <w:t xml:space="preserve"> </w:t>
      </w:r>
      <w:r>
        <w:t xml:space="preserve">“The split-pane view is a game-changer.”</w:t>
      </w:r>
    </w:p>
    <w:p>
      <w:pPr>
        <w:pStyle w:val="Compact"/>
        <w:numPr>
          <w:ilvl w:val="0"/>
          <w:numId w:val="1003"/>
        </w:numPr>
      </w:pPr>
      <w:r>
        <w:rPr>
          <w:b/>
          <w:bCs/>
        </w:rPr>
        <w:t xml:space="preserve">Month 3-6+</w:t>
      </w:r>
      <w:r>
        <w:t xml:space="preserve">: Full mastery. 200+ claims/day. Trains new hires.</w:t>
      </w:r>
      <w:r>
        <w:t xml:space="preserve"> </w:t>
      </w:r>
      <w:r>
        <w:t xml:space="preserve">“I helped someone get up to speed in a week. On the old system, that took two months.”</w:t>
      </w:r>
    </w:p>
    <w:p>
      <w:pPr>
        <w:pStyle w:val="FirstParagraph"/>
      </w:pPr>
      <w:r>
        <w:t xml:space="preserve">Green screen escape hatch available throughout — if adoption metrics show &gt;30% escape hatch usage after 4 weeks, that’s a trigger for dedicated floor support and 1-on-1 coaching.</w:t>
      </w:r>
    </w:p>
    <w:bookmarkEnd w:id="28"/>
    <w:bookmarkStart w:id="29" w:name="accessibility"/>
    <w:p>
      <w:pPr>
        <w:pStyle w:val="Heading3"/>
      </w:pPr>
      <w:r>
        <w:t xml:space="preserve">Accessibility</w:t>
      </w:r>
    </w:p>
    <w:p>
      <w:pPr>
        <w:pStyle w:val="FirstParagraph"/>
      </w:pPr>
      <w:r>
        <w:t xml:space="preserve">Target:</w:t>
      </w:r>
      <w:r>
        <w:t xml:space="preserve"> </w:t>
      </w:r>
      <w:r>
        <w:rPr>
          <w:b/>
          <w:bCs/>
        </w:rPr>
        <w:t xml:space="preserve">WCAG 2.2 AA</w:t>
      </w:r>
      <w:r>
        <w:t xml:space="preserve"> </w:t>
      </w:r>
      <w:r>
        <w:t xml:space="preserve">conformance, building on CVS Health’s existing accessibility foundation (120+ accessibility professionals, W3C membership, open-source Accessibility Annotations Kit).</w:t>
      </w:r>
    </w:p>
    <w:p>
      <w:pPr>
        <w:pStyle w:val="BodyText"/>
      </w:pPr>
      <w:r>
        <w:t xml:space="preserve">Key requirements for this modernization:</w:t>
      </w:r>
    </w:p>
    <w:tbl>
      <w:tblPr>
        <w:tblStyle w:val="Table"/>
        <w:tblW w:type="pct" w:w="5000"/>
        <w:tblLayout w:type="fixed"/>
        <w:tblLook w:firstRow="1" w:lastRow="0" w:firstColumn="0" w:lastColumn="0" w:noHBand="0" w:noVBand="0" w:val="0020"/>
      </w:tblPr>
      <w:tblGrid>
        <w:gridCol w:w="4693"/>
        <w:gridCol w:w="3226"/>
      </w:tblGrid>
      <w:tr>
        <w:trPr>
          <w:tblHeader w:val="on"/>
        </w:trPr>
        <w:tc>
          <w:tcPr/>
          <w:p>
            <w:pPr>
              <w:pStyle w:val="Compact"/>
            </w:pPr>
            <w:r>
              <w:t xml:space="preserve">WCAG Criterion</w:t>
            </w:r>
          </w:p>
        </w:tc>
        <w:tc>
          <w:tcPr/>
          <w:p>
            <w:pPr>
              <w:pStyle w:val="Compact"/>
            </w:pPr>
            <w:r>
              <w:t xml:space="preserve">Relevance</w:t>
            </w:r>
          </w:p>
        </w:tc>
      </w:tr>
      <w:tr>
        <w:tc>
          <w:tcPr/>
          <w:p>
            <w:pPr>
              <w:pStyle w:val="Compact"/>
            </w:pPr>
            <w:r>
              <w:t xml:space="preserve">2.4.11 Focus Not Obscured</w:t>
            </w:r>
          </w:p>
        </w:tc>
        <w:tc>
          <w:tcPr/>
          <w:p>
            <w:pPr>
              <w:pStyle w:val="Compact"/>
            </w:pPr>
            <w:r>
              <w:t xml:space="preserve">Side panels and overlays must not obscure focused element</w:t>
            </w:r>
          </w:p>
        </w:tc>
      </w:tr>
      <w:tr>
        <w:tc>
          <w:tcPr/>
          <w:p>
            <w:pPr>
              <w:pStyle w:val="Compact"/>
            </w:pPr>
            <w:r>
              <w:t xml:space="preserve">2.5.7 Dragging Movements</w:t>
            </w:r>
          </w:p>
        </w:tc>
        <w:tc>
          <w:tcPr/>
          <w:p>
            <w:pPr>
              <w:pStyle w:val="Compact"/>
            </w:pPr>
            <w:r>
              <w:t xml:space="preserve">Split-pane resizing needs keyboard alternative</w:t>
            </w:r>
          </w:p>
        </w:tc>
      </w:tr>
      <w:tr>
        <w:tc>
          <w:tcPr/>
          <w:p>
            <w:pPr>
              <w:pStyle w:val="Compact"/>
            </w:pPr>
            <w:r>
              <w:t xml:space="preserve">2.5.8 Target Size (Minimum)</w:t>
            </w:r>
          </w:p>
        </w:tc>
        <w:tc>
          <w:tcPr/>
          <w:p>
            <w:pPr>
              <w:pStyle w:val="Compact"/>
            </w:pPr>
            <w:r>
              <w:t xml:space="preserve">All interactive targets ≥ 24×24 CSS pixels</w:t>
            </w:r>
          </w:p>
        </w:tc>
      </w:tr>
      <w:tr>
        <w:tc>
          <w:tcPr/>
          <w:p>
            <w:pPr>
              <w:pStyle w:val="Compact"/>
            </w:pPr>
            <w:r>
              <w:t xml:space="preserve">3.3.7 Redundant Entry</w:t>
            </w:r>
          </w:p>
        </w:tc>
        <w:tc>
          <w:tcPr/>
          <w:p>
            <w:pPr>
              <w:pStyle w:val="Compact"/>
            </w:pPr>
            <w:r>
              <w:t xml:space="preserve">Auto-populate previously entered data</w:t>
            </w:r>
          </w:p>
        </w:tc>
      </w:tr>
      <w:tr>
        <w:tc>
          <w:tcPr/>
          <w:p>
            <w:pPr>
              <w:pStyle w:val="Compact"/>
            </w:pPr>
            <w:r>
              <w:t xml:space="preserve">3.3.8 Accessible Authentication</w:t>
            </w:r>
          </w:p>
        </w:tc>
        <w:tc>
          <w:tcPr/>
          <w:p>
            <w:pPr>
              <w:pStyle w:val="Compact"/>
            </w:pPr>
            <w:r>
              <w:t xml:space="preserve">No CAPTCHAs — aligns with IAM strategy (§4)</w:t>
            </w:r>
          </w:p>
        </w:tc>
      </w:tr>
    </w:tbl>
    <w:p>
      <w:r>
        <w:pict>
          <v:rect style="width:0;height:1.5pt" o:hralign="center" o:hrstd="t" o:hr="t"/>
        </w:pict>
      </w:r>
    </w:p>
    <w:bookmarkEnd w:id="29"/>
    <w:bookmarkEnd w:id="30"/>
    <w:bookmarkStart w:id="47" w:name="solution-architecture"/>
    <w:p>
      <w:pPr>
        <w:pStyle w:val="Heading2"/>
      </w:pPr>
      <w:r>
        <w:t xml:space="preserve">3. Solution Architecture</w:t>
      </w:r>
    </w:p>
    <w:bookmarkStart w:id="34" w:name="system-context"/>
    <w:p>
      <w:pPr>
        <w:pStyle w:val="Heading3"/>
      </w:pPr>
      <w:r>
        <w:t xml:space="preserve">System Context</w:t>
      </w:r>
    </w:p>
    <w:p>
      <w:pPr>
        <w:pStyle w:val="FirstParagraph"/>
      </w:pPr>
      <w:r>
        <w:drawing>
          <wp:inline>
            <wp:extent cx="5334000" cy="3973285"/>
            <wp:effectExtent b="0" l="0" r="0" t="0"/>
            <wp:docPr descr="Diagram: flowchart TB" title="" id="32" name="Picture"/>
            <a:graphic>
              <a:graphicData uri="http://schemas.openxmlformats.org/drawingml/2006/picture">
                <pic:pic>
                  <pic:nvPicPr>
                    <pic:cNvPr descr="C:\Users\paulp\AppData\Local\Temp\md-to-docx-22mYpF\diagram-1.png" id="33" name="Picture"/>
                    <pic:cNvPicPr>
                      <a:picLocks noChangeArrowheads="1" noChangeAspect="1"/>
                    </pic:cNvPicPr>
                  </pic:nvPicPr>
                  <pic:blipFill>
                    <a:blip r:embed="rId31"/>
                    <a:stretch>
                      <a:fillRect/>
                    </a:stretch>
                  </pic:blipFill>
                  <pic:spPr bwMode="auto">
                    <a:xfrm>
                      <a:off x="0" y="0"/>
                      <a:ext cx="5334000" cy="3973285"/>
                    </a:xfrm>
                    <a:prstGeom prst="rect">
                      <a:avLst/>
                    </a:prstGeom>
                    <a:noFill/>
                    <a:ln w="9525">
                      <a:noFill/>
                      <a:headEnd/>
                      <a:tailEnd/>
                    </a:ln>
                  </pic:spPr>
                </pic:pic>
              </a:graphicData>
            </a:graphic>
          </wp:inline>
        </w:drawing>
      </w:r>
      <w:r>
        <w:t xml:space="preserve"> </w:t>
      </w:r>
      <w:r>
        <w:t xml:space="preserve">### Three-Option Comparison</w:t>
      </w:r>
    </w:p>
    <w:tbl>
      <w:tblPr>
        <w:tblStyle w:val="Table"/>
        <w:tblW w:type="pct" w:w="5000"/>
        <w:tblLayout w:type="fixed"/>
        <w:tblLook w:firstRow="1" w:lastRow="0" w:firstColumn="0" w:lastColumn="0" w:noHBand="0" w:noVBand="0" w:val="0020"/>
      </w:tblPr>
      <w:tblGrid>
        <w:gridCol w:w="1062"/>
        <w:gridCol w:w="2704"/>
        <w:gridCol w:w="2028"/>
        <w:gridCol w:w="2124"/>
      </w:tblGrid>
      <w:tr>
        <w:trPr>
          <w:tblHeader w:val="on"/>
        </w:trPr>
        <w:tc>
          <w:tcPr/>
          <w:p>
            <w:pPr>
              <w:pStyle w:val="Compact"/>
            </w:pPr>
            <w:r>
              <w:t xml:space="preserve">Dimension</w:t>
            </w:r>
          </w:p>
        </w:tc>
        <w:tc>
          <w:tcPr/>
          <w:p>
            <w:pPr>
              <w:pStyle w:val="Compact"/>
            </w:pPr>
            <w:r>
              <w:t xml:space="preserve">Option A: GCP-Native (Rec.)</w:t>
            </w:r>
          </w:p>
        </w:tc>
        <w:tc>
          <w:tcPr/>
          <w:p>
            <w:pPr>
              <w:pStyle w:val="Compact"/>
            </w:pPr>
            <w:r>
              <w:t xml:space="preserve">Option B: AWS-Native</w:t>
            </w:r>
          </w:p>
        </w:tc>
        <w:tc>
          <w:tcPr/>
          <w:p>
            <w:pPr>
              <w:pStyle w:val="Compact"/>
            </w:pPr>
            <w:r>
              <w:t xml:space="preserve">Option C: Modern Cloud</w:t>
            </w:r>
          </w:p>
        </w:tc>
      </w:tr>
      <w:tr>
        <w:tc>
          <w:tcPr/>
          <w:p>
            <w:pPr>
              <w:pStyle w:val="Compact"/>
            </w:pPr>
            <w:r>
              <w:rPr>
                <w:b/>
                <w:bCs/>
              </w:rPr>
              <w:t xml:space="preserve">Compute</w:t>
            </w:r>
          </w:p>
        </w:tc>
        <w:tc>
          <w:tcPr/>
          <w:p>
            <w:pPr>
              <w:pStyle w:val="Compact"/>
            </w:pPr>
            <w:r>
              <w:t xml:space="preserve">Cloud Run + GKE Autopilot</w:t>
            </w:r>
          </w:p>
        </w:tc>
        <w:tc>
          <w:tcPr/>
          <w:p>
            <w:pPr>
              <w:pStyle w:val="Compact"/>
            </w:pPr>
            <w:r>
              <w:t xml:space="preserve">ECS Fargate</w:t>
            </w:r>
          </w:p>
        </w:tc>
        <w:tc>
          <w:tcPr/>
          <w:p>
            <w:pPr>
              <w:pStyle w:val="Compact"/>
            </w:pPr>
            <w:r>
              <w:t xml:space="preserve">Vercel Fluid Compute + Cloud Run</w:t>
            </w:r>
          </w:p>
        </w:tc>
      </w:tr>
      <w:tr>
        <w:tc>
          <w:tcPr/>
          <w:p>
            <w:pPr>
              <w:pStyle w:val="Compact"/>
            </w:pPr>
            <w:r>
              <w:rPr>
                <w:b/>
                <w:bCs/>
              </w:rPr>
              <w:t xml:space="preserve">Database</w:t>
            </w:r>
          </w:p>
        </w:tc>
        <w:tc>
          <w:tcPr/>
          <w:p>
            <w:pPr>
              <w:pStyle w:val="Compact"/>
            </w:pPr>
            <w:r>
              <w:t xml:space="preserve">Cloud SQL PG + BigQuery</w:t>
            </w:r>
          </w:p>
        </w:tc>
        <w:tc>
          <w:tcPr/>
          <w:p>
            <w:pPr>
              <w:pStyle w:val="Compact"/>
            </w:pPr>
            <w:r>
              <w:t xml:space="preserve">RDS PG + Redshift Serverless</w:t>
            </w:r>
          </w:p>
        </w:tc>
        <w:tc>
          <w:tcPr/>
          <w:p>
            <w:pPr>
              <w:pStyle w:val="Compact"/>
            </w:pPr>
            <w:r>
              <w:t xml:space="preserve">Supabase PG (RLS)</w:t>
            </w:r>
          </w:p>
        </w:tc>
      </w:tr>
      <w:tr>
        <w:tc>
          <w:tcPr/>
          <w:p>
            <w:pPr>
              <w:pStyle w:val="Compact"/>
            </w:pPr>
            <w:r>
              <w:rPr>
                <w:b/>
                <w:bCs/>
              </w:rPr>
              <w:t xml:space="preserve">AI/ML</w:t>
            </w:r>
          </w:p>
        </w:tc>
        <w:tc>
          <w:tcPr/>
          <w:p>
            <w:pPr>
              <w:pStyle w:val="Compact"/>
            </w:pPr>
            <w:r>
              <w:t xml:space="preserve">Vertex AI (Gemini, MedGemma)</w:t>
            </w:r>
          </w:p>
        </w:tc>
        <w:tc>
          <w:tcPr/>
          <w:p>
            <w:pPr>
              <w:pStyle w:val="Compact"/>
            </w:pPr>
            <w:r>
              <w:t xml:space="preserve">Bedrock (Claude, Nova) + Comprehend Medical</w:t>
            </w:r>
          </w:p>
        </w:tc>
        <w:tc>
          <w:tcPr/>
          <w:p>
            <w:pPr>
              <w:pStyle w:val="Compact"/>
            </w:pPr>
            <w:r>
              <w:t xml:space="preserve">Vercel AI SDK 6 (model-agnostic)</w:t>
            </w:r>
          </w:p>
        </w:tc>
      </w:tr>
      <w:tr>
        <w:tc>
          <w:tcPr/>
          <w:p>
            <w:pPr>
              <w:pStyle w:val="Compact"/>
            </w:pPr>
            <w:r>
              <w:rPr>
                <w:b/>
                <w:bCs/>
              </w:rPr>
              <w:t xml:space="preserve">Healthcare</w:t>
            </w:r>
          </w:p>
        </w:tc>
        <w:tc>
          <w:tcPr/>
          <w:p>
            <w:pPr>
              <w:pStyle w:val="Compact"/>
            </w:pPr>
            <w:r>
              <w:t xml:space="preserve">Cloud Healthcare API (FHIR R4)</w:t>
            </w:r>
          </w:p>
        </w:tc>
        <w:tc>
          <w:tcPr/>
          <w:p>
            <w:pPr>
              <w:pStyle w:val="Compact"/>
            </w:pPr>
            <w:r>
              <w:t xml:space="preserve">HealthLake (FHIR + NLP)</w:t>
            </w:r>
          </w:p>
        </w:tc>
        <w:tc>
          <w:tcPr/>
          <w:p>
            <w:pPr>
              <w:pStyle w:val="Compact"/>
            </w:pPr>
            <w:r>
              <w:t xml:space="preserve">HAPI FHIR on PostgreSQL</w:t>
            </w:r>
          </w:p>
        </w:tc>
      </w:tr>
      <w:tr>
        <w:tc>
          <w:tcPr/>
          <w:p>
            <w:pPr>
              <w:pStyle w:val="Compact"/>
            </w:pPr>
            <w:r>
              <w:rPr>
                <w:b/>
                <w:bCs/>
              </w:rPr>
              <w:t xml:space="preserve">API management</w:t>
            </w:r>
          </w:p>
        </w:tc>
        <w:tc>
          <w:tcPr/>
          <w:p>
            <w:pPr>
              <w:pStyle w:val="Compact"/>
            </w:pPr>
            <w:r>
              <w:t xml:space="preserve">Apigee X Enterprise + HealthAPIx</w:t>
            </w:r>
          </w:p>
        </w:tc>
        <w:tc>
          <w:tcPr/>
          <w:p>
            <w:pPr>
              <w:pStyle w:val="Compact"/>
            </w:pPr>
            <w:r>
              <w:t xml:space="preserve">API Gateway</w:t>
            </w:r>
          </w:p>
        </w:tc>
        <w:tc>
          <w:tcPr/>
          <w:p>
            <w:pPr>
              <w:pStyle w:val="Compact"/>
            </w:pPr>
            <w:r>
              <w:t xml:space="preserve">Next.js API routes</w:t>
            </w:r>
          </w:p>
        </w:tc>
      </w:tr>
      <w:tr>
        <w:tc>
          <w:tcPr/>
          <w:p>
            <w:pPr>
              <w:pStyle w:val="Compact"/>
            </w:pPr>
            <w:r>
              <w:rPr>
                <w:b/>
                <w:bCs/>
              </w:rPr>
              <w:t xml:space="preserve">Zero trust</w:t>
            </w:r>
          </w:p>
        </w:tc>
        <w:tc>
          <w:tcPr/>
          <w:p>
            <w:pPr>
              <w:pStyle w:val="Compact"/>
            </w:pPr>
            <w:r>
              <w:t xml:space="preserve">BeyondCorp Enterprise</w:t>
            </w:r>
          </w:p>
        </w:tc>
        <w:tc>
          <w:tcPr/>
          <w:p>
            <w:pPr>
              <w:pStyle w:val="Compact"/>
            </w:pPr>
            <w:r>
              <w:t xml:space="preserve">Verified Access</w:t>
            </w:r>
          </w:p>
        </w:tc>
        <w:tc>
          <w:tcPr/>
          <w:p>
            <w:pPr>
              <w:pStyle w:val="Compact"/>
            </w:pPr>
            <w:r>
              <w:t xml:space="preserve">Cloudflare Access</w:t>
            </w:r>
          </w:p>
        </w:tc>
      </w:tr>
      <w:tr>
        <w:tc>
          <w:tcPr/>
          <w:p>
            <w:pPr>
              <w:pStyle w:val="Compact"/>
            </w:pPr>
            <w:r>
              <w:rPr>
                <w:b/>
                <w:bCs/>
              </w:rPr>
              <w:t xml:space="preserve">Hybrid connectivity</w:t>
            </w:r>
          </w:p>
        </w:tc>
        <w:tc>
          <w:tcPr/>
          <w:p>
            <w:pPr>
              <w:pStyle w:val="Compact"/>
            </w:pPr>
            <w:r>
              <w:t xml:space="preserve">Partner Interconnect + HA VPN</w:t>
            </w:r>
          </w:p>
        </w:tc>
        <w:tc>
          <w:tcPr/>
          <w:p>
            <w:pPr>
              <w:pStyle w:val="Compact"/>
            </w:pPr>
            <w:r>
              <w:t xml:space="preserve">Direct Connect + VPN</w:t>
            </w:r>
          </w:p>
        </w:tc>
        <w:tc>
          <w:tcPr/>
          <w:p>
            <w:pPr>
              <w:pStyle w:val="Compact"/>
            </w:pPr>
            <w:r>
              <w:t xml:space="preserve">VPN / public TLS</w:t>
            </w:r>
          </w:p>
        </w:tc>
      </w:tr>
      <w:tr>
        <w:tc>
          <w:tcPr/>
          <w:p>
            <w:pPr>
              <w:pStyle w:val="Compact"/>
            </w:pPr>
            <w:r>
              <w:rPr>
                <w:b/>
                <w:bCs/>
              </w:rPr>
              <w:t xml:space="preserve">CDN</w:t>
            </w:r>
          </w:p>
        </w:tc>
        <w:tc>
          <w:tcPr/>
          <w:p>
            <w:pPr>
              <w:pStyle w:val="Compact"/>
            </w:pPr>
            <w:r>
              <w:t xml:space="preserve">Cloud CDN</w:t>
            </w:r>
          </w:p>
        </w:tc>
        <w:tc>
          <w:tcPr/>
          <w:p>
            <w:pPr>
              <w:pStyle w:val="Compact"/>
            </w:pPr>
            <w:r>
              <w:t xml:space="preserve">CloudFront</w:t>
            </w:r>
          </w:p>
        </w:tc>
        <w:tc>
          <w:tcPr/>
          <w:p>
            <w:pPr>
              <w:pStyle w:val="Compact"/>
            </w:pPr>
            <w:r>
              <w:t xml:space="preserve">Vercel Edge Network</w:t>
            </w:r>
          </w:p>
        </w:tc>
      </w:tr>
      <w:tr>
        <w:tc>
          <w:tcPr/>
          <w:p>
            <w:pPr>
              <w:pStyle w:val="Compact"/>
            </w:pPr>
            <w:r>
              <w:rPr>
                <w:b/>
                <w:bCs/>
              </w:rPr>
              <w:t xml:space="preserve">Why not primary</w:t>
            </w:r>
          </w:p>
        </w:tc>
        <w:tc>
          <w:tcPr/>
          <w:p>
            <w:pPr>
              <w:pStyle w:val="Compact"/>
            </w:pPr>
            <w:r>
              <w:rPr>
                <w:b/>
                <w:bCs/>
              </w:rPr>
              <w:t xml:space="preserve">Recommended</w:t>
            </w:r>
          </w:p>
        </w:tc>
        <w:tc>
          <w:tcPr/>
          <w:p>
            <w:pPr>
              <w:pStyle w:val="Compact"/>
            </w:pPr>
            <w:r>
              <w:t xml:space="preserve">Misaligns with Health100 (GCP)</w:t>
            </w:r>
          </w:p>
        </w:tc>
        <w:tc>
          <w:tcPr/>
          <w:p>
            <w:pPr>
              <w:pStyle w:val="Compact"/>
            </w:pPr>
            <w:r>
              <w:t xml:space="preserve">No PBM deployments at CVS scale</w:t>
            </w:r>
          </w:p>
        </w:tc>
      </w:tr>
    </w:tbl>
    <w:p>
      <w:pPr>
        <w:pStyle w:val="BodyText"/>
      </w:pPr>
      <w:r>
        <w:rPr>
          <w:b/>
          <w:bCs/>
        </w:rPr>
        <w:t xml:space="preserve">Why GCP</w:t>
      </w:r>
      <w:r>
        <w:t xml:space="preserve">: CVS’s March 2026 Google Cloud partnership means Health100 runs on Gemini, BigQuery, and Cloud Healthcare API. Building PBM modernization on AWS would duplicate FHIR infrastructure (HealthLake vs. Cloud Healthcare API) and add cross-cloud integration complexity for event-driven Health100 integration. Option B remains a strong fallback if the GCP partnership scope is narrower than assumed.</w:t>
      </w:r>
    </w:p>
    <w:p>
      <w:pPr>
        <w:pStyle w:val="BodyText"/>
      </w:pPr>
      <w:r>
        <w:rPr>
          <w:b/>
          <w:bCs/>
        </w:rPr>
        <w:t xml:space="preserve">Why not Option C</w:t>
      </w:r>
      <w:r>
        <w:t xml:space="preserve">: Vercel + Supabase delivers fastest time-to-value and demonstrates my modern architecture practice. But Supabase has no published PBM deployments at CVS’s scale (9,000+ retail locations, millions of daily claims). Edge Function CPU limits (200ms) may constrain clinical NLP. For a smaller-scope greenfield project, Option C would be my first choice.</w:t>
      </w:r>
    </w:p>
    <w:bookmarkEnd w:id="34"/>
    <w:bookmarkStart w:id="35" w:name="recommended-technology-stack-gcp-native"/>
    <w:p>
      <w:pPr>
        <w:pStyle w:val="Heading3"/>
      </w:pPr>
      <w:r>
        <w:t xml:space="preserve">Recommended Technology Stack (GCP-Native)</w:t>
      </w:r>
    </w:p>
    <w:tbl>
      <w:tblPr>
        <w:tblStyle w:val="Table"/>
        <w:tblW w:type="pct" w:w="5000"/>
        <w:tblLayout w:type="fixed"/>
        <w:tblLook w:firstRow="1" w:lastRow="0" w:firstColumn="0" w:lastColumn="0" w:noHBand="0" w:noVBand="0" w:val="0020"/>
      </w:tblPr>
      <w:tblGrid>
        <w:gridCol w:w="1911"/>
        <w:gridCol w:w="3004"/>
        <w:gridCol w:w="3004"/>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Rationale</w:t>
            </w:r>
          </w:p>
        </w:tc>
      </w:tr>
      <w:tr>
        <w:tc>
          <w:tcPr/>
          <w:p>
            <w:pPr>
              <w:pStyle w:val="Compact"/>
            </w:pPr>
            <w:r>
              <w:rPr>
                <w:b/>
                <w:bCs/>
              </w:rPr>
              <w:t xml:space="preserve">Frontend</w:t>
            </w:r>
          </w:p>
        </w:tc>
        <w:tc>
          <w:tcPr/>
          <w:p>
            <w:pPr>
              <w:pStyle w:val="Compact"/>
            </w:pPr>
            <w:r>
              <w:t xml:space="preserve">React 19 + Module Federation + Next.js SSR</w:t>
            </w:r>
          </w:p>
        </w:tc>
        <w:tc>
          <w:tcPr/>
          <w:p>
            <w:pPr>
              <w:pStyle w:val="Compact"/>
            </w:pPr>
            <w:r>
              <w:t xml:space="preserve">Micro-frontends enable screen-by-screen migration. RSC keeps PHI server-side.</w:t>
            </w:r>
          </w:p>
        </w:tc>
      </w:tr>
      <w:tr>
        <w:tc>
          <w:tcPr/>
          <w:p>
            <w:pPr>
              <w:pStyle w:val="Compact"/>
            </w:pPr>
            <w:r>
              <w:rPr>
                <w:b/>
                <w:bCs/>
              </w:rPr>
              <w:t xml:space="preserve">BFF</w:t>
            </w:r>
          </w:p>
        </w:tc>
        <w:tc>
          <w:tcPr/>
          <w:p>
            <w:pPr>
              <w:pStyle w:val="Compact"/>
            </w:pPr>
            <w:r>
              <w:t xml:space="preserve">Cloud Run (TypeScript/Python)</w:t>
            </w:r>
          </w:p>
        </w:tc>
        <w:tc>
          <w:tcPr/>
          <w:p>
            <w:pPr>
              <w:pStyle w:val="Compact"/>
            </w:pPr>
            <w:r>
              <w:t xml:space="preserve">Anti-corruption layer: EBCDIC → UTF-8, packed decimal → numeric. Auto-scales 0-100 instances.</w:t>
            </w:r>
          </w:p>
        </w:tc>
      </w:tr>
      <w:tr>
        <w:tc>
          <w:tcPr/>
          <w:p>
            <w:pPr>
              <w:pStyle w:val="Compact"/>
            </w:pPr>
            <w:r>
              <w:rPr>
                <w:b/>
                <w:bCs/>
              </w:rPr>
              <w:t xml:space="preserve">API Gateway</w:t>
            </w:r>
          </w:p>
        </w:tc>
        <w:tc>
          <w:tcPr/>
          <w:p>
            <w:pPr>
              <w:pStyle w:val="Compact"/>
            </w:pPr>
            <w:r>
              <w:t xml:space="preserve">Apigee X Enterprise + HealthAPIx</w:t>
            </w:r>
          </w:p>
        </w:tc>
        <w:tc>
          <w:tcPr/>
          <w:p>
            <w:pPr>
              <w:pStyle w:val="Compact"/>
            </w:pPr>
            <w:r>
              <w:t xml:space="preserve">Routes traffic to legacy (IWS) or modern (Cloud Run) based on migration status. SMART on FHIR support.</w:t>
            </w:r>
          </w:p>
        </w:tc>
      </w:tr>
      <w:tr>
        <w:tc>
          <w:tcPr/>
          <w:p>
            <w:pPr>
              <w:pStyle w:val="Compact"/>
            </w:pPr>
            <w:r>
              <w:rPr>
                <w:b/>
                <w:bCs/>
              </w:rPr>
              <w:t xml:space="preserve">Database</w:t>
            </w:r>
          </w:p>
        </w:tc>
        <w:tc>
          <w:tcPr/>
          <w:p>
            <w:pPr>
              <w:pStyle w:val="Compact"/>
            </w:pPr>
            <w:r>
              <w:t xml:space="preserve">Cloud SQL PG (transactional) + BigQuery (analytics)</w:t>
            </w:r>
          </w:p>
        </w:tc>
        <w:tc>
          <w:tcPr/>
          <w:p>
            <w:pPr>
              <w:pStyle w:val="Compact"/>
            </w:pPr>
            <w:r>
              <w:t xml:space="preserve">HA multi-zone PG. BigQuery serverless, partitioned by date_of_service.</w:t>
            </w:r>
          </w:p>
        </w:tc>
      </w:tr>
      <w:tr>
        <w:tc>
          <w:tcPr/>
          <w:p>
            <w:pPr>
              <w:pStyle w:val="Compact"/>
            </w:pPr>
            <w:r>
              <w:rPr>
                <w:b/>
                <w:bCs/>
              </w:rPr>
              <w:t xml:space="preserve">FHIR</w:t>
            </w:r>
          </w:p>
        </w:tc>
        <w:tc>
          <w:tcPr/>
          <w:p>
            <w:pPr>
              <w:pStyle w:val="Compact"/>
            </w:pPr>
            <w:r>
              <w:t xml:space="preserve">Cloud Healthcare API (FHIR R4)</w:t>
            </w:r>
          </w:p>
        </w:tc>
        <w:tc>
          <w:tcPr/>
          <w:p>
            <w:pPr>
              <w:pStyle w:val="Compact"/>
            </w:pPr>
            <w:r>
              <w:t xml:space="preserve">Native FHIR R4 with SMART on FHIR scopes. Supports Health100 integration.</w:t>
            </w:r>
          </w:p>
        </w:tc>
      </w:tr>
      <w:tr>
        <w:tc>
          <w:tcPr/>
          <w:p>
            <w:pPr>
              <w:pStyle w:val="Compact"/>
            </w:pPr>
            <w:r>
              <w:rPr>
                <w:b/>
                <w:bCs/>
              </w:rPr>
              <w:t xml:space="preserve">AI/ML</w:t>
            </w:r>
          </w:p>
        </w:tc>
        <w:tc>
          <w:tcPr/>
          <w:p>
            <w:pPr>
              <w:pStyle w:val="Compact"/>
            </w:pPr>
            <w:r>
              <w:t xml:space="preserve">Vertex AI (Gemini + MedGemma 1.5)</w:t>
            </w:r>
          </w:p>
        </w:tc>
        <w:tc>
          <w:tcPr/>
          <w:p>
            <w:pPr>
              <w:pStyle w:val="Compact"/>
            </w:pPr>
            <w:r>
              <w:t xml:space="preserve">Tiered inference: Gemini for complex PA, MedGemma (4B, 89.6% EHRQA) for routine.</w:t>
            </w:r>
          </w:p>
        </w:tc>
      </w:tr>
      <w:tr>
        <w:tc>
          <w:tcPr/>
          <w:p>
            <w:pPr>
              <w:pStyle w:val="Compact"/>
            </w:pPr>
            <w:r>
              <w:rPr>
                <w:b/>
                <w:bCs/>
              </w:rPr>
              <w:t xml:space="preserve">Messaging</w:t>
            </w:r>
          </w:p>
        </w:tc>
        <w:tc>
          <w:tcPr/>
          <w:p>
            <w:pPr>
              <w:pStyle w:val="Compact"/>
            </w:pPr>
            <w:r>
              <w:t xml:space="preserve">Pub/Sub + Eventarc + Schema Registry</w:t>
            </w:r>
          </w:p>
        </w:tc>
        <w:tc>
          <w:tcPr/>
          <w:p>
            <w:pPr>
              <w:pStyle w:val="Compact"/>
            </w:pPr>
            <w:r>
              <w:t xml:space="preserve">Event-driven backbone. 31-day retention. Dead letter queues. Kafka bridge for existing producers.</w:t>
            </w:r>
          </w:p>
        </w:tc>
      </w:tr>
      <w:tr>
        <w:tc>
          <w:tcPr/>
          <w:p>
            <w:pPr>
              <w:pStyle w:val="Compact"/>
            </w:pPr>
            <w:r>
              <w:rPr>
                <w:b/>
                <w:bCs/>
              </w:rPr>
              <w:t xml:space="preserve">Caching</w:t>
            </w:r>
          </w:p>
        </w:tc>
        <w:tc>
          <w:tcPr/>
          <w:p>
            <w:pPr>
              <w:pStyle w:val="Compact"/>
            </w:pPr>
            <w:r>
              <w:t xml:space="preserve">Memorystore Redis</w:t>
            </w:r>
          </w:p>
        </w:tc>
        <w:tc>
          <w:tcPr/>
          <w:p>
            <w:pPr>
              <w:pStyle w:val="Compact"/>
            </w:pPr>
            <w:r>
              <w:t xml:space="preserve">Session cache, formulary/eligibility cache. Reduces IBMi load during migration.</w:t>
            </w:r>
          </w:p>
        </w:tc>
      </w:tr>
      <w:tr>
        <w:tc>
          <w:tcPr/>
          <w:p>
            <w:pPr>
              <w:pStyle w:val="Compact"/>
            </w:pPr>
            <w:r>
              <w:rPr>
                <w:b/>
                <w:bCs/>
              </w:rPr>
              <w:t xml:space="preserve">Observability</w:t>
            </w:r>
          </w:p>
        </w:tc>
        <w:tc>
          <w:tcPr/>
          <w:p>
            <w:pPr>
              <w:pStyle w:val="Compact"/>
            </w:pPr>
            <w:r>
              <w:t xml:space="preserve">Cloud Monitoring + Logging + Trace + OpenTelemetry</w:t>
            </w:r>
          </w:p>
        </w:tc>
        <w:tc>
          <w:tcPr/>
          <w:p>
            <w:pPr>
              <w:pStyle w:val="Compact"/>
            </w:pPr>
            <w:r>
              <w:t xml:space="preserve">Distributed tracing across IBMi → BFF → frontend. 6-year HIPAA audit log retention.</w:t>
            </w:r>
          </w:p>
        </w:tc>
      </w:tr>
      <w:tr>
        <w:tc>
          <w:tcPr/>
          <w:p>
            <w:pPr>
              <w:pStyle w:val="Compact"/>
            </w:pPr>
            <w:r>
              <w:rPr>
                <w:b/>
                <w:bCs/>
              </w:rPr>
              <w:t xml:space="preserve">Security</w:t>
            </w:r>
          </w:p>
        </w:tc>
        <w:tc>
          <w:tcPr/>
          <w:p>
            <w:pPr>
              <w:pStyle w:val="Compact"/>
            </w:pPr>
            <w:r>
              <w:t xml:space="preserve">Cloud Identity Platform, Cloud KMS (CMEK), Cloud Armor (WAF), Cloud DLP</w:t>
            </w:r>
          </w:p>
        </w:tc>
        <w:tc>
          <w:tcPr/>
          <w:p>
            <w:pPr>
              <w:pStyle w:val="Compact"/>
            </w:pPr>
            <w:r>
              <w:t xml:space="preserve">Zero trust. CMEK encryption. WAF with Adaptive Protection ML. PHI detection before AI inference.</w:t>
            </w:r>
          </w:p>
        </w:tc>
      </w:tr>
    </w:tbl>
    <w:bookmarkEnd w:id="35"/>
    <w:bookmarkStart w:id="42" w:name="data-architecture"/>
    <w:p>
      <w:pPr>
        <w:pStyle w:val="Heading3"/>
      </w:pPr>
      <w:r>
        <w:t xml:space="preserve">Data Architecture</w:t>
      </w:r>
    </w:p>
    <w:p>
      <w:pPr>
        <w:pStyle w:val="FirstParagraph"/>
      </w:pPr>
      <w:r>
        <w:drawing>
          <wp:inline>
            <wp:extent cx="5334000" cy="2286000"/>
            <wp:effectExtent b="0" l="0" r="0" t="0"/>
            <wp:docPr descr="Diagram: flowchart LR" title="" id="37" name="Picture"/>
            <a:graphic>
              <a:graphicData uri="http://schemas.openxmlformats.org/drawingml/2006/picture">
                <pic:pic>
                  <pic:nvPicPr>
                    <pic:cNvPr descr="C:\Users\paulp\AppData\Local\Temp\md-to-docx-22mYpF\diagram-2.png" id="38" name="Picture"/>
                    <pic:cNvPicPr>
                      <a:picLocks noChangeArrowheads="1" noChangeAspect="1"/>
                    </pic:cNvPicPr>
                  </pic:nvPicPr>
                  <pic:blipFill>
                    <a:blip r:embed="rId36"/>
                    <a:stretch>
                      <a:fillRect/>
                    </a:stretch>
                  </pic:blipFill>
                  <pic:spPr bwMode="auto">
                    <a:xfrm>
                      <a:off x="0" y="0"/>
                      <a:ext cx="5334000" cy="2286000"/>
                    </a:xfrm>
                    <a:prstGeom prst="rect">
                      <a:avLst/>
                    </a:prstGeom>
                    <a:noFill/>
                    <a:ln w="9525">
                      <a:noFill/>
                      <a:headEnd/>
                      <a:tailEnd/>
                    </a:ln>
                  </pic:spPr>
                </pic:pic>
              </a:graphicData>
            </a:graphic>
          </wp:inline>
        </w:drawing>
      </w:r>
      <w:r>
        <w:t xml:space="preserve"> </w:t>
      </w:r>
      <w:r>
        <w:t xml:space="preserve">### GenAI Pipeline — Prior Authorization Automation</w:t>
      </w:r>
    </w:p>
    <w:p>
      <w:pPr>
        <w:pStyle w:val="BodyText"/>
      </w:pPr>
      <w:r>
        <w:t xml:space="preserve">This pipeline demonstrates the dual competency the role requires: I architect the infrastructure AND understand the ML layer.</w:t>
      </w:r>
    </w:p>
    <w:p>
      <w:pPr>
        <w:pStyle w:val="BodyText"/>
      </w:pPr>
      <w:r>
        <w:drawing>
          <wp:inline>
            <wp:extent cx="5334000" cy="7722053"/>
            <wp:effectExtent b="0" l="0" r="0" t="0"/>
            <wp:docPr descr="Diagram: flowchart TB" title="" id="40" name="Picture"/>
            <a:graphic>
              <a:graphicData uri="http://schemas.openxmlformats.org/drawingml/2006/picture">
                <pic:pic>
                  <pic:nvPicPr>
                    <pic:cNvPr descr="C:\Users\paulp\AppData\Local\Temp\md-to-docx-22mYpF\diagram-3.png" id="41" name="Picture"/>
                    <pic:cNvPicPr>
                      <a:picLocks noChangeArrowheads="1" noChangeAspect="1"/>
                    </pic:cNvPicPr>
                  </pic:nvPicPr>
                  <pic:blipFill>
                    <a:blip r:embed="rId39"/>
                    <a:stretch>
                      <a:fillRect/>
                    </a:stretch>
                  </pic:blipFill>
                  <pic:spPr bwMode="auto">
                    <a:xfrm>
                      <a:off x="0" y="0"/>
                      <a:ext cx="5334000" cy="7722053"/>
                    </a:xfrm>
                    <a:prstGeom prst="rect">
                      <a:avLst/>
                    </a:prstGeom>
                    <a:noFill/>
                    <a:ln w="9525">
                      <a:noFill/>
                      <a:headEnd/>
                      <a:tailEnd/>
                    </a:ln>
                  </pic:spPr>
                </pic:pic>
              </a:graphicData>
            </a:graphic>
          </wp:inline>
        </w:drawing>
      </w:r>
      <w:r>
        <w:t xml:space="preserve"> </w:t>
      </w:r>
      <w:r>
        <w:rPr>
          <w:b/>
          <w:bCs/>
        </w:rPr>
        <w:t xml:space="preserve">Why tiered inference</w:t>
      </w:r>
      <w:r>
        <w:t xml:space="preserve">: Gemini for complex PA cases requiring multi-document reasoning. MedGemma 1.5 (4B parameters, 128K context, 89.6% EHRQA accuracy) for routine cases — 40-60% cost reduction on the most volatile cost layer. This mirrors the three-tier AI pipeline pattern I’ve built in production.</w:t>
      </w:r>
    </w:p>
    <w:p>
      <w:pPr>
        <w:pStyle w:val="BodyText"/>
      </w:pPr>
      <w:r>
        <w:rPr>
          <w:b/>
          <w:bCs/>
        </w:rPr>
        <w:t xml:space="preserve">Why HITL is mandatory</w:t>
      </w:r>
      <w:r>
        <w:t xml:space="preserve">: The system architect could build an autonomous pipeline, but the AI practitioner knows that healthcare GenAI outputs require clinical validation. Not because the model is unreliable — because accountability requires a human decision-maker for patient-affecting actions.</w:t>
      </w:r>
    </w:p>
    <w:p>
      <w:pPr>
        <w:pStyle w:val="BodyText"/>
      </w:pPr>
      <w:r>
        <w:rPr>
          <w:b/>
          <w:bCs/>
        </w:rPr>
        <w:t xml:space="preserve">AI security controls</w:t>
      </w:r>
      <w:r>
        <w:t xml:space="preserve">:</w:t>
      </w:r>
      <w:r>
        <w:t xml:space="preserve"> </w:t>
      </w:r>
      <w:r>
        <w:t xml:space="preserve">- Cloud DLP as synchronous blocking gate — inference cannot execute until DLP returns clean</w:t>
      </w:r>
      <w:r>
        <w:t xml:space="preserve"> </w:t>
      </w:r>
      <w:r>
        <w:t xml:space="preserve">- Structured output enforcement via Gemini controlled generation (JSON schema, no free-text)</w:t>
      </w:r>
      <w:r>
        <w:t xml:space="preserve"> </w:t>
      </w:r>
      <w:r>
        <w:t xml:space="preserve">-</w:t>
      </w:r>
      <w:r>
        <w:t xml:space="preserve"> </w:t>
      </w:r>
      <w:r>
        <w:rPr>
          <w:rStyle w:val="VerbatimChar"/>
        </w:rPr>
        <w:t xml:space="preserve">genai-pipeline@</w:t>
      </w:r>
      <w:r>
        <w:t xml:space="preserve"> </w:t>
      </w:r>
      <w:r>
        <w:t xml:space="preserve">service account has zero direct PHI access — enforced by VPC-SC and IAM deny policies</w:t>
      </w:r>
      <w:r>
        <w:t xml:space="preserve"> </w:t>
      </w:r>
      <w:r>
        <w:t xml:space="preserve">- OWASP LLM Top 10 aligned (prompt injection, data poisoning, model theft controls)</w:t>
      </w:r>
    </w:p>
    <w:bookmarkEnd w:id="42"/>
    <w:bookmarkStart w:id="46" w:name="deployment-architecture"/>
    <w:p>
      <w:pPr>
        <w:pStyle w:val="Heading3"/>
      </w:pPr>
      <w:r>
        <w:t xml:space="preserve">Deployment Architecture</w:t>
      </w:r>
    </w:p>
    <w:p>
      <w:pPr>
        <w:pStyle w:val="FirstParagraph"/>
      </w:pPr>
      <w:r>
        <w:drawing>
          <wp:inline>
            <wp:extent cx="5334000" cy="5095875"/>
            <wp:effectExtent b="0" l="0" r="0" t="0"/>
            <wp:docPr descr="Diagram: flowchart TB" title="" id="44" name="Picture"/>
            <a:graphic>
              <a:graphicData uri="http://schemas.openxmlformats.org/drawingml/2006/picture">
                <pic:pic>
                  <pic:nvPicPr>
                    <pic:cNvPr descr="C:\Users\paulp\AppData\Local\Temp\md-to-docx-22mYpF\diagram-4.png" id="45" name="Picture"/>
                    <pic:cNvPicPr>
                      <a:picLocks noChangeArrowheads="1" noChangeAspect="1"/>
                    </pic:cNvPicPr>
                  </pic:nvPicPr>
                  <pic:blipFill>
                    <a:blip r:embed="rId43"/>
                    <a:stretch>
                      <a:fillRect/>
                    </a:stretch>
                  </pic:blipFill>
                  <pic:spPr bwMode="auto">
                    <a:xfrm>
                      <a:off x="0" y="0"/>
                      <a:ext cx="5334000" cy="5095875"/>
                    </a:xfrm>
                    <a:prstGeom prst="rect">
                      <a:avLst/>
                    </a:prstGeom>
                    <a:noFill/>
                    <a:ln w="9525">
                      <a:noFill/>
                      <a:headEnd/>
                      <a:tailEnd/>
                    </a:ln>
                  </pic:spPr>
                </pic:pic>
              </a:graphicData>
            </a:graphic>
          </wp:inline>
        </w:drawing>
      </w:r>
      <w:r>
        <w:t xml:space="preserve"> </w:t>
      </w:r>
      <w:r>
        <w:t xml:space="preserve">### Well-Architected Scoring</w:t>
      </w:r>
    </w:p>
    <w:tbl>
      <w:tblPr>
        <w:tblStyle w:val="Table"/>
        <w:tblW w:type="pct" w:w="5000"/>
        <w:tblLayout w:type="fixed"/>
        <w:tblLook w:firstRow="1" w:lastRow="0" w:firstColumn="0" w:lastColumn="0" w:noHBand="0" w:noVBand="0" w:val="0020"/>
      </w:tblPr>
      <w:tblGrid>
        <w:gridCol w:w="1980"/>
        <w:gridCol w:w="1732"/>
        <w:gridCol w:w="2722"/>
        <w:gridCol w:w="1485"/>
      </w:tblGrid>
      <w:tr>
        <w:trPr>
          <w:tblHeader w:val="on"/>
        </w:trPr>
        <w:tc>
          <w:tcPr/>
          <w:p>
            <w:pPr>
              <w:pStyle w:val="Compact"/>
            </w:pPr>
            <w:r>
              <w:t xml:space="preserve">Pillar</w:t>
            </w:r>
          </w:p>
        </w:tc>
        <w:tc>
          <w:tcPr/>
          <w:p>
            <w:pPr>
              <w:pStyle w:val="Compact"/>
            </w:pPr>
            <w:r>
              <w:t xml:space="preserve">Score</w:t>
            </w:r>
          </w:p>
        </w:tc>
        <w:tc>
          <w:tcPr/>
          <w:p>
            <w:pPr>
              <w:pStyle w:val="Compact"/>
            </w:pPr>
            <w:r>
              <w:t xml:space="preserve">Strengths</w:t>
            </w:r>
          </w:p>
        </w:tc>
        <w:tc>
          <w:tcPr/>
          <w:p>
            <w:pPr>
              <w:pStyle w:val="Compact"/>
            </w:pPr>
            <w:r>
              <w:t xml:space="preserve">Gaps</w:t>
            </w:r>
          </w:p>
        </w:tc>
      </w:tr>
      <w:tr>
        <w:tc>
          <w:tcPr/>
          <w:p>
            <w:pPr>
              <w:pStyle w:val="Compact"/>
            </w:pPr>
            <w:r>
              <w:t xml:space="preserve">Operational Excellence</w:t>
            </w:r>
          </w:p>
        </w:tc>
        <w:tc>
          <w:tcPr/>
          <w:p>
            <w:pPr>
              <w:pStyle w:val="Compact"/>
            </w:pPr>
            <w:r>
              <w:t xml:space="preserve">8/10</w:t>
            </w:r>
          </w:p>
        </w:tc>
        <w:tc>
          <w:tcPr/>
          <w:p>
            <w:pPr>
              <w:pStyle w:val="Compact"/>
            </w:pPr>
            <w:r>
              <w:t xml:space="preserve">Comprehensive observability, CI/CD with canary, IaC, parallel validation</w:t>
            </w:r>
          </w:p>
        </w:tc>
        <w:tc>
          <w:tcPr/>
          <w:p>
            <w:pPr>
              <w:pStyle w:val="Compact"/>
            </w:pPr>
            <w:r>
              <w:t xml:space="preserve">IBMi ops separate from GCP ops — unified runbook needed</w:t>
            </w:r>
          </w:p>
        </w:tc>
      </w:tr>
      <w:tr>
        <w:tc>
          <w:tcPr/>
          <w:p>
            <w:pPr>
              <w:pStyle w:val="Compact"/>
            </w:pPr>
            <w:r>
              <w:t xml:space="preserve">Security</w:t>
            </w:r>
          </w:p>
        </w:tc>
        <w:tc>
          <w:tcPr/>
          <w:p>
            <w:pPr>
              <w:pStyle w:val="Compact"/>
            </w:pPr>
            <w:r>
              <w:t xml:space="preserve">8/10</w:t>
            </w:r>
          </w:p>
        </w:tc>
        <w:tc>
          <w:tcPr/>
          <w:p>
            <w:pPr>
              <w:pStyle w:val="Compact"/>
            </w:pPr>
            <w:r>
              <w:t xml:space="preserve">Zero trust, VPC-SC, CMEK, HIPAA BAA, AI guardrails</w:t>
            </w:r>
          </w:p>
        </w:tc>
        <w:tc>
          <w:tcPr/>
          <w:p>
            <w:pPr>
              <w:pStyle w:val="Compact"/>
            </w:pPr>
            <w:r>
              <w:t xml:space="preserve">IBMi profile mapping needs detailed design</w:t>
            </w:r>
          </w:p>
        </w:tc>
      </w:tr>
      <w:tr>
        <w:tc>
          <w:tcPr/>
          <w:p>
            <w:pPr>
              <w:pStyle w:val="Compact"/>
            </w:pPr>
            <w:r>
              <w:t xml:space="preserve">Reliability</w:t>
            </w:r>
          </w:p>
        </w:tc>
        <w:tc>
          <w:tcPr/>
          <w:p>
            <w:pPr>
              <w:pStyle w:val="Compact"/>
            </w:pPr>
            <w:r>
              <w:t xml:space="preserve">8/10</w:t>
            </w:r>
          </w:p>
        </w:tc>
        <w:tc>
          <w:tcPr/>
          <w:p>
            <w:pPr>
              <w:pStyle w:val="Compact"/>
            </w:pPr>
            <w:r>
              <w:t xml:space="preserve">Multi-zone HA, cross-region DR (RTO 15 min, RPO 1 min), circuit breakers</w:t>
            </w:r>
          </w:p>
        </w:tc>
        <w:tc>
          <w:tcPr/>
          <w:p>
            <w:pPr>
              <w:pStyle w:val="Compact"/>
            </w:pPr>
            <w:r>
              <w:t xml:space="preserve">IBMi as single point of failure during migration</w:t>
            </w:r>
          </w:p>
        </w:tc>
      </w:tr>
      <w:tr>
        <w:tc>
          <w:tcPr/>
          <w:p>
            <w:pPr>
              <w:pStyle w:val="Compact"/>
            </w:pPr>
            <w:r>
              <w:t xml:space="preserve">Performance</w:t>
            </w:r>
          </w:p>
        </w:tc>
        <w:tc>
          <w:tcPr/>
          <w:p>
            <w:pPr>
              <w:pStyle w:val="Compact"/>
            </w:pPr>
            <w:r>
              <w:t xml:space="preserve">7/10</w:t>
            </w:r>
          </w:p>
        </w:tc>
        <w:tc>
          <w:tcPr/>
          <w:p>
            <w:pPr>
              <w:pStyle w:val="Compact"/>
            </w:pPr>
            <w:r>
              <w:t xml:space="preserve">Auto-scaling, caching, SSR (LCP 1.28s), performance budgets</w:t>
            </w:r>
          </w:p>
        </w:tc>
        <w:tc>
          <w:tcPr/>
          <w:p>
            <w:pPr>
              <w:pStyle w:val="Compact"/>
            </w:pPr>
            <w:r>
              <w:t xml:space="preserve">IWS performance under peak load uncertain</w:t>
            </w:r>
          </w:p>
        </w:tc>
      </w:tr>
      <w:tr>
        <w:tc>
          <w:tcPr/>
          <w:p>
            <w:pPr>
              <w:pStyle w:val="Compact"/>
            </w:pPr>
            <w:r>
              <w:t xml:space="preserve">Cost Optimization</w:t>
            </w:r>
          </w:p>
        </w:tc>
        <w:tc>
          <w:tcPr/>
          <w:p>
            <w:pPr>
              <w:pStyle w:val="Compact"/>
            </w:pPr>
            <w:r>
              <w:t xml:space="preserve">7/10</w:t>
            </w:r>
          </w:p>
        </w:tc>
        <w:tc>
          <w:tcPr/>
          <w:p>
            <w:pPr>
              <w:pStyle w:val="Compact"/>
            </w:pPr>
            <w:r>
              <w:t xml:space="preserve">Scale-to-zero, tiered AI inference, Interconnect egress discount</w:t>
            </w:r>
          </w:p>
        </w:tc>
        <w:tc>
          <w:tcPr/>
          <w:p>
            <w:pPr>
              <w:pStyle w:val="Compact"/>
            </w:pPr>
            <w:r>
              <w:t xml:space="preserve">Apigee Enterprise ~$100K/yr fixed; Precisely licensing</w:t>
            </w:r>
          </w:p>
        </w:tc>
      </w:tr>
      <w:tr>
        <w:tc>
          <w:tcPr/>
          <w:p>
            <w:pPr>
              <w:pStyle w:val="Compact"/>
            </w:pPr>
            <w:r>
              <w:t xml:space="preserve">Sustainability</w:t>
            </w:r>
          </w:p>
        </w:tc>
        <w:tc>
          <w:tcPr/>
          <w:p>
            <w:pPr>
              <w:pStyle w:val="Compact"/>
            </w:pPr>
            <w:r>
              <w:t xml:space="preserve">8/10</w:t>
            </w:r>
          </w:p>
        </w:tc>
        <w:tc>
          <w:tcPr/>
          <w:p>
            <w:pPr>
              <w:pStyle w:val="Compact"/>
            </w:pPr>
            <w:r>
              <w:t xml:space="preserve">Serverless-first, GCP carbon-neutral, no idle compute</w:t>
            </w:r>
          </w:p>
        </w:tc>
        <w:tc>
          <w:tcPr/>
          <w:p>
            <w:pPr>
              <w:pStyle w:val="Compact"/>
            </w:pPr>
            <w:r>
              <w:t xml:space="preserve">Dual Run doubles compute temporarily</w:t>
            </w:r>
          </w:p>
        </w:tc>
      </w:tr>
      <w:tr>
        <w:tc>
          <w:tcPr/>
          <w:p>
            <w:pPr>
              <w:pStyle w:val="Compact"/>
            </w:pPr>
            <w:r>
              <w:rPr>
                <w:b/>
                <w:bCs/>
              </w:rPr>
              <w:t xml:space="preserve">Overall</w:t>
            </w:r>
          </w:p>
        </w:tc>
        <w:tc>
          <w:tcPr/>
          <w:p>
            <w:pPr>
              <w:pStyle w:val="Compact"/>
            </w:pPr>
            <w:r>
              <w:rPr>
                <w:b/>
                <w:bCs/>
              </w:rPr>
              <w:t xml:space="preserve">7.7/10</w:t>
            </w:r>
          </w:p>
        </w:tc>
        <w:tc>
          <w:tcPr/>
          <w:p>
            <w:pPr>
              <w:pStyle w:val="Compact"/>
            </w:pPr>
          </w:p>
        </w:tc>
        <w:tc>
          <w:tcPr/>
          <w:p>
            <w:pPr>
              <w:pStyle w:val="Compact"/>
            </w:pPr>
          </w:p>
        </w:tc>
      </w:tr>
    </w:tbl>
    <w:p>
      <w:r>
        <w:pict>
          <v:rect style="width:0;height:1.5pt" o:hralign="center" o:hrstd="t" o:hr="t"/>
        </w:pict>
      </w:r>
    </w:p>
    <w:bookmarkEnd w:id="46"/>
    <w:bookmarkEnd w:id="47"/>
    <w:bookmarkStart w:id="62" w:name="identity-and-access-management"/>
    <w:p>
      <w:pPr>
        <w:pStyle w:val="Heading2"/>
      </w:pPr>
      <w:r>
        <w:t xml:space="preserve">4. Identity and Access Management</w:t>
      </w:r>
    </w:p>
    <w:bookmarkStart w:id="48" w:name="architecture-principles"/>
    <w:p>
      <w:pPr>
        <w:pStyle w:val="Heading3"/>
      </w:pPr>
      <w:r>
        <w:t xml:space="preserve">Architecture Principles</w:t>
      </w:r>
    </w:p>
    <w:p>
      <w:pPr>
        <w:pStyle w:val="FirstParagraph"/>
      </w:pPr>
      <w:r>
        <w:t xml:space="preserve">Having operated within enterprise IAM environments across three years as an AWS Solutions Architect, built HIPAA-compliant AI systems at Arine (45+ health plans, 50M members) and Hyperbloom (10K+ sites, 45 countries), I designed this IAM strategy by synthesizing direct experience with authoritative frameworks: NIST SP 800-207 (Zero Trust), HIPAA Security Rule, DEA 21 CFR 1311, and SMART on FHIR.</w:t>
      </w:r>
    </w:p>
    <w:tbl>
      <w:tblPr>
        <w:tblStyle w:val="Table"/>
        <w:tblW w:type="pct" w:w="5000"/>
        <w:tblLayout w:type="fixed"/>
        <w:tblLook w:firstRow="1" w:lastRow="0" w:firstColumn="0" w:lastColumn="0" w:noHBand="0" w:noVBand="0" w:val="0020"/>
      </w:tblPr>
      <w:tblGrid>
        <w:gridCol w:w="2074"/>
        <w:gridCol w:w="2451"/>
        <w:gridCol w:w="3394"/>
      </w:tblGrid>
      <w:tr>
        <w:trPr>
          <w:tblHeader w:val="on"/>
        </w:trPr>
        <w:tc>
          <w:tcPr/>
          <w:p>
            <w:pPr>
              <w:pStyle w:val="Compact"/>
            </w:pPr>
            <w:r>
              <w:t xml:space="preserve">Principle</w:t>
            </w:r>
          </w:p>
        </w:tc>
        <w:tc>
          <w:tcPr/>
          <w:p>
            <w:pPr>
              <w:pStyle w:val="Compact"/>
            </w:pPr>
            <w:r>
              <w:t xml:space="preserve">Description</w:t>
            </w:r>
          </w:p>
        </w:tc>
        <w:tc>
          <w:tcPr/>
          <w:p>
            <w:pPr>
              <w:pStyle w:val="Compact"/>
            </w:pPr>
            <w:r>
              <w:t xml:space="preserve">Regulatory Basis</w:t>
            </w:r>
          </w:p>
        </w:tc>
      </w:tr>
      <w:tr>
        <w:tc>
          <w:tcPr/>
          <w:p>
            <w:pPr>
              <w:pStyle w:val="Compact"/>
            </w:pPr>
            <w:r>
              <w:rPr>
                <w:b/>
                <w:bCs/>
              </w:rPr>
              <w:t xml:space="preserve">Zero Trust</w:t>
            </w:r>
          </w:p>
        </w:tc>
        <w:tc>
          <w:tcPr/>
          <w:p>
            <w:pPr>
              <w:pStyle w:val="Compact"/>
            </w:pPr>
            <w:r>
              <w:t xml:space="preserve">Never trust, always verify. Every request authenticated, authorized, encrypted.</w:t>
            </w:r>
          </w:p>
        </w:tc>
        <w:tc>
          <w:tcPr/>
          <w:p>
            <w:pPr>
              <w:pStyle w:val="Compact"/>
            </w:pPr>
            <w:r>
              <w:t xml:space="preserve">NIST SP 800-207</w:t>
            </w:r>
          </w:p>
        </w:tc>
      </w:tr>
      <w:tr>
        <w:tc>
          <w:tcPr/>
          <w:p>
            <w:pPr>
              <w:pStyle w:val="Compact"/>
            </w:pPr>
            <w:r>
              <w:rPr>
                <w:b/>
                <w:bCs/>
              </w:rPr>
              <w:t xml:space="preserve">Least Privilege</w:t>
            </w:r>
          </w:p>
        </w:tc>
        <w:tc>
          <w:tcPr/>
          <w:p>
            <w:pPr>
              <w:pStyle w:val="Compact"/>
            </w:pPr>
            <w:r>
              <w:t xml:space="preserve">Minimum permissions per function. Resource-level IAM bindings, never project-level.</w:t>
            </w:r>
          </w:p>
        </w:tc>
        <w:tc>
          <w:tcPr/>
          <w:p>
            <w:pPr>
              <w:pStyle w:val="Compact"/>
            </w:pPr>
            <w:r>
              <w:t xml:space="preserve">HIPAA §164.312(a)(1)</w:t>
            </w:r>
          </w:p>
        </w:tc>
      </w:tr>
      <w:tr>
        <w:tc>
          <w:tcPr/>
          <w:p>
            <w:pPr>
              <w:pStyle w:val="Compact"/>
            </w:pPr>
            <w:r>
              <w:rPr>
                <w:b/>
                <w:bCs/>
              </w:rPr>
              <w:t xml:space="preserve">Defense in Depth</w:t>
            </w:r>
          </w:p>
        </w:tc>
        <w:tc>
          <w:tcPr/>
          <w:p>
            <w:pPr>
              <w:pStyle w:val="Compact"/>
            </w:pPr>
            <w:r>
              <w:t xml:space="preserve">Controls at network, identity, application, and data layers.</w:t>
            </w:r>
          </w:p>
        </w:tc>
        <w:tc>
          <w:tcPr/>
          <w:p>
            <w:pPr>
              <w:pStyle w:val="Compact"/>
            </w:pPr>
            <w:r>
              <w:t xml:space="preserve">NIST CSF</w:t>
            </w:r>
          </w:p>
        </w:tc>
      </w:tr>
      <w:tr>
        <w:tc>
          <w:tcPr/>
          <w:p>
            <w:pPr>
              <w:pStyle w:val="Compact"/>
            </w:pPr>
            <w:r>
              <w:rPr>
                <w:b/>
                <w:bCs/>
              </w:rPr>
              <w:t xml:space="preserve">Separation of Duties</w:t>
            </w:r>
          </w:p>
        </w:tc>
        <w:tc>
          <w:tcPr/>
          <w:p>
            <w:pPr>
              <w:pStyle w:val="Compact"/>
            </w:pPr>
            <w:r>
              <w:t xml:space="preserve">No single account combines admin and clinical access.</w:t>
            </w:r>
          </w:p>
        </w:tc>
        <w:tc>
          <w:tcPr/>
          <w:p>
            <w:pPr>
              <w:pStyle w:val="Compact"/>
            </w:pPr>
            <w:r>
              <w:t xml:space="preserve">DEA 21 CFR 1311.150</w:t>
            </w:r>
          </w:p>
        </w:tc>
      </w:tr>
      <w:tr>
        <w:tc>
          <w:tcPr/>
          <w:p>
            <w:pPr>
              <w:pStyle w:val="Compact"/>
            </w:pPr>
            <w:r>
              <w:rPr>
                <w:b/>
                <w:bCs/>
              </w:rPr>
              <w:t xml:space="preserve">Assume Breach</w:t>
            </w:r>
          </w:p>
        </w:tc>
        <w:tc>
          <w:tcPr/>
          <w:p>
            <w:pPr>
              <w:pStyle w:val="Compact"/>
            </w:pPr>
            <w:r>
              <w:t xml:space="preserve">Design as if the perimeter is already compromised.</w:t>
            </w:r>
          </w:p>
        </w:tc>
        <w:tc>
          <w:tcPr/>
          <w:p>
            <w:pPr>
              <w:pStyle w:val="Compact"/>
            </w:pPr>
            <w:r>
              <w:t xml:space="preserve">NIST SP 800-207 Tenet 6</w:t>
            </w:r>
          </w:p>
        </w:tc>
      </w:tr>
    </w:tbl>
    <w:bookmarkEnd w:id="48"/>
    <w:bookmarkStart w:id="52" w:name="identity-flow"/>
    <w:p>
      <w:pPr>
        <w:pStyle w:val="Heading3"/>
      </w:pPr>
      <w:r>
        <w:t xml:space="preserve">Identity Flow</w:t>
      </w:r>
    </w:p>
    <w:p>
      <w:pPr>
        <w:pStyle w:val="FirstParagraph"/>
      </w:pPr>
      <w:r>
        <w:drawing>
          <wp:inline>
            <wp:extent cx="5334000" cy="9103178"/>
            <wp:effectExtent b="0" l="0" r="0" t="0"/>
            <wp:docPr descr="Diagram: flowchart TB" title="" id="50" name="Picture"/>
            <a:graphic>
              <a:graphicData uri="http://schemas.openxmlformats.org/drawingml/2006/picture">
                <pic:pic>
                  <pic:nvPicPr>
                    <pic:cNvPr descr="C:\Users\paulp\AppData\Local\Temp\md-to-docx-22mYpF\diagram-5.png" id="51" name="Picture"/>
                    <pic:cNvPicPr>
                      <a:picLocks noChangeArrowheads="1" noChangeAspect="1"/>
                    </pic:cNvPicPr>
                  </pic:nvPicPr>
                  <pic:blipFill>
                    <a:blip r:embed="rId49"/>
                    <a:stretch>
                      <a:fillRect/>
                    </a:stretch>
                  </pic:blipFill>
                  <pic:spPr bwMode="auto">
                    <a:xfrm>
                      <a:off x="0" y="0"/>
                      <a:ext cx="5334000" cy="9103178"/>
                    </a:xfrm>
                    <a:prstGeom prst="rect">
                      <a:avLst/>
                    </a:prstGeom>
                    <a:noFill/>
                    <a:ln w="9525">
                      <a:noFill/>
                      <a:headEnd/>
                      <a:tailEnd/>
                    </a:ln>
                  </pic:spPr>
                </pic:pic>
              </a:graphicData>
            </a:graphic>
          </wp:inline>
        </w:drawing>
      </w:r>
      <w:r>
        <w:t xml:space="preserve"> </w:t>
      </w:r>
      <w:r>
        <w:t xml:space="preserve">### Authorization Model: Hybrid RBAC + ABAC</w:t>
      </w:r>
    </w:p>
    <w:p>
      <w:pPr>
        <w:pStyle w:val="BodyText"/>
      </w:pPr>
      <w:r>
        <w:t xml:space="preserve">Pure RBAC cannot express</w:t>
      </w:r>
      <w:r>
        <w:t xml:space="preserve"> </w:t>
      </w:r>
      <w:r>
        <w:t xml:space="preserve">“only DEA-certified pharmacists can access Schedule II controlled substances during business hours at their assigned location.”</w:t>
      </w:r>
      <w:r>
        <w:t xml:space="preserve"> </w:t>
      </w:r>
      <w:r>
        <w:t xml:space="preserve">Pure ABAC is complex to audit. The hybrid model provides auditable role assignments (RBAC) with contextual constraints (ABAC).</w:t>
      </w:r>
    </w:p>
    <w:p>
      <w:pPr>
        <w:pStyle w:val="BodyText"/>
      </w:pPr>
      <w:r>
        <w:rPr>
          <w:b/>
          <w:bCs/>
        </w:rPr>
        <w:t xml:space="preserve">Roles:</w:t>
      </w:r>
    </w:p>
    <w:tbl>
      <w:tblPr>
        <w:tblStyle w:val="Table"/>
        <w:tblW w:type="pct" w:w="5000"/>
        <w:tblLayout w:type="fixed"/>
        <w:tblLook w:firstRow="1" w:lastRow="0" w:firstColumn="0" w:lastColumn="0" w:noHBand="0" w:noVBand="0" w:val="0020"/>
      </w:tblPr>
      <w:tblGrid>
        <w:gridCol w:w="1357"/>
        <w:gridCol w:w="2489"/>
        <w:gridCol w:w="4073"/>
      </w:tblGrid>
      <w:tr>
        <w:trPr>
          <w:tblHeader w:val="on"/>
        </w:trPr>
        <w:tc>
          <w:tcPr/>
          <w:p>
            <w:pPr>
              <w:pStyle w:val="Compact"/>
            </w:pPr>
            <w:r>
              <w:t xml:space="preserve">Role</w:t>
            </w:r>
          </w:p>
        </w:tc>
        <w:tc>
          <w:tcPr/>
          <w:p>
            <w:pPr>
              <w:pStyle w:val="Compact"/>
            </w:pPr>
            <w:r>
              <w:t xml:space="preserve">PHI Access</w:t>
            </w:r>
          </w:p>
        </w:tc>
        <w:tc>
          <w:tcPr/>
          <w:p>
            <w:pPr>
              <w:pStyle w:val="Compact"/>
            </w:pPr>
            <w:r>
              <w:t xml:space="preserve">Key Restrictions</w:t>
            </w:r>
          </w:p>
        </w:tc>
      </w:tr>
      <w:tr>
        <w:tc>
          <w:tcPr/>
          <w:p>
            <w:pPr>
              <w:pStyle w:val="Compact"/>
            </w:pPr>
            <w:r>
              <w:t xml:space="preserve">CLAIMS_PROCESSOR</w:t>
            </w:r>
          </w:p>
        </w:tc>
        <w:tc>
          <w:tcPr/>
          <w:p>
            <w:pPr>
              <w:pStyle w:val="Compact"/>
            </w:pPr>
            <w:r>
              <w:t xml:space="preserve">Read: member, claims, prescriptions</w:t>
            </w:r>
          </w:p>
        </w:tc>
        <w:tc>
          <w:tcPr/>
          <w:p>
            <w:pPr>
              <w:pStyle w:val="Compact"/>
            </w:pPr>
            <w:r>
              <w:t xml:space="preserve">No PA decisions, no formulary changes</w:t>
            </w:r>
          </w:p>
        </w:tc>
      </w:tr>
      <w:tr>
        <w:tc>
          <w:tcPr/>
          <w:p>
            <w:pPr>
              <w:pStyle w:val="Compact"/>
            </w:pPr>
            <w:r>
              <w:t xml:space="preserve">CLINICAL_PHARMACIST</w:t>
            </w:r>
          </w:p>
        </w:tc>
        <w:tc>
          <w:tcPr/>
          <w:p>
            <w:pPr>
              <w:pStyle w:val="Compact"/>
            </w:pPr>
            <w:r>
              <w:t xml:space="preserve">Read/Write: PA, clinical notes, AI recommendations</w:t>
            </w:r>
          </w:p>
        </w:tc>
        <w:tc>
          <w:tcPr/>
          <w:p>
            <w:pPr>
              <w:pStyle w:val="Compact"/>
            </w:pPr>
            <w:r>
              <w:t xml:space="preserve">Step-up auth for PA commit; DEA for EPCS</w:t>
            </w:r>
          </w:p>
        </w:tc>
      </w:tr>
      <w:tr>
        <w:tc>
          <w:tcPr/>
          <w:p>
            <w:pPr>
              <w:pStyle w:val="Compact"/>
            </w:pPr>
            <w:r>
              <w:t xml:space="preserve">BENEFITS_ANALYST</w:t>
            </w:r>
          </w:p>
        </w:tc>
        <w:tc>
          <w:tcPr/>
          <w:p>
            <w:pPr>
              <w:pStyle w:val="Compact"/>
            </w:pPr>
            <w:r>
              <w:t xml:space="preserve">Read: member, plans; Write: benefit config</w:t>
            </w:r>
          </w:p>
        </w:tc>
        <w:tc>
          <w:tcPr/>
          <w:p>
            <w:pPr>
              <w:pStyle w:val="Compact"/>
            </w:pPr>
            <w:r>
              <w:t xml:space="preserve">No clinical operations</w:t>
            </w:r>
          </w:p>
        </w:tc>
      </w:tr>
      <w:tr>
        <w:tc>
          <w:tcPr/>
          <w:p>
            <w:pPr>
              <w:pStyle w:val="Compact"/>
            </w:pPr>
            <w:r>
              <w:t xml:space="preserve">IT_ADMINISTRATOR</w:t>
            </w:r>
          </w:p>
        </w:tc>
        <w:tc>
          <w:tcPr/>
          <w:p>
            <w:pPr>
              <w:pStyle w:val="Compact"/>
            </w:pPr>
            <w:r>
              <w:t xml:space="preserve">Metadata only</w:t>
            </w:r>
          </w:p>
        </w:tc>
        <w:tc>
          <w:tcPr/>
          <w:p>
            <w:pPr>
              <w:pStyle w:val="Compact"/>
            </w:pPr>
            <w:r>
              <w:t xml:space="preserve">Break-glass only for PHI</w:t>
            </w:r>
          </w:p>
        </w:tc>
      </w:tr>
      <w:tr>
        <w:tc>
          <w:tcPr/>
          <w:p>
            <w:pPr>
              <w:pStyle w:val="Compact"/>
            </w:pPr>
            <w:r>
              <w:t xml:space="preserve">PHARMACY_TECH</w:t>
            </w:r>
          </w:p>
        </w:tc>
        <w:tc>
          <w:tcPr/>
          <w:p>
            <w:pPr>
              <w:pStyle w:val="Compact"/>
            </w:pPr>
            <w:r>
              <w:t xml:space="preserve">Read: member demographics, prescriptions</w:t>
            </w:r>
          </w:p>
        </w:tc>
        <w:tc>
          <w:tcPr/>
          <w:p>
            <w:pPr>
              <w:pStyle w:val="Compact"/>
            </w:pPr>
            <w:r>
              <w:t xml:space="preserve">No PA decisions, no AI access</w:t>
            </w:r>
          </w:p>
        </w:tc>
      </w:tr>
      <w:tr>
        <w:tc>
          <w:tcPr/>
          <w:p>
            <w:pPr>
              <w:pStyle w:val="Compact"/>
            </w:pPr>
            <w:r>
              <w:t xml:space="preserve">MANAGER</w:t>
            </w:r>
          </w:p>
        </w:tc>
        <w:tc>
          <w:tcPr/>
          <w:p>
            <w:pPr>
              <w:pStyle w:val="Compact"/>
            </w:pPr>
            <w:r>
              <w:t xml:space="preserve">Aggregated/anonymized data</w:t>
            </w:r>
          </w:p>
        </w:tc>
        <w:tc>
          <w:tcPr/>
          <w:p>
            <w:pPr>
              <w:pStyle w:val="Compact"/>
            </w:pPr>
            <w:r>
              <w:t xml:space="preserve">No direct PHI access</w:t>
            </w:r>
          </w:p>
        </w:tc>
      </w:tr>
      <w:tr>
        <w:tc>
          <w:tcPr/>
          <w:p>
            <w:pPr>
              <w:pStyle w:val="Compact"/>
            </w:pPr>
            <w:r>
              <w:t xml:space="preserve">SYSTEM_SERVICE</w:t>
            </w:r>
          </w:p>
        </w:tc>
        <w:tc>
          <w:tcPr/>
          <w:p>
            <w:pPr>
              <w:pStyle w:val="Compact"/>
            </w:pPr>
            <w:r>
              <w:t xml:space="preserve">Per service account IAM bindings</w:t>
            </w:r>
          </w:p>
        </w:tc>
        <w:tc>
          <w:tcPr/>
          <w:p>
            <w:pPr>
              <w:pStyle w:val="Compact"/>
            </w:pPr>
            <w:r>
              <w:t xml:space="preserve">No human login</w:t>
            </w:r>
          </w:p>
        </w:tc>
      </w:tr>
    </w:tbl>
    <w:p>
      <w:pPr>
        <w:pStyle w:val="BodyText"/>
      </w:pPr>
      <w:r>
        <w:rPr>
          <w:b/>
          <w:bCs/>
        </w:rPr>
        <w:t xml:space="preserve">ABAC attributes</w:t>
      </w:r>
      <w:r>
        <w:t xml:space="preserve"> </w:t>
      </w:r>
      <w:r>
        <w:t xml:space="preserve">(all sourced server-side from HR/LMS — never client-supplied):</w:t>
      </w:r>
      <w:r>
        <w:t xml:space="preserve"> </w:t>
      </w:r>
      <w:r>
        <w:t xml:space="preserve">-</w:t>
      </w:r>
      <w:r>
        <w:t xml:space="preserve"> </w:t>
      </w:r>
      <w:r>
        <w:rPr>
          <w:rStyle w:val="VerbatimChar"/>
        </w:rPr>
        <w:t xml:space="preserve">dea_certification_status</w:t>
      </w:r>
      <w:r>
        <w:t xml:space="preserve"> </w:t>
      </w:r>
      <w:r>
        <w:t xml:space="preserve">— gate for controlled substance access</w:t>
      </w:r>
      <w:r>
        <w:t xml:space="preserve"> </w:t>
      </w:r>
      <w:r>
        <w:t xml:space="preserve">-</w:t>
      </w:r>
      <w:r>
        <w:t xml:space="preserve"> </w:t>
      </w:r>
      <w:r>
        <w:rPr>
          <w:rStyle w:val="VerbatimChar"/>
        </w:rPr>
        <w:t xml:space="preserve">hipaa_training_current</w:t>
      </w:r>
      <w:r>
        <w:t xml:space="preserve"> </w:t>
      </w:r>
      <w:r>
        <w:t xml:space="preserve">— gate for all PHI access</w:t>
      </w:r>
      <w:r>
        <w:t xml:space="preserve"> </w:t>
      </w:r>
      <w:r>
        <w:t xml:space="preserve">-</w:t>
      </w:r>
      <w:r>
        <w:t xml:space="preserve"> </w:t>
      </w:r>
      <w:r>
        <w:rPr>
          <w:rStyle w:val="VerbatimChar"/>
        </w:rPr>
        <w:t xml:space="preserve">department</w:t>
      </w:r>
      <w:r>
        <w:t xml:space="preserve">,</w:t>
      </w:r>
      <w:r>
        <w:t xml:space="preserve"> </w:t>
      </w:r>
      <w:r>
        <w:rPr>
          <w:rStyle w:val="VerbatimChar"/>
        </w:rPr>
        <w:t xml:space="preserve">location</w:t>
      </w:r>
      <w:r>
        <w:t xml:space="preserve"> </w:t>
      </w:r>
      <w:r>
        <w:t xml:space="preserve">— restrict access to department-relevant data</w:t>
      </w:r>
      <w:r>
        <w:t xml:space="preserve"> </w:t>
      </w:r>
      <w:r>
        <w:t xml:space="preserve">-</w:t>
      </w:r>
      <w:r>
        <w:t xml:space="preserve"> </w:t>
      </w:r>
      <w:r>
        <w:rPr>
          <w:rStyle w:val="VerbatimChar"/>
        </w:rPr>
        <w:t xml:space="preserve">time_of_access</w:t>
      </w:r>
      <w:r>
        <w:t xml:space="preserve"> </w:t>
      </w:r>
      <w:r>
        <w:t xml:space="preserve">— off-hours triggers enhanced monitoring</w:t>
      </w:r>
    </w:p>
    <w:bookmarkEnd w:id="52"/>
    <w:bookmarkStart w:id="53" w:name="session-management"/>
    <w:p>
      <w:pPr>
        <w:pStyle w:val="Heading3"/>
      </w:pPr>
      <w:r>
        <w:t xml:space="preserve">Session Management</w:t>
      </w:r>
    </w:p>
    <w:tbl>
      <w:tblPr>
        <w:tblStyle w:val="Table"/>
        <w:tblW w:type="pct" w:w="5000"/>
        <w:tblLayout w:type="fixed"/>
        <w:tblLook w:firstRow="1" w:lastRow="0" w:firstColumn="0" w:lastColumn="0" w:noHBand="0" w:noVBand="0" w:val="0020"/>
      </w:tblPr>
      <w:tblGrid>
        <w:gridCol w:w="3004"/>
        <w:gridCol w:w="1911"/>
        <w:gridCol w:w="3004"/>
      </w:tblGrid>
      <w:tr>
        <w:trPr>
          <w:tblHeader w:val="on"/>
        </w:trPr>
        <w:tc>
          <w:tcPr/>
          <w:p>
            <w:pPr>
              <w:pStyle w:val="Compact"/>
            </w:pPr>
            <w:r>
              <w:t xml:space="preserve">Parameter</w:t>
            </w:r>
          </w:p>
        </w:tc>
        <w:tc>
          <w:tcPr/>
          <w:p>
            <w:pPr>
              <w:pStyle w:val="Compact"/>
            </w:pPr>
            <w:r>
              <w:t xml:space="preserve">Value</w:t>
            </w:r>
          </w:p>
        </w:tc>
        <w:tc>
          <w:tcPr/>
          <w:p>
            <w:pPr>
              <w:pStyle w:val="Compact"/>
            </w:pPr>
            <w:r>
              <w:t xml:space="preserve">Rationale</w:t>
            </w:r>
          </w:p>
        </w:tc>
      </w:tr>
      <w:tr>
        <w:tc>
          <w:tcPr/>
          <w:p>
            <w:pPr>
              <w:pStyle w:val="Compact"/>
            </w:pPr>
            <w:r>
              <w:t xml:space="preserve">Access token lifetime</w:t>
            </w:r>
          </w:p>
        </w:tc>
        <w:tc>
          <w:tcPr/>
          <w:p>
            <w:pPr>
              <w:pStyle w:val="Compact"/>
            </w:pPr>
            <w:r>
              <w:t xml:space="preserve">15 minutes</w:t>
            </w:r>
          </w:p>
        </w:tc>
        <w:tc>
          <w:tcPr/>
          <w:p>
            <w:pPr>
              <w:pStyle w:val="Compact"/>
            </w:pPr>
            <w:r>
              <w:t xml:space="preserve">Limits exposure window for stolen tokens</w:t>
            </w:r>
          </w:p>
        </w:tc>
      </w:tr>
      <w:tr>
        <w:tc>
          <w:tcPr/>
          <w:p>
            <w:pPr>
              <w:pStyle w:val="Compact"/>
            </w:pPr>
            <w:r>
              <w:t xml:space="preserve">Refresh token lifetime</w:t>
            </w:r>
          </w:p>
        </w:tc>
        <w:tc>
          <w:tcPr/>
          <w:p>
            <w:pPr>
              <w:pStyle w:val="Compact"/>
            </w:pPr>
            <w:r>
              <w:t xml:space="preserve">8 hours</w:t>
            </w:r>
          </w:p>
        </w:tc>
        <w:tc>
          <w:tcPr/>
          <w:p>
            <w:pPr>
              <w:pStyle w:val="Compact"/>
            </w:pPr>
            <w:r>
              <w:t xml:space="preserve">Covers a full pharmacy shift without re-login</w:t>
            </w:r>
          </w:p>
        </w:tc>
      </w:tr>
      <w:tr>
        <w:tc>
          <w:tcPr/>
          <w:p>
            <w:pPr>
              <w:pStyle w:val="Compact"/>
            </w:pPr>
            <w:r>
              <w:t xml:space="preserve">Idle timeout</w:t>
            </w:r>
          </w:p>
        </w:tc>
        <w:tc>
          <w:tcPr/>
          <w:p>
            <w:pPr>
              <w:pStyle w:val="Compact"/>
            </w:pPr>
            <w:r>
              <w:t xml:space="preserve">30 minutes</w:t>
            </w:r>
          </w:p>
        </w:tc>
        <w:tc>
          <w:tcPr/>
          <w:p>
            <w:pPr>
              <w:pStyle w:val="Compact"/>
            </w:pPr>
            <w:r>
              <w:t xml:space="preserve">HIPAA §164.312(a)(2)(iii) automatic logoff</w:t>
            </w:r>
          </w:p>
        </w:tc>
      </w:tr>
      <w:tr>
        <w:tc>
          <w:tcPr/>
          <w:p>
            <w:pPr>
              <w:pStyle w:val="Compact"/>
            </w:pPr>
            <w:r>
              <w:t xml:space="preserve">Absolute session max</w:t>
            </w:r>
          </w:p>
        </w:tc>
        <w:tc>
          <w:tcPr/>
          <w:p>
            <w:pPr>
              <w:pStyle w:val="Compact"/>
            </w:pPr>
            <w:r>
              <w:t xml:space="preserve">12 hours</w:t>
            </w:r>
          </w:p>
        </w:tc>
        <w:tc>
          <w:tcPr/>
          <w:p>
            <w:pPr>
              <w:pStyle w:val="Compact"/>
            </w:pPr>
            <w:r>
              <w:t xml:space="preserve">Force re-authentication after maximum shift</w:t>
            </w:r>
          </w:p>
        </w:tc>
      </w:tr>
    </w:tbl>
    <w:p>
      <w:pPr>
        <w:pStyle w:val="BodyText"/>
      </w:pPr>
      <w:r>
        <w:rPr>
          <w:b/>
          <w:bCs/>
        </w:rPr>
        <w:t xml:space="preserve">Break-glass procedure</w:t>
      </w:r>
      <w:r>
        <w:t xml:space="preserve">: Emergency PHI access requires FIDO2 hardware key + justification text. Automated notification to security team, IT manager, and compliance officer. Maximum 4-hour session with full SQL statement audit logging. Post-incident review within 24 hours. Satisfies HIPAA §164.312(a)(2)(ii) Emergency Access Procedure.</w:t>
      </w:r>
    </w:p>
    <w:bookmarkEnd w:id="53"/>
    <w:bookmarkStart w:id="54" w:name="ibm-i-to-cloud-bridge"/>
    <w:p>
      <w:pPr>
        <w:pStyle w:val="Heading3"/>
      </w:pPr>
      <w:r>
        <w:t xml:space="preserve">IBM i to Cloud Bridge</w:t>
      </w:r>
    </w:p>
    <w:p>
      <w:pPr>
        <w:pStyle w:val="FirstParagraph"/>
      </w:pPr>
      <w:r>
        <w:t xml:space="preserve">Two fundamentally different identity systems must coexist during migration:</w:t>
      </w:r>
    </w:p>
    <w:tbl>
      <w:tblPr>
        <w:tblStyle w:val="Table"/>
        <w:tblW w:type="pct" w:w="5000"/>
        <w:tblLayout w:type="fixed"/>
        <w:tblLook w:firstRow="1" w:lastRow="0" w:firstColumn="0" w:lastColumn="0" w:noHBand="0" w:noVBand="0" w:val="0020"/>
      </w:tblPr>
      <w:tblGrid>
        <w:gridCol w:w="1788"/>
        <w:gridCol w:w="1788"/>
        <w:gridCol w:w="4343"/>
      </w:tblGrid>
      <w:tr>
        <w:trPr>
          <w:tblHeader w:val="on"/>
        </w:trPr>
        <w:tc>
          <w:tcPr/>
          <w:p>
            <w:pPr>
              <w:pStyle w:val="Compact"/>
            </w:pPr>
            <w:r>
              <w:t xml:space="preserve">IBM i</w:t>
            </w:r>
          </w:p>
        </w:tc>
        <w:tc>
          <w:tcPr/>
          <w:p>
            <w:pPr>
              <w:pStyle w:val="Compact"/>
            </w:pPr>
            <w:r>
              <w:t xml:space="preserve">Cloud</w:t>
            </w:r>
          </w:p>
        </w:tc>
        <w:tc>
          <w:tcPr/>
          <w:p>
            <w:pPr>
              <w:pStyle w:val="Compact"/>
            </w:pPr>
            <w:r>
              <w:t xml:space="preserve">Bridge Strategy</w:t>
            </w:r>
          </w:p>
        </w:tc>
      </w:tr>
      <w:tr>
        <w:tc>
          <w:tcPr/>
          <w:p>
            <w:pPr>
              <w:pStyle w:val="Compact"/>
            </w:pPr>
            <w:r>
              <w:t xml:space="preserve">10-char USRPRF</w:t>
            </w:r>
          </w:p>
        </w:tc>
        <w:tc>
          <w:tcPr/>
          <w:p>
            <w:pPr>
              <w:pStyle w:val="Compact"/>
            </w:pPr>
            <w:r>
              <w:t xml:space="preserve">Email-based cloud identity</w:t>
            </w:r>
          </w:p>
        </w:tc>
        <w:tc>
          <w:tcPr/>
          <w:p>
            <w:pPr>
              <w:pStyle w:val="Compact"/>
            </w:pPr>
            <w:r>
              <w:t xml:space="preserve">Custom attribute mapping in Cloud Identity Platform</w:t>
            </w:r>
          </w:p>
        </w:tc>
      </w:tr>
      <w:tr>
        <w:tc>
          <w:tcPr/>
          <w:p>
            <w:pPr>
              <w:pStyle w:val="Compact"/>
            </w:pPr>
            <w:r>
              <w:rPr>
                <w:i/>
                <w:iCs/>
              </w:rPr>
              <w:t xml:space="preserve">ALLOBJ/</w:t>
            </w:r>
            <w:r>
              <w:t xml:space="preserve">SECADM</w:t>
            </w:r>
          </w:p>
        </w:tc>
        <w:tc>
          <w:tcPr/>
          <w:p>
            <w:pPr>
              <w:pStyle w:val="Compact"/>
            </w:pPr>
            <w:r>
              <w:t xml:space="preserve">Decomposes to specific IAM roles per resource</w:t>
            </w:r>
          </w:p>
        </w:tc>
        <w:tc>
          <w:tcPr/>
          <w:p>
            <w:pPr>
              <w:pStyle w:val="Compact"/>
            </w:pPr>
            <w:r>
              <w:t xml:space="preserve">Authority-to-IAM translation matrix (T-001, risk score 9/10)</w:t>
            </w:r>
          </w:p>
        </w:tc>
      </w:tr>
      <w:tr>
        <w:tc>
          <w:tcPr/>
          <w:p>
            <w:pPr>
              <w:pStyle w:val="Compact"/>
            </w:pPr>
            <w:r>
              <w:t xml:space="preserve">Password-only (QSECURITY 40/50)</w:t>
            </w:r>
          </w:p>
        </w:tc>
        <w:tc>
          <w:tcPr/>
          <w:p>
            <w:pPr>
              <w:pStyle w:val="Compact"/>
            </w:pPr>
            <w:r>
              <w:t xml:space="preserve">MFA mandatory</w:t>
            </w:r>
          </w:p>
        </w:tc>
        <w:tc>
          <w:tcPr/>
          <w:p>
            <w:pPr>
              <w:pStyle w:val="Compact"/>
            </w:pPr>
            <w:r>
              <w:t xml:space="preserve">SSO bridge federates both via Cloud Identity Platform</w:t>
            </w:r>
          </w:p>
        </w:tc>
      </w:tr>
      <w:tr>
        <w:tc>
          <w:tcPr/>
          <w:p>
            <w:pPr>
              <w:pStyle w:val="Compact"/>
            </w:pPr>
            <w:r>
              <w:t xml:space="preserve">Persistent 5250 sessions</w:t>
            </w:r>
          </w:p>
        </w:tc>
        <w:tc>
          <w:tcPr/>
          <w:p>
            <w:pPr>
              <w:pStyle w:val="Compact"/>
            </w:pPr>
            <w:r>
              <w:t xml:space="preserve">30-minute idle timeout (HIPAA)</w:t>
            </w:r>
          </w:p>
        </w:tc>
        <w:tc>
          <w:tcPr/>
          <w:p>
            <w:pPr>
              <w:pStyle w:val="Compact"/>
            </w:pPr>
            <w:r>
              <w:t xml:space="preserve">Dual-mode: legacy via terminal emulator MFE, modern via JWT</w:t>
            </w:r>
          </w:p>
        </w:tc>
      </w:tr>
      <w:tr>
        <w:tc>
          <w:tcPr/>
          <w:p>
            <w:pPr>
              <w:pStyle w:val="Compact"/>
            </w:pPr>
            <w:r>
              <w:t xml:space="preserve">QAUDJRN journal</w:t>
            </w:r>
          </w:p>
        </w:tc>
        <w:tc>
          <w:tcPr/>
          <w:p>
            <w:pPr>
              <w:pStyle w:val="Compact"/>
            </w:pPr>
            <w:r>
              <w:t xml:space="preserve">Cloud Audit Logs + BigQuery</w:t>
            </w:r>
          </w:p>
        </w:tc>
        <w:tc>
          <w:tcPr/>
          <w:p>
            <w:pPr>
              <w:pStyle w:val="Compact"/>
            </w:pPr>
            <w:r>
              <w:t xml:space="preserve">Precisely Connect journal bridge to unified audit plane</w:t>
            </w:r>
          </w:p>
        </w:tc>
      </w:tr>
    </w:tbl>
    <w:bookmarkEnd w:id="54"/>
    <w:bookmarkStart w:id="58" w:name="genai-pipeline-access-control"/>
    <w:p>
      <w:pPr>
        <w:pStyle w:val="Heading3"/>
      </w:pPr>
      <w:r>
        <w:t xml:space="preserve">GenAI Pipeline Access Control</w:t>
      </w:r>
    </w:p>
    <w:p>
      <w:pPr>
        <w:pStyle w:val="FirstParagraph"/>
      </w:pPr>
      <w:r>
        <w:t xml:space="preserve">The most important IAM design decision:</w:t>
      </w:r>
      <w:r>
        <w:t xml:space="preserve"> </w:t>
      </w:r>
      <w:r>
        <w:rPr>
          <w:rStyle w:val="VerbatimChar"/>
        </w:rPr>
        <w:t xml:space="preserve">genai-pipeline@</w:t>
      </w:r>
      <w:r>
        <w:t xml:space="preserve"> </w:t>
      </w:r>
      <w:r>
        <w:t xml:space="preserve">has</w:t>
      </w:r>
      <w:r>
        <w:t xml:space="preserve"> </w:t>
      </w:r>
      <w:r>
        <w:rPr>
          <w:b/>
          <w:bCs/>
        </w:rPr>
        <w:t xml:space="preserve">zero direct access to any PHI data store</w:t>
      </w:r>
      <w:r>
        <w:t xml:space="preserve">.</w:t>
      </w:r>
    </w:p>
    <w:p>
      <w:pPr>
        <w:pStyle w:val="BodyText"/>
      </w:pPr>
      <w:r>
        <w:drawing>
          <wp:inline>
            <wp:extent cx="5334000" cy="1129392"/>
            <wp:effectExtent b="0" l="0" r="0" t="0"/>
            <wp:docPr descr="Diagram: flowchart LR" title="" id="56" name="Picture"/>
            <a:graphic>
              <a:graphicData uri="http://schemas.openxmlformats.org/drawingml/2006/picture">
                <pic:pic>
                  <pic:nvPicPr>
                    <pic:cNvPr descr="C:\Users\paulp\AppData\Local\Temp\md-to-docx-22mYpF\diagram-6.png" id="57" name="Picture"/>
                    <pic:cNvPicPr>
                      <a:picLocks noChangeArrowheads="1" noChangeAspect="1"/>
                    </pic:cNvPicPr>
                  </pic:nvPicPr>
                  <pic:blipFill>
                    <a:blip r:embed="rId55"/>
                    <a:stretch>
                      <a:fillRect/>
                    </a:stretch>
                  </pic:blipFill>
                  <pic:spPr bwMode="auto">
                    <a:xfrm>
                      <a:off x="0" y="0"/>
                      <a:ext cx="5334000" cy="1129392"/>
                    </a:xfrm>
                    <a:prstGeom prst="rect">
                      <a:avLst/>
                    </a:prstGeom>
                    <a:noFill/>
                    <a:ln w="9525">
                      <a:noFill/>
                      <a:headEnd/>
                      <a:tailEnd/>
                    </a:ln>
                  </pic:spPr>
                </pic:pic>
              </a:graphicData>
            </a:graphic>
          </wp:inline>
        </w:drawing>
      </w:r>
      <w:r>
        <w:t xml:space="preserve"> </w:t>
      </w:r>
      <w:r>
        <w:t xml:space="preserve">If the GenAI pipeline is compromised (prompt injection, model manipulation, supply chain attack), the attacker gains access to de-identified clinical topics only — never raw PHI. Defense-in-depth at the architecture level.</w:t>
      </w:r>
    </w:p>
    <w:bookmarkEnd w:id="58"/>
    <w:bookmarkStart w:id="59" w:name="stride-threat-summary"/>
    <w:p>
      <w:pPr>
        <w:pStyle w:val="Heading3"/>
      </w:pPr>
      <w:r>
        <w:t xml:space="preserve">STRIDE Threat Summary</w:t>
      </w:r>
    </w:p>
    <w:p>
      <w:pPr>
        <w:pStyle w:val="FirstParagraph"/>
      </w:pPr>
      <w:r>
        <w:t xml:space="preserve">30 threats identified across 6 STRIDE categories:</w:t>
      </w:r>
    </w:p>
    <w:tbl>
      <w:tblPr>
        <w:tblStyle w:val="Table"/>
        <w:tblW w:type="pct" w:w="5000"/>
        <w:tblLayout w:type="fixed"/>
        <w:tblLook w:firstRow="1" w:lastRow="0" w:firstColumn="0" w:lastColumn="0" w:noHBand="0" w:noVBand="0" w:val="0020"/>
      </w:tblPr>
      <w:tblGrid>
        <w:gridCol w:w="1760"/>
        <w:gridCol w:w="1232"/>
        <w:gridCol w:w="1760"/>
        <w:gridCol w:w="1056"/>
        <w:gridCol w:w="2112"/>
      </w:tblGrid>
      <w:tr>
        <w:trPr>
          <w:tblHeader w:val="on"/>
        </w:trPr>
        <w:tc>
          <w:tcPr/>
          <w:p>
            <w:pPr>
              <w:pStyle w:val="Compact"/>
            </w:pPr>
            <w:r>
              <w:t xml:space="preserve">Category</w:t>
            </w:r>
          </w:p>
        </w:tc>
        <w:tc>
          <w:tcPr/>
          <w:p>
            <w:pPr>
              <w:pStyle w:val="Compact"/>
            </w:pPr>
            <w:r>
              <w:t xml:space="preserve">Count</w:t>
            </w:r>
          </w:p>
        </w:tc>
        <w:tc>
          <w:tcPr/>
          <w:p>
            <w:pPr>
              <w:pStyle w:val="Compact"/>
            </w:pPr>
            <w:r>
              <w:t xml:space="preserve">Critical</w:t>
            </w:r>
          </w:p>
        </w:tc>
        <w:tc>
          <w:tcPr/>
          <w:p>
            <w:pPr>
              <w:pStyle w:val="Compact"/>
            </w:pPr>
            <w:r>
              <w:t xml:space="preserve">High</w:t>
            </w:r>
          </w:p>
        </w:tc>
        <w:tc>
          <w:tcPr/>
          <w:p>
            <w:pPr>
              <w:pStyle w:val="Compact"/>
            </w:pPr>
            <w:r>
              <w:t xml:space="preserve">Top Threat</w:t>
            </w:r>
          </w:p>
        </w:tc>
      </w:tr>
      <w:tr>
        <w:tc>
          <w:tcPr/>
          <w:p>
            <w:pPr>
              <w:pStyle w:val="Compact"/>
            </w:pPr>
            <w:r>
              <w:t xml:space="preserve">Spoofing</w:t>
            </w:r>
          </w:p>
        </w:tc>
        <w:tc>
          <w:tcPr/>
          <w:p>
            <w:pPr>
              <w:pStyle w:val="Compact"/>
            </w:pPr>
            <w:r>
              <w:t xml:space="preserve">5</w:t>
            </w:r>
          </w:p>
        </w:tc>
        <w:tc>
          <w:tcPr/>
          <w:p>
            <w:pPr>
              <w:pStyle w:val="Compact"/>
            </w:pPr>
            <w:r>
              <w:t xml:space="preserve">4</w:t>
            </w:r>
          </w:p>
        </w:tc>
        <w:tc>
          <w:tcPr/>
          <w:p>
            <w:pPr>
              <w:pStyle w:val="Compact"/>
            </w:pPr>
            <w:r>
              <w:t xml:space="preserve">1</w:t>
            </w:r>
          </w:p>
        </w:tc>
        <w:tc>
          <w:tcPr/>
          <w:p>
            <w:pPr>
              <w:pStyle w:val="Compact"/>
            </w:pPr>
            <w:r>
              <w:t xml:space="preserve">T-001: *ALLOBJ mapped to cloud IAM without downscoping (risk 9/10)</w:t>
            </w:r>
          </w:p>
        </w:tc>
      </w:tr>
      <w:tr>
        <w:tc>
          <w:tcPr/>
          <w:p>
            <w:pPr>
              <w:pStyle w:val="Compact"/>
            </w:pPr>
            <w:r>
              <w:t xml:space="preserve">Tampering</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t xml:space="preserve">T-102: Claims pricing manipulation (risk 9/10)</w:t>
            </w:r>
          </w:p>
        </w:tc>
      </w:tr>
      <w:tr>
        <w:tc>
          <w:tcPr/>
          <w:p>
            <w:pPr>
              <w:pStyle w:val="Compact"/>
            </w:pPr>
            <w:r>
              <w:t xml:space="preserve">Repudiation</w:t>
            </w:r>
          </w:p>
        </w:tc>
        <w:tc>
          <w:tcPr/>
          <w:p>
            <w:pPr>
              <w:pStyle w:val="Compact"/>
            </w:pPr>
            <w:r>
              <w:t xml:space="preserve">5</w:t>
            </w:r>
          </w:p>
        </w:tc>
        <w:tc>
          <w:tcPr/>
          <w:p>
            <w:pPr>
              <w:pStyle w:val="Compact"/>
            </w:pPr>
            <w:r>
              <w:t xml:space="preserve">4</w:t>
            </w:r>
          </w:p>
        </w:tc>
        <w:tc>
          <w:tcPr/>
          <w:p>
            <w:pPr>
              <w:pStyle w:val="Compact"/>
            </w:pPr>
            <w:r>
              <w:t xml:space="preserve">1</w:t>
            </w:r>
          </w:p>
        </w:tc>
        <w:tc>
          <w:tcPr/>
          <w:p>
            <w:pPr>
              <w:pStyle w:val="Compact"/>
            </w:pPr>
            <w:r>
              <w:t xml:space="preserve">T-201: Siloed IBM i / cloud audit logs (risk 9/10)</w:t>
            </w:r>
          </w:p>
        </w:tc>
      </w:tr>
      <w:tr>
        <w:tc>
          <w:tcPr/>
          <w:p>
            <w:pPr>
              <w:pStyle w:val="Compact"/>
            </w:pPr>
            <w:r>
              <w:t xml:space="preserve">Information Disclosure</w:t>
            </w:r>
          </w:p>
        </w:tc>
        <w:tc>
          <w:tcPr/>
          <w:p>
            <w:pPr>
              <w:pStyle w:val="Compact"/>
            </w:pPr>
            <w:r>
              <w:t xml:space="preserve">5</w:t>
            </w:r>
          </w:p>
        </w:tc>
        <w:tc>
          <w:tcPr/>
          <w:p>
            <w:pPr>
              <w:pStyle w:val="Compact"/>
            </w:pPr>
            <w:r>
              <w:t xml:space="preserve">2</w:t>
            </w:r>
          </w:p>
        </w:tc>
        <w:tc>
          <w:tcPr/>
          <w:p>
            <w:pPr>
              <w:pStyle w:val="Compact"/>
            </w:pPr>
            <w:r>
              <w:t xml:space="preserve">3</w:t>
            </w:r>
          </w:p>
        </w:tc>
        <w:tc>
          <w:tcPr/>
          <w:p>
            <w:pPr>
              <w:pStyle w:val="Compact"/>
            </w:pPr>
            <w:r>
              <w:t xml:space="preserve">T-301: PHI entering GenAI pipeline before DLP gate (risk 9/10)</w:t>
            </w:r>
          </w:p>
        </w:tc>
      </w:tr>
      <w:tr>
        <w:tc>
          <w:tcPr/>
          <w:p>
            <w:pPr>
              <w:pStyle w:val="Compact"/>
            </w:pPr>
            <w:r>
              <w:t xml:space="preserve">Denial of Service</w:t>
            </w:r>
          </w:p>
        </w:tc>
        <w:tc>
          <w:tcPr/>
          <w:p>
            <w:pPr>
              <w:pStyle w:val="Compact"/>
            </w:pPr>
            <w:r>
              <w:t xml:space="preserve">5</w:t>
            </w:r>
          </w:p>
        </w:tc>
        <w:tc>
          <w:tcPr/>
          <w:p>
            <w:pPr>
              <w:pStyle w:val="Compact"/>
            </w:pPr>
            <w:r>
              <w:t xml:space="preserve">3</w:t>
            </w:r>
          </w:p>
        </w:tc>
        <w:tc>
          <w:tcPr/>
          <w:p>
            <w:pPr>
              <w:pStyle w:val="Compact"/>
            </w:pPr>
            <w:r>
              <w:t xml:space="preserve">2</w:t>
            </w:r>
          </w:p>
        </w:tc>
        <w:tc>
          <w:tcPr/>
          <w:p>
            <w:pPr>
              <w:pStyle w:val="Compact"/>
            </w:pPr>
            <w:r>
              <w:t xml:space="preserve">T-401: DDoS against claims API (risk 10/10)</w:t>
            </w:r>
          </w:p>
        </w:tc>
      </w:tr>
      <w:tr>
        <w:tc>
          <w:tcPr/>
          <w:p>
            <w:pPr>
              <w:pStyle w:val="Compact"/>
            </w:pPr>
            <w:r>
              <w:t xml:space="preserve">Elevation of Privilege</w:t>
            </w:r>
          </w:p>
        </w:tc>
        <w:tc>
          <w:tcPr/>
          <w:p>
            <w:pPr>
              <w:pStyle w:val="Compact"/>
            </w:pPr>
            <w:r>
              <w:t xml:space="preserve">5</w:t>
            </w:r>
          </w:p>
        </w:tc>
        <w:tc>
          <w:tcPr/>
          <w:p>
            <w:pPr>
              <w:pStyle w:val="Compact"/>
            </w:pPr>
            <w:r>
              <w:t xml:space="preserve">4</w:t>
            </w:r>
          </w:p>
        </w:tc>
        <w:tc>
          <w:tcPr/>
          <w:p>
            <w:pPr>
              <w:pStyle w:val="Compact"/>
            </w:pPr>
            <w:r>
              <w:t xml:space="preserve">1</w:t>
            </w:r>
          </w:p>
        </w:tc>
        <w:tc>
          <w:tcPr/>
          <w:p>
            <w:pPr>
              <w:pStyle w:val="Compact"/>
            </w:pPr>
            <w:r>
              <w:t xml:space="preserve">T-501: *ALLOBJ cloud over-provisioning (risk 9/10)</w:t>
            </w:r>
          </w:p>
        </w:tc>
      </w:tr>
    </w:tbl>
    <w:p>
      <w:pPr>
        <w:pStyle w:val="BodyText"/>
      </w:pPr>
      <w:r>
        <w:rPr>
          <w:b/>
          <w:bCs/>
        </w:rPr>
        <w:t xml:space="preserve">8 open findings</w:t>
      </w:r>
      <w:r>
        <w:t xml:space="preserve"> </w:t>
      </w:r>
      <w:r>
        <w:t xml:space="preserve">requiring implementation before go-live (transparent, not hidden):</w:t>
      </w:r>
      <w:r>
        <w:t xml:space="preserve"> </w:t>
      </w:r>
      <w:r>
        <w:t xml:space="preserve">- Journal bridge for unified audit (T-201)</w:t>
      </w:r>
      <w:r>
        <w:t xml:space="preserve"> </w:t>
      </w:r>
      <w:r>
        <w:t xml:space="preserve">- GenAI decision audit trail (T-202)</w:t>
      </w:r>
      <w:r>
        <w:t xml:space="preserve"> </w:t>
      </w:r>
      <w:r>
        <w:t xml:space="preserve">- Claims correlation ID across hybrid boundary (T-203)</w:t>
      </w:r>
      <w:r>
        <w:t xml:space="preserve"> </w:t>
      </w:r>
      <w:r>
        <w:t xml:space="preserve">-</w:t>
      </w:r>
      <w:r>
        <w:t xml:space="preserve"> </w:t>
      </w:r>
      <w:r>
        <w:rPr>
          <w:i/>
          <w:iCs/>
        </w:rPr>
        <w:t xml:space="preserve">ALLOBJ/</w:t>
      </w:r>
      <w:r>
        <w:t xml:space="preserve">SECADM cloud mapping (T-501)</w:t>
      </w:r>
      <w:r>
        <w:t xml:space="preserve"> </w:t>
      </w:r>
      <w:r>
        <w:t xml:space="preserve">- And 4 additional identified-status threats</w:t>
      </w:r>
    </w:p>
    <w:bookmarkEnd w:id="59"/>
    <w:bookmarkStart w:id="60" w:name="compliance-mapping"/>
    <w:p>
      <w:pPr>
        <w:pStyle w:val="Heading3"/>
      </w:pPr>
      <w:r>
        <w:t xml:space="preserve">Compliance Mapping</w:t>
      </w:r>
    </w:p>
    <w:tbl>
      <w:tblPr>
        <w:tblStyle w:val="Table"/>
        <w:tblW w:type="pct" w:w="5000"/>
        <w:tblLayout w:type="fixed"/>
        <w:tblLook w:firstRow="1" w:lastRow="0" w:firstColumn="0" w:lastColumn="0" w:noHBand="0" w:noVBand="0" w:val="0020"/>
      </w:tblPr>
      <w:tblGrid>
        <w:gridCol w:w="1980"/>
        <w:gridCol w:w="3060"/>
        <w:gridCol w:w="2880"/>
      </w:tblGrid>
      <w:tr>
        <w:trPr>
          <w:tblHeader w:val="on"/>
        </w:trPr>
        <w:tc>
          <w:tcPr/>
          <w:p>
            <w:pPr>
              <w:pStyle w:val="Compact"/>
            </w:pPr>
            <w:r>
              <w:t xml:space="preserve">Framework</w:t>
            </w:r>
          </w:p>
        </w:tc>
        <w:tc>
          <w:tcPr/>
          <w:p>
            <w:pPr>
              <w:pStyle w:val="Compact"/>
            </w:pPr>
            <w:r>
              <w:t xml:space="preserve">Key Requirements</w:t>
            </w:r>
          </w:p>
        </w:tc>
        <w:tc>
          <w:tcPr/>
          <w:p>
            <w:pPr>
              <w:pStyle w:val="Compact"/>
            </w:pPr>
            <w:r>
              <w:t xml:space="preserve">Implementation</w:t>
            </w:r>
          </w:p>
        </w:tc>
      </w:tr>
      <w:tr>
        <w:tc>
          <w:tcPr/>
          <w:p>
            <w:pPr>
              <w:pStyle w:val="Compact"/>
            </w:pPr>
            <w:r>
              <w:rPr>
                <w:b/>
                <w:bCs/>
              </w:rPr>
              <w:t xml:space="preserve">HIPAA</w:t>
            </w:r>
            <w:r>
              <w:t xml:space="preserve"> </w:t>
            </w:r>
            <w:r>
              <w:t xml:space="preserve">§164.312</w:t>
            </w:r>
          </w:p>
        </w:tc>
        <w:tc>
          <w:tcPr/>
          <w:p>
            <w:pPr>
              <w:pStyle w:val="Compact"/>
            </w:pPr>
            <w:r>
              <w:t xml:space="preserve">Access control, audit, integrity, authentication, transmission security</w:t>
            </w:r>
          </w:p>
        </w:tc>
        <w:tc>
          <w:tcPr/>
          <w:p>
            <w:pPr>
              <w:pStyle w:val="Compact"/>
            </w:pPr>
            <w:r>
              <w:t xml:space="preserve">Cloud Identity Platform, FORCE RLS, 6-year audit logs, CMEK, TLS 1.2+</w:t>
            </w:r>
          </w:p>
        </w:tc>
      </w:tr>
      <w:tr>
        <w:tc>
          <w:tcPr/>
          <w:p>
            <w:pPr>
              <w:pStyle w:val="Compact"/>
            </w:pPr>
            <w:r>
              <w:rPr>
                <w:b/>
                <w:bCs/>
              </w:rPr>
              <w:t xml:space="preserve">HITECH</w:t>
            </w:r>
          </w:p>
        </w:tc>
        <w:tc>
          <w:tcPr/>
          <w:p>
            <w:pPr>
              <w:pStyle w:val="Compact"/>
            </w:pPr>
            <w:r>
              <w:t xml:space="preserve">Breach notification, increased penalties</w:t>
            </w:r>
          </w:p>
        </w:tc>
        <w:tc>
          <w:tcPr/>
          <w:p>
            <w:pPr>
              <w:pStyle w:val="Compact"/>
            </w:pPr>
            <w:r>
              <w:t xml:space="preserve">Dual-sink logging, SIEM integration, incident response procedure</w:t>
            </w:r>
          </w:p>
        </w:tc>
      </w:tr>
      <w:tr>
        <w:tc>
          <w:tcPr/>
          <w:p>
            <w:pPr>
              <w:pStyle w:val="Compact"/>
            </w:pPr>
            <w:r>
              <w:rPr>
                <w:b/>
                <w:bCs/>
              </w:rPr>
              <w:t xml:space="preserve">PCI-DSS 4.0</w:t>
            </w:r>
          </w:p>
        </w:tc>
        <w:tc>
          <w:tcPr/>
          <w:p>
            <w:pPr>
              <w:pStyle w:val="Compact"/>
            </w:pPr>
            <w:r>
              <w:t xml:space="preserve">Payment card tokenization, strong access control</w:t>
            </w:r>
          </w:p>
        </w:tc>
        <w:tc>
          <w:tcPr/>
          <w:p>
            <w:pPr>
              <w:pStyle w:val="Compact"/>
            </w:pPr>
            <w:r>
              <w:t xml:space="preserve">Tokenization at ingestion, least privilege, network segmentation</w:t>
            </w:r>
          </w:p>
        </w:tc>
      </w:tr>
      <w:tr>
        <w:tc>
          <w:tcPr/>
          <w:p>
            <w:pPr>
              <w:pStyle w:val="Compact"/>
            </w:pPr>
            <w:r>
              <w:rPr>
                <w:b/>
                <w:bCs/>
              </w:rPr>
              <w:t xml:space="preserve">DEA 21 CFR 1311</w:t>
            </w:r>
          </w:p>
        </w:tc>
        <w:tc>
          <w:tcPr/>
          <w:p>
            <w:pPr>
              <w:pStyle w:val="Compact"/>
            </w:pPr>
            <w:r>
              <w:t xml:space="preserve">EPCS two-factor authentication, audit trails</w:t>
            </w:r>
          </w:p>
        </w:tc>
        <w:tc>
          <w:tcPr/>
          <w:p>
            <w:pPr>
              <w:pStyle w:val="Compact"/>
            </w:pPr>
            <w:r>
              <w:t xml:space="preserve">FIDO2 hardware keys for Schedule II-V, hash-chained audit logs</w:t>
            </w:r>
          </w:p>
        </w:tc>
      </w:tr>
      <w:tr>
        <w:tc>
          <w:tcPr/>
          <w:p>
            <w:pPr>
              <w:pStyle w:val="Compact"/>
            </w:pPr>
            <w:r>
              <w:rPr>
                <w:b/>
                <w:bCs/>
              </w:rPr>
              <w:t xml:space="preserve">SOC 2 Type II</w:t>
            </w:r>
          </w:p>
        </w:tc>
        <w:tc>
          <w:tcPr/>
          <w:p>
            <w:pPr>
              <w:pStyle w:val="Compact"/>
            </w:pPr>
            <w:r>
              <w:t xml:space="preserve">Logical access, monitoring, change management</w:t>
            </w:r>
          </w:p>
        </w:tc>
        <w:tc>
          <w:tcPr/>
          <w:p>
            <w:pPr>
              <w:pStyle w:val="Compact"/>
            </w:pPr>
            <w:r>
              <w:t xml:space="preserve">Cloud IAM, Cloud Monitoring, IaC-based change control</w:t>
            </w:r>
          </w:p>
        </w:tc>
      </w:tr>
      <w:tr>
        <w:tc>
          <w:tcPr/>
          <w:p>
            <w:pPr>
              <w:pStyle w:val="Compact"/>
            </w:pPr>
            <w:r>
              <w:rPr>
                <w:b/>
                <w:bCs/>
              </w:rPr>
              <w:t xml:space="preserve">NIST SP 800-207</w:t>
            </w:r>
          </w:p>
        </w:tc>
        <w:tc>
          <w:tcPr/>
          <w:p>
            <w:pPr>
              <w:pStyle w:val="Compact"/>
            </w:pPr>
            <w:r>
              <w:t xml:space="preserve">Zero trust — 7 tenets</w:t>
            </w:r>
          </w:p>
        </w:tc>
        <w:tc>
          <w:tcPr/>
          <w:p>
            <w:pPr>
              <w:pStyle w:val="Compact"/>
            </w:pPr>
            <w:r>
              <w:t xml:space="preserve">BeyondCorp Enterprise, continuous evaluation, per-session access</w:t>
            </w:r>
          </w:p>
        </w:tc>
      </w:tr>
    </w:tbl>
    <w:bookmarkEnd w:id="60"/>
    <w:bookmarkStart w:id="61" w:name="defense-in-depth-layers"/>
    <w:p>
      <w:pPr>
        <w:pStyle w:val="Heading3"/>
      </w:pPr>
      <w:r>
        <w:t xml:space="preserve">Defense-in-Depth Layers</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Layer</w:t>
            </w:r>
          </w:p>
        </w:tc>
        <w:tc>
          <w:tcPr/>
          <w:p>
            <w:pPr>
              <w:pStyle w:val="Compact"/>
            </w:pPr>
            <w:r>
              <w:t xml:space="preserve">Controls</w:t>
            </w:r>
          </w:p>
        </w:tc>
      </w:tr>
      <w:tr>
        <w:tc>
          <w:tcPr/>
          <w:p>
            <w:pPr>
              <w:pStyle w:val="Compact"/>
            </w:pPr>
            <w:r>
              <w:rPr>
                <w:b/>
                <w:bCs/>
              </w:rPr>
              <w:t xml:space="preserve">Network</w:t>
            </w:r>
          </w:p>
        </w:tc>
        <w:tc>
          <w:tcPr/>
          <w:p>
            <w:pPr>
              <w:pStyle w:val="Compact"/>
            </w:pPr>
            <w:r>
              <w:t xml:space="preserve">VPC-SC perimeter, Partner Interconnect + IPsec, Cloud Armor WAF (OWASP Top 10 + ML DDoS), deny-all firewall default, no public IPs on services</w:t>
            </w:r>
          </w:p>
        </w:tc>
      </w:tr>
      <w:tr>
        <w:tc>
          <w:tcPr/>
          <w:p>
            <w:pPr>
              <w:pStyle w:val="Compact"/>
            </w:pPr>
            <w:r>
              <w:rPr>
                <w:b/>
                <w:bCs/>
              </w:rPr>
              <w:t xml:space="preserve">Identity</w:t>
            </w:r>
          </w:p>
        </w:tc>
        <w:tc>
          <w:tcPr/>
          <w:p>
            <w:pPr>
              <w:pStyle w:val="Compact"/>
            </w:pPr>
            <w:r>
              <w:t xml:space="preserve">Cloud Identity Platform, OAuth 2.0 + OIDC, SMART on FHIR, MFA (TOTP/FIDO2/biometric), step-up auth, Workload Identity Federation</w:t>
            </w:r>
          </w:p>
        </w:tc>
      </w:tr>
      <w:tr>
        <w:tc>
          <w:tcPr/>
          <w:p>
            <w:pPr>
              <w:pStyle w:val="Compact"/>
            </w:pPr>
            <w:r>
              <w:rPr>
                <w:b/>
                <w:bCs/>
              </w:rPr>
              <w:t xml:space="preserve">Application</w:t>
            </w:r>
          </w:p>
        </w:tc>
        <w:tc>
          <w:tcPr/>
          <w:p>
            <w:pPr>
              <w:pStyle w:val="Compact"/>
            </w:pPr>
            <w:r>
              <w:t xml:space="preserve">Apigee JSON Threat Protection, OpenAPI schema validation, CSP headers, JWT validation centralized at gateway, OWASP Top 10 for web + LLMs</w:t>
            </w:r>
          </w:p>
        </w:tc>
      </w:tr>
      <w:tr>
        <w:tc>
          <w:tcPr/>
          <w:p>
            <w:pPr>
              <w:pStyle w:val="Compact"/>
            </w:pPr>
            <w:r>
              <w:rPr>
                <w:b/>
                <w:bCs/>
              </w:rPr>
              <w:t xml:space="preserve">Data</w:t>
            </w:r>
          </w:p>
        </w:tc>
        <w:tc>
          <w:tcPr/>
          <w:p>
            <w:pPr>
              <w:pStyle w:val="Compact"/>
            </w:pPr>
            <w:r>
              <w:t xml:space="preserve">CMEK (AES-256, separate key rings per classification), TLS 1.2+ in transit, Cloud DLP, BigQuery column-level security, Cloud SQL FORCE RLS, SHA-256 hash-only for SSN</w:t>
            </w:r>
          </w:p>
        </w:tc>
      </w:tr>
      <w:tr>
        <w:tc>
          <w:tcPr/>
          <w:p>
            <w:pPr>
              <w:pStyle w:val="Compact"/>
            </w:pPr>
            <w:r>
              <w:rPr>
                <w:b/>
                <w:bCs/>
              </w:rPr>
              <w:t xml:space="preserve">Monitoring</w:t>
            </w:r>
          </w:p>
        </w:tc>
        <w:tc>
          <w:tcPr/>
          <w:p>
            <w:pPr>
              <w:pStyle w:val="Compact"/>
            </w:pPr>
            <w:r>
              <w:t xml:space="preserve">Cloud Monitoring + Logging + Trace + OpenTelemetry, VPC Flow Logs, HIPAA audit (6-year retention), SIEM integration, anomaly detection, hash-chained controlled substance logs</w:t>
            </w:r>
          </w:p>
        </w:tc>
      </w:tr>
    </w:tbl>
    <w:p>
      <w:r>
        <w:pict>
          <v:rect style="width:0;height:1.5pt" o:hralign="center" o:hrstd="t" o:hr="t"/>
        </w:pict>
      </w:r>
    </w:p>
    <w:bookmarkEnd w:id="61"/>
    <w:bookmarkEnd w:id="62"/>
    <w:bookmarkStart w:id="69" w:name="change-management"/>
    <w:p>
      <w:pPr>
        <w:pStyle w:val="Heading2"/>
      </w:pPr>
      <w:r>
        <w:t xml:space="preserve">5. Change Management</w:t>
      </w:r>
    </w:p>
    <w:bookmarkStart w:id="63" w:name="why-this-matters-more-than-technology"/>
    <w:p>
      <w:pPr>
        <w:pStyle w:val="Heading3"/>
      </w:pPr>
      <w:r>
        <w:t xml:space="preserve">Why This Matters More Than Technology</w:t>
      </w:r>
    </w:p>
    <w:p>
      <w:pPr>
        <w:pStyle w:val="FirstParagraph"/>
      </w:pPr>
      <w:r>
        <w:t xml:space="preserve">Drawing on my experience coaching executives at Mento (100% leadership improvement, 93% performance improvement) and training 100 engineers at Arine on AI-first development practices, I approach change management as the critical path — not an afterthought.</w:t>
      </w:r>
    </w:p>
    <w:p>
      <w:pPr>
        <w:pStyle w:val="BodyText"/>
      </w:pPr>
      <w:r>
        <w:t xml:space="preserve">85% of digital transformation failures are people and process issues, not technology (BCG). This is a human transformation with a technology component — not the other way around. The budget allocation reflects this:</w:t>
      </w:r>
      <w:r>
        <w:t xml:space="preserve"> </w:t>
      </w:r>
      <w:r>
        <w:rPr>
          <w:b/>
          <w:bCs/>
        </w:rPr>
        <w:t xml:space="preserve">15% of program costs</w:t>
      </w:r>
      <w:r>
        <w:t xml:space="preserve"> </w:t>
      </w:r>
      <w:r>
        <w:t xml:space="preserve">directed to change management per Gartner’s recommendation, because projects with excellent change management are</w:t>
      </w:r>
      <w:r>
        <w:t xml:space="preserve"> </w:t>
      </w:r>
      <w:r>
        <w:rPr>
          <w:b/>
          <w:bCs/>
        </w:rPr>
        <w:t xml:space="preserve">7x more likely to meet objectives</w:t>
      </w:r>
      <w:r>
        <w:t xml:space="preserve"> </w:t>
      </w:r>
      <w:r>
        <w:t xml:space="preserve">(Prosci Best Practices, 12th Ed., n=2,600).</w:t>
      </w:r>
    </w:p>
    <w:bookmarkEnd w:id="63"/>
    <w:bookmarkStart w:id="64" w:name="X1be35ddb6e3b2e6a394ed43848711a03cae6f6a"/>
    <w:p>
      <w:pPr>
        <w:pStyle w:val="Heading3"/>
      </w:pPr>
      <w:r>
        <w:t xml:space="preserve">ADKAR Framework Applied to Pharmacy Context</w:t>
      </w:r>
    </w:p>
    <w:p>
      <w:pPr>
        <w:pStyle w:val="FirstParagraph"/>
      </w:pPr>
      <w:r>
        <w:t xml:space="preserve">I apply Prosci’s ADKAR model (Awareness → Desire → Knowledge → Ability → Reinforcement) because it focuses on individual transitions, not organizational theory. Each pharmacy staff member goes through these stages:</w:t>
      </w:r>
    </w:p>
    <w:tbl>
      <w:tblPr>
        <w:tblStyle w:val="Table"/>
        <w:tblW w:type="pct" w:w="5000"/>
        <w:tblLayout w:type="fixed"/>
        <w:tblLook w:firstRow="1" w:lastRow="0" w:firstColumn="0" w:lastColumn="0" w:noHBand="0" w:noVBand="0" w:val="0020"/>
      </w:tblPr>
      <w:tblGrid>
        <w:gridCol w:w="2059"/>
        <w:gridCol w:w="1584"/>
        <w:gridCol w:w="1900"/>
        <w:gridCol w:w="2376"/>
      </w:tblGrid>
      <w:tr>
        <w:trPr>
          <w:tblHeader w:val="on"/>
        </w:trPr>
        <w:tc>
          <w:tcPr/>
          <w:p>
            <w:pPr>
              <w:pStyle w:val="Compact"/>
            </w:pPr>
            <w:r>
              <w:t xml:space="preserve">ADKAR Stage</w:t>
            </w:r>
          </w:p>
        </w:tc>
        <w:tc>
          <w:tcPr/>
          <w:p>
            <w:pPr>
              <w:pStyle w:val="Compact"/>
            </w:pPr>
            <w:r>
              <w:t xml:space="preserve">Timeline</w:t>
            </w:r>
          </w:p>
        </w:tc>
        <w:tc>
          <w:tcPr/>
          <w:p>
            <w:pPr>
              <w:pStyle w:val="Compact"/>
            </w:pPr>
            <w:r>
              <w:t xml:space="preserve">Activities</w:t>
            </w:r>
          </w:p>
        </w:tc>
        <w:tc>
          <w:tcPr/>
          <w:p>
            <w:pPr>
              <w:pStyle w:val="Compact"/>
            </w:pPr>
            <w:r>
              <w:t xml:space="preserve">Persona Focus</w:t>
            </w:r>
          </w:p>
        </w:tc>
      </w:tr>
      <w:tr>
        <w:tc>
          <w:tcPr/>
          <w:p>
            <w:pPr>
              <w:pStyle w:val="Compact"/>
            </w:pPr>
            <w:r>
              <w:rPr>
                <w:b/>
                <w:bCs/>
              </w:rPr>
              <w:t xml:space="preserve">Awareness</w:t>
            </w:r>
          </w:p>
        </w:tc>
        <w:tc>
          <w:tcPr/>
          <w:p>
            <w:pPr>
              <w:pStyle w:val="Compact"/>
            </w:pPr>
            <w:r>
              <w:t xml:space="preserve">Phase 1 (Mo 1-3)</w:t>
            </w:r>
          </w:p>
        </w:tc>
        <w:tc>
          <w:tcPr/>
          <w:p>
            <w:pPr>
              <w:pStyle w:val="Compact"/>
            </w:pPr>
            <w:r>
              <w:t xml:space="preserve">Sponsor coalition (VP PBM Ops, CISO). Town halls explaining</w:t>
            </w:r>
            <w:r>
              <w:t xml:space="preserve"> </w:t>
            </w:r>
            <w:r>
              <w:rPr>
                <w:i/>
                <w:iCs/>
              </w:rPr>
              <w:t xml:space="preserve">why</w:t>
            </w:r>
            <w:r>
              <w:t xml:space="preserve"> </w:t>
            </w:r>
            <w:r>
              <w:t xml:space="preserve">— not just</w:t>
            </w:r>
            <w:r>
              <w:t xml:space="preserve"> </w:t>
            </w:r>
            <w:r>
              <w:t xml:space="preserve">“new system”</w:t>
            </w:r>
            <w:r>
              <w:t xml:space="preserve"> </w:t>
            </w:r>
            <w:r>
              <w:t xml:space="preserve">but</w:t>
            </w:r>
            <w:r>
              <w:t xml:space="preserve"> </w:t>
            </w:r>
            <w:r>
              <w:t xml:space="preserve">“faster onboarding, fewer errors, modern tools.”</w:t>
            </w:r>
          </w:p>
        </w:tc>
        <w:tc>
          <w:tcPr/>
          <w:p>
            <w:pPr>
              <w:pStyle w:val="Compact"/>
            </w:pPr>
            <w:r>
              <w:t xml:space="preserve">Maria (high resistance):</w:t>
            </w:r>
            <w:r>
              <w:t xml:space="preserve"> </w:t>
            </w:r>
            <w:r>
              <w:t xml:space="preserve">“Show me why this is worth my time.”</w:t>
            </w:r>
          </w:p>
        </w:tc>
      </w:tr>
      <w:tr>
        <w:tc>
          <w:tcPr/>
          <w:p>
            <w:pPr>
              <w:pStyle w:val="Compact"/>
            </w:pPr>
            <w:r>
              <w:rPr>
                <w:b/>
                <w:bCs/>
              </w:rPr>
              <w:t xml:space="preserve">Desire</w:t>
            </w:r>
          </w:p>
        </w:tc>
        <w:tc>
          <w:tcPr/>
          <w:p>
            <w:pPr>
              <w:pStyle w:val="Compact"/>
            </w:pPr>
            <w:r>
              <w:t xml:space="preserve">Phase 2 (Mo 4-6)</w:t>
            </w:r>
          </w:p>
        </w:tc>
        <w:tc>
          <w:tcPr/>
          <w:p>
            <w:pPr>
              <w:pStyle w:val="Compact"/>
            </w:pPr>
            <w:r>
              <w:t xml:space="preserve">Pilot with volunteer super-users. Live demos showing split-pane views and command palette. Early wins shared broadly.</w:t>
            </w:r>
          </w:p>
        </w:tc>
        <w:tc>
          <w:tcPr/>
          <w:p>
            <w:pPr>
              <w:pStyle w:val="Compact"/>
            </w:pPr>
            <w:r>
              <w:t xml:space="preserve">Maria:</w:t>
            </w:r>
            <w:r>
              <w:t xml:space="preserve"> </w:t>
            </w:r>
            <w:r>
              <w:t xml:space="preserve">“That split-pane view solves my biggest pain point.”</w:t>
            </w:r>
          </w:p>
        </w:tc>
      </w:tr>
      <w:tr>
        <w:tc>
          <w:tcPr/>
          <w:p>
            <w:pPr>
              <w:pStyle w:val="Compact"/>
            </w:pPr>
            <w:r>
              <w:rPr>
                <w:b/>
                <w:bCs/>
              </w:rPr>
              <w:t xml:space="preserve">Knowledge</w:t>
            </w:r>
          </w:p>
        </w:tc>
        <w:tc>
          <w:tcPr/>
          <w:p>
            <w:pPr>
              <w:pStyle w:val="Compact"/>
            </w:pPr>
            <w:r>
              <w:t xml:space="preserve">Phase 3 (Mo 7-12)</w:t>
            </w:r>
          </w:p>
        </w:tc>
        <w:tc>
          <w:tcPr/>
          <w:p>
            <w:pPr>
              <w:pStyle w:val="Compact"/>
            </w:pPr>
            <w:r>
              <w:t xml:space="preserve">Role-based training curriculum. Training sandbox environment. Keyboard shortcut cheat sheets. LMS modules.</w:t>
            </w:r>
          </w:p>
        </w:tc>
        <w:tc>
          <w:tcPr/>
          <w:p>
            <w:pPr>
              <w:pStyle w:val="Compact"/>
            </w:pPr>
            <w:r>
              <w:t xml:space="preserve">Sofia (new hire): completes onboarding in &lt;10 days vs. 6-8 weeks.</w:t>
            </w:r>
          </w:p>
        </w:tc>
      </w:tr>
      <w:tr>
        <w:tc>
          <w:tcPr/>
          <w:p>
            <w:pPr>
              <w:pStyle w:val="Compact"/>
            </w:pPr>
            <w:r>
              <w:rPr>
                <w:b/>
                <w:bCs/>
              </w:rPr>
              <w:t xml:space="preserve">Ability</w:t>
            </w:r>
          </w:p>
        </w:tc>
        <w:tc>
          <w:tcPr/>
          <w:p>
            <w:pPr>
              <w:pStyle w:val="Compact"/>
            </w:pPr>
            <w:r>
              <w:t xml:space="preserve">Phase 3-4 (Mo 10-15)</w:t>
            </w:r>
          </w:p>
        </w:tc>
        <w:tc>
          <w:tcPr/>
          <w:p>
            <w:pPr>
              <w:pStyle w:val="Compact"/>
            </w:pPr>
            <w:r>
              <w:t xml:space="preserve">Floor support from champion network. Escape hatch available. Coaching for users struggling with transition.</w:t>
            </w:r>
          </w:p>
        </w:tc>
        <w:tc>
          <w:tcPr/>
          <w:p>
            <w:pPr>
              <w:pStyle w:val="Compact"/>
            </w:pPr>
            <w:r>
              <w:t xml:space="preserve">Maria: hits 100+ claims/day on modern UI by month 3.</w:t>
            </w:r>
          </w:p>
        </w:tc>
      </w:tr>
      <w:tr>
        <w:tc>
          <w:tcPr/>
          <w:p>
            <w:pPr>
              <w:pStyle w:val="Compact"/>
            </w:pPr>
            <w:r>
              <w:rPr>
                <w:b/>
                <w:bCs/>
              </w:rPr>
              <w:t xml:space="preserve">Reinforcement</w:t>
            </w:r>
          </w:p>
        </w:tc>
        <w:tc>
          <w:tcPr/>
          <w:p>
            <w:pPr>
              <w:pStyle w:val="Compact"/>
            </w:pPr>
            <w:r>
              <w:t xml:space="preserve">Phase 4 (Mo 16-18)</w:t>
            </w:r>
          </w:p>
        </w:tc>
        <w:tc>
          <w:tcPr/>
          <w:p>
            <w:pPr>
              <w:pStyle w:val="Compact"/>
            </w:pPr>
            <w:r>
              <w:t xml:space="preserve">Adoption metrics dashboards. Recognition for champions. Escape hatch sunset. Performance management integration.</w:t>
            </w:r>
          </w:p>
        </w:tc>
        <w:tc>
          <w:tcPr/>
          <w:p>
            <w:pPr>
              <w:pStyle w:val="Compact"/>
            </w:pPr>
            <w:r>
              <w:t xml:space="preserve">All: adoption &gt;80%, NPS ≥7.</w:t>
            </w:r>
          </w:p>
        </w:tc>
      </w:tr>
    </w:tbl>
    <w:bookmarkEnd w:id="64"/>
    <w:bookmarkStart w:id="65" w:name="champion-network"/>
    <w:p>
      <w:pPr>
        <w:pStyle w:val="Heading3"/>
      </w:pPr>
      <w:r>
        <w:t xml:space="preserve">Champion Network</w:t>
      </w:r>
    </w:p>
    <w:p>
      <w:pPr>
        <w:pStyle w:val="FirstParagraph"/>
      </w:pPr>
      <w:r>
        <w:t xml:space="preserve">Champions are volunteer super-users who bridge the gap between the project team and the pharmacy floor:</w:t>
      </w:r>
    </w:p>
    <w:tbl>
      <w:tblPr>
        <w:tblStyle w:val="Table"/>
        <w:tblW w:type="pct" w:w="5000"/>
        <w:tblLayout w:type="fixed"/>
        <w:tblLook w:firstRow="1" w:lastRow="0" w:firstColumn="0" w:lastColumn="0" w:noHBand="0" w:noVBand="0" w:val="0020"/>
      </w:tblPr>
      <w:tblGrid>
        <w:gridCol w:w="2754"/>
        <w:gridCol w:w="2754"/>
        <w:gridCol w:w="2410"/>
      </w:tblGrid>
      <w:tr>
        <w:trPr>
          <w:tblHeader w:val="on"/>
        </w:trPr>
        <w:tc>
          <w:tcPr/>
          <w:p>
            <w:pPr>
              <w:pStyle w:val="Compact"/>
            </w:pPr>
            <w:r>
              <w:t xml:space="preserve">Metric</w:t>
            </w:r>
          </w:p>
        </w:tc>
        <w:tc>
          <w:tcPr/>
          <w:p>
            <w:pPr>
              <w:pStyle w:val="Compact"/>
            </w:pPr>
            <w:r>
              <w:t xml:space="preserve">Target</w:t>
            </w:r>
          </w:p>
        </w:tc>
        <w:tc>
          <w:tcPr/>
          <w:p>
            <w:pPr>
              <w:pStyle w:val="Compact"/>
            </w:pPr>
            <w:r>
              <w:t xml:space="preserve">Basis</w:t>
            </w:r>
          </w:p>
        </w:tc>
      </w:tr>
      <w:tr>
        <w:tc>
          <w:tcPr/>
          <w:p>
            <w:pPr>
              <w:pStyle w:val="Compact"/>
            </w:pPr>
            <w:r>
              <w:t xml:space="preserve">Champion ratio</w:t>
            </w:r>
          </w:p>
        </w:tc>
        <w:tc>
          <w:tcPr/>
          <w:p>
            <w:pPr>
              <w:pStyle w:val="Compact"/>
            </w:pPr>
            <w:r>
              <w:t xml:space="preserve">1:7 to 1:10 (champions : users)</w:t>
            </w:r>
          </w:p>
        </w:tc>
        <w:tc>
          <w:tcPr/>
          <w:p>
            <w:pPr>
              <w:pStyle w:val="Compact"/>
            </w:pPr>
            <w:r>
              <w:t xml:space="preserve">Yuan et al., 2015 — optimal adoption ratio</w:t>
            </w:r>
          </w:p>
        </w:tc>
      </w:tr>
      <w:tr>
        <w:tc>
          <w:tcPr/>
          <w:p>
            <w:pPr>
              <w:pStyle w:val="Compact"/>
            </w:pPr>
            <w:r>
              <w:t xml:space="preserve">Phase 2 champions</w:t>
            </w:r>
          </w:p>
        </w:tc>
        <w:tc>
          <w:tcPr/>
          <w:p>
            <w:pPr>
              <w:pStyle w:val="Compact"/>
            </w:pPr>
            <w:r>
              <w:t xml:space="preserve">5-10 pilot super-users</w:t>
            </w:r>
          </w:p>
        </w:tc>
        <w:tc>
          <w:tcPr/>
          <w:p>
            <w:pPr>
              <w:pStyle w:val="Compact"/>
            </w:pPr>
            <w:r>
              <w:t xml:space="preserve">Pilot locations</w:t>
            </w:r>
          </w:p>
        </w:tc>
      </w:tr>
      <w:tr>
        <w:tc>
          <w:tcPr/>
          <w:p>
            <w:pPr>
              <w:pStyle w:val="Compact"/>
            </w:pPr>
            <w:r>
              <w:t xml:space="preserve">Phase 3 champions</w:t>
            </w:r>
          </w:p>
        </w:tc>
        <w:tc>
          <w:tcPr/>
          <w:p>
            <w:pPr>
              <w:pStyle w:val="Compact"/>
            </w:pPr>
            <w:r>
              <w:t xml:space="preserve">100+ super-users</w:t>
            </w:r>
          </w:p>
        </w:tc>
        <w:tc>
          <w:tcPr/>
          <w:p>
            <w:pPr>
              <w:pStyle w:val="Compact"/>
            </w:pPr>
            <w:r>
              <w:t xml:space="preserve">Full training rollout</w:t>
            </w:r>
          </w:p>
        </w:tc>
      </w:tr>
      <w:tr>
        <w:tc>
          <w:tcPr/>
          <w:p>
            <w:pPr>
              <w:pStyle w:val="Compact"/>
            </w:pPr>
            <w:r>
              <w:t xml:space="preserve">Champion role</w:t>
            </w:r>
          </w:p>
        </w:tc>
        <w:tc>
          <w:tcPr/>
          <w:p>
            <w:pPr>
              <w:pStyle w:val="Compact"/>
            </w:pPr>
            <w:r>
              <w:t xml:space="preserve">Floor support, feedback collection, peer coaching</w:t>
            </w:r>
          </w:p>
        </w:tc>
        <w:tc>
          <w:tcPr/>
          <w:p>
            <w:pPr>
              <w:pStyle w:val="Compact"/>
            </w:pPr>
            <w:r>
              <w:t xml:space="preserve">Not management — peer advocates</w:t>
            </w:r>
          </w:p>
        </w:tc>
      </w:tr>
    </w:tbl>
    <w:bookmarkEnd w:id="65"/>
    <w:bookmarkStart w:id="66" w:name="persona-to-resistance-mapping"/>
    <w:p>
      <w:pPr>
        <w:pStyle w:val="Heading3"/>
      </w:pPr>
      <w:r>
        <w:t xml:space="preserve">Persona-to-Resistance Mapping</w:t>
      </w:r>
    </w:p>
    <w:tbl>
      <w:tblPr>
        <w:tblStyle w:val="Table"/>
        <w:tblW w:type="pct" w:w="5000"/>
        <w:tblLayout w:type="fixed"/>
        <w:tblLook w:firstRow="1" w:lastRow="0" w:firstColumn="0" w:lastColumn="0" w:noHBand="0" w:noVBand="0" w:val="0020"/>
      </w:tblPr>
      <w:tblGrid>
        <w:gridCol w:w="1208"/>
        <w:gridCol w:w="2282"/>
        <w:gridCol w:w="1610"/>
        <w:gridCol w:w="2818"/>
      </w:tblGrid>
      <w:tr>
        <w:trPr>
          <w:tblHeader w:val="on"/>
        </w:trPr>
        <w:tc>
          <w:tcPr/>
          <w:p>
            <w:pPr>
              <w:pStyle w:val="Compact"/>
            </w:pPr>
            <w:r>
              <w:t xml:space="preserve">Persona</w:t>
            </w:r>
          </w:p>
        </w:tc>
        <w:tc>
          <w:tcPr/>
          <w:p>
            <w:pPr>
              <w:pStyle w:val="Compact"/>
            </w:pPr>
            <w:r>
              <w:t xml:space="preserve">Resistance Level</w:t>
            </w:r>
          </w:p>
        </w:tc>
        <w:tc>
          <w:tcPr/>
          <w:p>
            <w:pPr>
              <w:pStyle w:val="Compact"/>
            </w:pPr>
            <w:r>
              <w:t xml:space="preserve">Root Cause</w:t>
            </w:r>
          </w:p>
        </w:tc>
        <w:tc>
          <w:tcPr/>
          <w:p>
            <w:pPr>
              <w:pStyle w:val="Compact"/>
            </w:pPr>
            <w:r>
              <w:t xml:space="preserve">Mitigation Strategy</w:t>
            </w:r>
          </w:p>
        </w:tc>
      </w:tr>
      <w:tr>
        <w:tc>
          <w:tcPr/>
          <w:p>
            <w:pPr>
              <w:pStyle w:val="Compact"/>
            </w:pPr>
            <w:r>
              <w:t xml:space="preserve">Maria Torres (Claims)</w:t>
            </w:r>
          </w:p>
        </w:tc>
        <w:tc>
          <w:tcPr/>
          <w:p>
            <w:pPr>
              <w:pStyle w:val="Compact"/>
            </w:pPr>
            <w:r>
              <w:t xml:space="preserve">HIGH</w:t>
            </w:r>
          </w:p>
        </w:tc>
        <w:tc>
          <w:tcPr/>
          <w:p>
            <w:pPr>
              <w:pStyle w:val="Compact"/>
            </w:pPr>
            <w:r>
              <w:t xml:space="preserve">“I’m faster on green screen”</w:t>
            </w:r>
            <w:r>
              <w:t xml:space="preserve"> </w:t>
            </w:r>
            <w:r>
              <w:t xml:space="preserve">— identity tied to expertise</w:t>
            </w:r>
          </w:p>
        </w:tc>
        <w:tc>
          <w:tcPr/>
          <w:p>
            <w:pPr>
              <w:pStyle w:val="Compact"/>
            </w:pPr>
            <w:r>
              <w:t xml:space="preserve">Speed parity demo. Command palette maps her mental model. Involve her in design.</w:t>
            </w:r>
          </w:p>
        </w:tc>
      </w:tr>
      <w:tr>
        <w:tc>
          <w:tcPr/>
          <w:p>
            <w:pPr>
              <w:pStyle w:val="Compact"/>
            </w:pPr>
            <w:r>
              <w:t xml:space="preserve">Dr. James Chen (Pharmacist)</w:t>
            </w:r>
          </w:p>
        </w:tc>
        <w:tc>
          <w:tcPr/>
          <w:p>
            <w:pPr>
              <w:pStyle w:val="Compact"/>
            </w:pPr>
            <w:r>
              <w:t xml:space="preserve">MODERATE</w:t>
            </w:r>
          </w:p>
        </w:tc>
        <w:tc>
          <w:tcPr/>
          <w:p>
            <w:pPr>
              <w:pStyle w:val="Compact"/>
            </w:pPr>
            <w:r>
              <w:t xml:space="preserve">Will adopt if tools are genuinely better</w:t>
            </w:r>
          </w:p>
        </w:tc>
        <w:tc>
          <w:tcPr/>
          <w:p>
            <w:pPr>
              <w:pStyle w:val="Compact"/>
            </w:pPr>
            <w:r>
              <w:t xml:space="preserve">GenAI recommendation panel as concrete value. Side-by-side clinical data.</w:t>
            </w:r>
          </w:p>
        </w:tc>
      </w:tr>
      <w:tr>
        <w:tc>
          <w:tcPr/>
          <w:p>
            <w:pPr>
              <w:pStyle w:val="Compact"/>
            </w:pPr>
            <w:r>
              <w:t xml:space="preserve">Angela Washington (Benefits)</w:t>
            </w:r>
          </w:p>
        </w:tc>
        <w:tc>
          <w:tcPr/>
          <w:p>
            <w:pPr>
              <w:pStyle w:val="Compact"/>
            </w:pPr>
            <w:r>
              <w:t xml:space="preserve">LOW</w:t>
            </w:r>
          </w:p>
        </w:tc>
        <w:tc>
          <w:tcPr/>
          <w:p>
            <w:pPr>
              <w:pStyle w:val="Compact"/>
            </w:pPr>
            <w:r>
              <w:t xml:space="preserve">Already uses modern tools (myPBM)</w:t>
            </w:r>
          </w:p>
        </w:tc>
        <w:tc>
          <w:tcPr/>
          <w:p>
            <w:pPr>
              <w:pStyle w:val="Compact"/>
            </w:pPr>
            <w:r>
              <w:t xml:space="preserve">Design consistency with myPBM. Quick win.</w:t>
            </w:r>
          </w:p>
        </w:tc>
      </w:tr>
      <w:tr>
        <w:tc>
          <w:tcPr/>
          <w:p>
            <w:pPr>
              <w:pStyle w:val="Compact"/>
            </w:pPr>
            <w:r>
              <w:t xml:space="preserve">Raj Patel (IT Admin)</w:t>
            </w:r>
          </w:p>
        </w:tc>
        <w:tc>
          <w:tcPr/>
          <w:p>
            <w:pPr>
              <w:pStyle w:val="Compact"/>
            </w:pPr>
            <w:r>
              <w:t xml:space="preserve">LOW</w:t>
            </w:r>
          </w:p>
        </w:tc>
        <w:tc>
          <w:tcPr/>
          <w:p>
            <w:pPr>
              <w:pStyle w:val="Compact"/>
            </w:pPr>
            <w:r>
              <w:t xml:space="preserve">Actively wants modernization</w:t>
            </w:r>
          </w:p>
        </w:tc>
        <w:tc>
          <w:tcPr/>
          <w:p>
            <w:pPr>
              <w:pStyle w:val="Compact"/>
            </w:pPr>
            <w:r>
              <w:t xml:space="preserve">Unified IAM dashboard. Automated provisioning.</w:t>
            </w:r>
          </w:p>
        </w:tc>
      </w:tr>
      <w:tr>
        <w:tc>
          <w:tcPr/>
          <w:p>
            <w:pPr>
              <w:pStyle w:val="Compact"/>
            </w:pPr>
            <w:r>
              <w:t xml:space="preserve">Sofia Martinez (New Hire)</w:t>
            </w:r>
          </w:p>
        </w:tc>
        <w:tc>
          <w:tcPr/>
          <w:p>
            <w:pPr>
              <w:pStyle w:val="Compact"/>
            </w:pPr>
            <w:r>
              <w:t xml:space="preserve">NONE</w:t>
            </w:r>
          </w:p>
        </w:tc>
        <w:tc>
          <w:tcPr/>
          <w:p>
            <w:pPr>
              <w:pStyle w:val="Compact"/>
            </w:pPr>
            <w:r>
              <w:t xml:space="preserve">Never used green screen</w:t>
            </w:r>
          </w:p>
        </w:tc>
        <w:tc>
          <w:tcPr/>
          <w:p>
            <w:pPr>
              <w:pStyle w:val="Compact"/>
            </w:pPr>
            <w:r>
              <w:t xml:space="preserve">The</w:t>
            </w:r>
            <w:r>
              <w:t xml:space="preserve"> </w:t>
            </w:r>
            <w:r>
              <w:t xml:space="preserve">“canary in the coal mine”</w:t>
            </w:r>
            <w:r>
              <w:t xml:space="preserve"> </w:t>
            </w:r>
            <w:r>
              <w:t xml:space="preserve">— if she can’t onboard in 10 days, the UX needs work.</w:t>
            </w:r>
          </w:p>
        </w:tc>
      </w:tr>
    </w:tbl>
    <w:bookmarkEnd w:id="66"/>
    <w:bookmarkStart w:id="67" w:name="adoption-metrics"/>
    <w:p>
      <w:pPr>
        <w:pStyle w:val="Heading3"/>
      </w:pPr>
      <w:r>
        <w:t xml:space="preserve">Adoption Metrics</w:t>
      </w:r>
    </w:p>
    <w:tbl>
      <w:tblPr>
        <w:tblStyle w:val="Table"/>
        <w:tblW w:type="pct" w:w="5000"/>
        <w:tblLayout w:type="fixed"/>
        <w:tblLook w:firstRow="1" w:lastRow="0" w:firstColumn="0" w:lastColumn="0" w:noHBand="0" w:noVBand="0" w:val="0020"/>
      </w:tblPr>
      <w:tblGrid>
        <w:gridCol w:w="1508"/>
        <w:gridCol w:w="1508"/>
        <w:gridCol w:w="4902"/>
      </w:tblGrid>
      <w:tr>
        <w:trPr>
          <w:tblHeader w:val="on"/>
        </w:trPr>
        <w:tc>
          <w:tcPr/>
          <w:p>
            <w:pPr>
              <w:pStyle w:val="Compact"/>
            </w:pPr>
            <w:r>
              <w:t xml:space="preserve">Metric</w:t>
            </w:r>
          </w:p>
        </w:tc>
        <w:tc>
          <w:tcPr/>
          <w:p>
            <w:pPr>
              <w:pStyle w:val="Compact"/>
            </w:pPr>
            <w:r>
              <w:t xml:space="preserve">Target</w:t>
            </w:r>
          </w:p>
        </w:tc>
        <w:tc>
          <w:tcPr/>
          <w:p>
            <w:pPr>
              <w:pStyle w:val="Compact"/>
            </w:pPr>
            <w:r>
              <w:t xml:space="preserve">Trigger for Intervention</w:t>
            </w:r>
          </w:p>
        </w:tc>
      </w:tr>
      <w:tr>
        <w:tc>
          <w:tcPr/>
          <w:p>
            <w:pPr>
              <w:pStyle w:val="Compact"/>
            </w:pPr>
            <w:r>
              <w:t xml:space="preserve">Escape hatch usage</w:t>
            </w:r>
          </w:p>
        </w:tc>
        <w:tc>
          <w:tcPr/>
          <w:p>
            <w:pPr>
              <w:pStyle w:val="Compact"/>
            </w:pPr>
            <w:r>
              <w:t xml:space="preserve">&lt;20% by month 6, &lt;10% by month 12</w:t>
            </w:r>
          </w:p>
        </w:tc>
        <w:tc>
          <w:tcPr/>
          <w:p>
            <w:pPr>
              <w:pStyle w:val="Compact"/>
            </w:pPr>
            <w:r>
              <w:t xml:space="preserve">&gt;30% after 4 weeks in any module</w:t>
            </w:r>
          </w:p>
        </w:tc>
      </w:tr>
      <w:tr>
        <w:tc>
          <w:tcPr/>
          <w:p>
            <w:pPr>
              <w:pStyle w:val="Compact"/>
            </w:pPr>
            <w:r>
              <w:t xml:space="preserve">User adoption rate</w:t>
            </w:r>
          </w:p>
        </w:tc>
        <w:tc>
          <w:tcPr/>
          <w:p>
            <w:pPr>
              <w:pStyle w:val="Compact"/>
            </w:pPr>
            <w:r>
              <w:t xml:space="preserve">&gt;80% within 6 months (SC-004)</w:t>
            </w:r>
          </w:p>
        </w:tc>
        <w:tc>
          <w:tcPr/>
          <w:p>
            <w:pPr>
              <w:pStyle w:val="Compact"/>
            </w:pPr>
            <w:r>
              <w:t xml:space="preserve">&lt;60% at month 4</w:t>
            </w:r>
          </w:p>
        </w:tc>
      </w:tr>
      <w:tr>
        <w:tc>
          <w:tcPr/>
          <w:p>
            <w:pPr>
              <w:pStyle w:val="Compact"/>
            </w:pPr>
            <w:r>
              <w:t xml:space="preserve">Claims per hour (Maria)</w:t>
            </w:r>
          </w:p>
        </w:tc>
        <w:tc>
          <w:tcPr/>
          <w:p>
            <w:pPr>
              <w:pStyle w:val="Compact"/>
            </w:pPr>
            <w:r>
              <w:t xml:space="preserve">≥ pre-transition baseline</w:t>
            </w:r>
          </w:p>
        </w:tc>
        <w:tc>
          <w:tcPr/>
          <w:p>
            <w:pPr>
              <w:pStyle w:val="Compact"/>
            </w:pPr>
            <w:r>
              <w:t xml:space="preserve">Any sustained decrease</w:t>
            </w:r>
          </w:p>
        </w:tc>
      </w:tr>
      <w:tr>
        <w:tc>
          <w:tcPr/>
          <w:p>
            <w:pPr>
              <w:pStyle w:val="Compact"/>
            </w:pPr>
            <w:r>
              <w:t xml:space="preserve">New hire onboarding</w:t>
            </w:r>
          </w:p>
        </w:tc>
        <w:tc>
          <w:tcPr/>
          <w:p>
            <w:pPr>
              <w:pStyle w:val="Compact"/>
            </w:pPr>
            <w:r>
              <w:t xml:space="preserve">&lt;10 days to independent operation (SC-001)</w:t>
            </w:r>
          </w:p>
        </w:tc>
        <w:tc>
          <w:tcPr/>
          <w:p>
            <w:pPr>
              <w:pStyle w:val="Compact"/>
            </w:pPr>
            <w:r>
              <w:t xml:space="preserve">&gt;15 days average</w:t>
            </w:r>
          </w:p>
        </w:tc>
      </w:tr>
      <w:tr>
        <w:tc>
          <w:tcPr/>
          <w:p>
            <w:pPr>
              <w:pStyle w:val="Compact"/>
            </w:pPr>
            <w:r>
              <w:t xml:space="preserve">NPS score</w:t>
            </w:r>
          </w:p>
        </w:tc>
        <w:tc>
          <w:tcPr/>
          <w:p>
            <w:pPr>
              <w:pStyle w:val="Compact"/>
            </w:pPr>
            <w:r>
              <w:t xml:space="preserve">≥7/10 within 6 months (SC-008)</w:t>
            </w:r>
          </w:p>
        </w:tc>
        <w:tc>
          <w:tcPr/>
          <w:p>
            <w:pPr>
              <w:pStyle w:val="Compact"/>
            </w:pPr>
            <w:r>
              <w:t xml:space="preserve">&lt;5 at month 4</w:t>
            </w:r>
          </w:p>
        </w:tc>
      </w:tr>
      <w:tr>
        <w:tc>
          <w:tcPr/>
          <w:p>
            <w:pPr>
              <w:pStyle w:val="Compact"/>
            </w:pPr>
            <w:r>
              <w:t xml:space="preserve">Error rate reduction</w:t>
            </w:r>
          </w:p>
        </w:tc>
        <w:tc>
          <w:tcPr/>
          <w:p>
            <w:pPr>
              <w:pStyle w:val="Compact"/>
            </w:pPr>
            <w:r>
              <w:t xml:space="preserve">40% fewer data entry errors (SC-002)</w:t>
            </w:r>
          </w:p>
        </w:tc>
        <w:tc>
          <w:tcPr/>
          <w:p>
            <w:pPr>
              <w:pStyle w:val="Compact"/>
            </w:pPr>
            <w:r>
              <w:t xml:space="preserve">&lt;20% reduction at month 6</w:t>
            </w:r>
          </w:p>
        </w:tc>
      </w:tr>
    </w:tbl>
    <w:bookmarkEnd w:id="67"/>
    <w:bookmarkStart w:id="68" w:name="training-program"/>
    <w:p>
      <w:pPr>
        <w:pStyle w:val="Heading3"/>
      </w:pPr>
      <w:r>
        <w:t xml:space="preserve">Training Program</w:t>
      </w:r>
    </w:p>
    <w:tbl>
      <w:tblPr>
        <w:tblStyle w:val="Table"/>
        <w:tblW w:type="pct" w:w="5000"/>
        <w:tblLayout w:type="fixed"/>
        <w:tblLook w:firstRow="1" w:lastRow="0" w:firstColumn="0" w:lastColumn="0" w:noHBand="0" w:noVBand="0" w:val="0020"/>
      </w:tblPr>
      <w:tblGrid>
        <w:gridCol w:w="2140"/>
        <w:gridCol w:w="1712"/>
        <w:gridCol w:w="2140"/>
        <w:gridCol w:w="1926"/>
      </w:tblGrid>
      <w:tr>
        <w:trPr>
          <w:tblHeader w:val="on"/>
        </w:trPr>
        <w:tc>
          <w:tcPr/>
          <w:p>
            <w:pPr>
              <w:pStyle w:val="Compact"/>
            </w:pPr>
            <w:r>
              <w:t xml:space="preserve">Audience</w:t>
            </w:r>
          </w:p>
        </w:tc>
        <w:tc>
          <w:tcPr/>
          <w:p>
            <w:pPr>
              <w:pStyle w:val="Compact"/>
            </w:pPr>
            <w:r>
              <w:t xml:space="preserve">Format</w:t>
            </w:r>
          </w:p>
        </w:tc>
        <w:tc>
          <w:tcPr/>
          <w:p>
            <w:pPr>
              <w:pStyle w:val="Compact"/>
            </w:pPr>
            <w:r>
              <w:t xml:space="preserve">Duration</w:t>
            </w:r>
          </w:p>
        </w:tc>
        <w:tc>
          <w:tcPr/>
          <w:p>
            <w:pPr>
              <w:pStyle w:val="Compact"/>
            </w:pPr>
            <w:r>
              <w:t xml:space="preserve">Content</w:t>
            </w:r>
          </w:p>
        </w:tc>
      </w:tr>
      <w:tr>
        <w:tc>
          <w:tcPr/>
          <w:p>
            <w:pPr>
              <w:pStyle w:val="Compact"/>
            </w:pPr>
            <w:r>
              <w:t xml:space="preserve">Expert green screen users</w:t>
            </w:r>
          </w:p>
        </w:tc>
        <w:tc>
          <w:tcPr/>
          <w:p>
            <w:pPr>
              <w:pStyle w:val="Compact"/>
            </w:pPr>
            <w:r>
              <w:t xml:space="preserve">Hands-on workshop + floor coaching</w:t>
            </w:r>
          </w:p>
        </w:tc>
        <w:tc>
          <w:tcPr/>
          <w:p>
            <w:pPr>
              <w:pStyle w:val="Compact"/>
            </w:pPr>
            <w:r>
              <w:t xml:space="preserve">2 days + 4 weeks support</w:t>
            </w:r>
          </w:p>
        </w:tc>
        <w:tc>
          <w:tcPr/>
          <w:p>
            <w:pPr>
              <w:pStyle w:val="Compact"/>
            </w:pPr>
            <w:r>
              <w:t xml:space="preserve">Command palette, keyboard shortcuts, split-pane, escape hatch</w:t>
            </w:r>
          </w:p>
        </w:tc>
      </w:tr>
      <w:tr>
        <w:tc>
          <w:tcPr/>
          <w:p>
            <w:pPr>
              <w:pStyle w:val="Compact"/>
            </w:pPr>
            <w:r>
              <w:t xml:space="preserve">Clinical pharmacists</w:t>
            </w:r>
          </w:p>
        </w:tc>
        <w:tc>
          <w:tcPr/>
          <w:p>
            <w:pPr>
              <w:pStyle w:val="Compact"/>
            </w:pPr>
            <w:r>
              <w:t xml:space="preserve">Role-specific workshop</w:t>
            </w:r>
          </w:p>
        </w:tc>
        <w:tc>
          <w:tcPr/>
          <w:p>
            <w:pPr>
              <w:pStyle w:val="Compact"/>
            </w:pPr>
            <w:r>
              <w:t xml:space="preserve">1 day + GenAI training</w:t>
            </w:r>
          </w:p>
        </w:tc>
        <w:tc>
          <w:tcPr/>
          <w:p>
            <w:pPr>
              <w:pStyle w:val="Compact"/>
            </w:pPr>
            <w:r>
              <w:t xml:space="preserve">GenAI recommendation panel, PA workflow, HITL review</w:t>
            </w:r>
          </w:p>
        </w:tc>
      </w:tr>
      <w:tr>
        <w:tc>
          <w:tcPr/>
          <w:p>
            <w:pPr>
              <w:pStyle w:val="Compact"/>
            </w:pPr>
            <w:r>
              <w:t xml:space="preserve">Benefits analysts</w:t>
            </w:r>
          </w:p>
        </w:tc>
        <w:tc>
          <w:tcPr/>
          <w:p>
            <w:pPr>
              <w:pStyle w:val="Compact"/>
            </w:pPr>
            <w:r>
              <w:t xml:space="preserve">Self-paced LMS + workshop</w:t>
            </w:r>
          </w:p>
        </w:tc>
        <w:tc>
          <w:tcPr/>
          <w:p>
            <w:pPr>
              <w:pStyle w:val="Compact"/>
            </w:pPr>
            <w:r>
              <w:t xml:space="preserve">1 day</w:t>
            </w:r>
          </w:p>
        </w:tc>
        <w:tc>
          <w:tcPr/>
          <w:p>
            <w:pPr>
              <w:pStyle w:val="Compact"/>
            </w:pPr>
            <w:r>
              <w:t xml:space="preserve">Dashboard navigation, plan wizard, myPBM consistency</w:t>
            </w:r>
          </w:p>
        </w:tc>
      </w:tr>
      <w:tr>
        <w:tc>
          <w:tcPr/>
          <w:p>
            <w:pPr>
              <w:pStyle w:val="Compact"/>
            </w:pPr>
            <w:r>
              <w:t xml:space="preserve">IT administrators</w:t>
            </w:r>
          </w:p>
        </w:tc>
        <w:tc>
          <w:tcPr/>
          <w:p>
            <w:pPr>
              <w:pStyle w:val="Compact"/>
            </w:pPr>
            <w:r>
              <w:t xml:space="preserve">Technical training</w:t>
            </w:r>
          </w:p>
        </w:tc>
        <w:tc>
          <w:tcPr/>
          <w:p>
            <w:pPr>
              <w:pStyle w:val="Compact"/>
            </w:pPr>
            <w:r>
              <w:t xml:space="preserve">2 days</w:t>
            </w:r>
          </w:p>
        </w:tc>
        <w:tc>
          <w:tcPr/>
          <w:p>
            <w:pPr>
              <w:pStyle w:val="Compact"/>
            </w:pPr>
            <w:r>
              <w:t xml:space="preserve">IAM dashboard, provisioning, monitoring, break-glass</w:t>
            </w:r>
          </w:p>
        </w:tc>
      </w:tr>
      <w:tr>
        <w:tc>
          <w:tcPr/>
          <w:p>
            <w:pPr>
              <w:pStyle w:val="Compact"/>
            </w:pPr>
            <w:r>
              <w:t xml:space="preserve">New hires</w:t>
            </w:r>
          </w:p>
        </w:tc>
        <w:tc>
          <w:tcPr/>
          <w:p>
            <w:pPr>
              <w:pStyle w:val="Compact"/>
            </w:pPr>
            <w:r>
              <w:t xml:space="preserve">Integrated onboarding</w:t>
            </w:r>
          </w:p>
        </w:tc>
        <w:tc>
          <w:tcPr/>
          <w:p>
            <w:pPr>
              <w:pStyle w:val="Compact"/>
            </w:pPr>
            <w:r>
              <w:t xml:space="preserve">&lt;10 days</w:t>
            </w:r>
          </w:p>
        </w:tc>
        <w:tc>
          <w:tcPr/>
          <w:p>
            <w:pPr>
              <w:pStyle w:val="Compact"/>
            </w:pPr>
            <w:r>
              <w:t xml:space="preserve">Guided workflows, contextual help, progressive discovery</w:t>
            </w:r>
          </w:p>
        </w:tc>
      </w:tr>
    </w:tbl>
    <w:p>
      <w:r>
        <w:pict>
          <v:rect style="width:0;height:1.5pt" o:hralign="center" o:hrstd="t" o:hr="t"/>
        </w:pict>
      </w:r>
    </w:p>
    <w:bookmarkEnd w:id="68"/>
    <w:bookmarkEnd w:id="69"/>
    <w:bookmarkStart w:id="76" w:name="implementation-roadmap"/>
    <w:p>
      <w:pPr>
        <w:pStyle w:val="Heading2"/>
      </w:pPr>
      <w:r>
        <w:t xml:space="preserve">6. Implementation Roadmap</w:t>
      </w:r>
    </w:p>
    <w:bookmarkStart w:id="70" w:name="four-phase-overview"/>
    <w:p>
      <w:pPr>
        <w:pStyle w:val="Heading3"/>
      </w:pPr>
      <w:r>
        <w:t xml:space="preserve">Four-Phase Overview</w:t>
      </w:r>
    </w:p>
    <w:tbl>
      <w:tblPr>
        <w:tblStyle w:val="Table"/>
        <w:tblW w:type="pct" w:w="5000"/>
        <w:tblLayout w:type="fixed"/>
        <w:tblLook w:firstRow="1" w:lastRow="0" w:firstColumn="0" w:lastColumn="0" w:noHBand="0" w:noVBand="0" w:val="0020"/>
      </w:tblPr>
      <w:tblGrid>
        <w:gridCol w:w="1108"/>
        <w:gridCol w:w="1584"/>
        <w:gridCol w:w="1108"/>
        <w:gridCol w:w="1742"/>
        <w:gridCol w:w="2376"/>
      </w:tblGrid>
      <w:tr>
        <w:trPr>
          <w:tblHeader w:val="on"/>
        </w:trPr>
        <w:tc>
          <w:tcPr/>
          <w:p>
            <w:pPr>
              <w:pStyle w:val="Compact"/>
            </w:pPr>
            <w:r>
              <w:t xml:space="preserve">Phase</w:t>
            </w:r>
          </w:p>
        </w:tc>
        <w:tc>
          <w:tcPr/>
          <w:p>
            <w:pPr>
              <w:pStyle w:val="Compact"/>
            </w:pPr>
            <w:r>
              <w:t xml:space="preserve">Timeline</w:t>
            </w:r>
          </w:p>
        </w:tc>
        <w:tc>
          <w:tcPr/>
          <w:p>
            <w:pPr>
              <w:pStyle w:val="Compact"/>
            </w:pPr>
            <w:r>
              <w:t xml:space="preserve">Focus</w:t>
            </w:r>
          </w:p>
        </w:tc>
        <w:tc>
          <w:tcPr/>
          <w:p>
            <w:pPr>
              <w:pStyle w:val="Compact"/>
            </w:pPr>
            <w:r>
              <w:t xml:space="preserve">Team Size</w:t>
            </w:r>
          </w:p>
        </w:tc>
        <w:tc>
          <w:tcPr/>
          <w:p>
            <w:pPr>
              <w:pStyle w:val="Compact"/>
            </w:pPr>
            <w:r>
              <w:t xml:space="preserve">Decision Gate</w:t>
            </w:r>
          </w:p>
        </w:tc>
      </w:tr>
      <w:tr>
        <w:tc>
          <w:tcPr/>
          <w:p>
            <w:pPr>
              <w:pStyle w:val="Compact"/>
            </w:pPr>
            <w:r>
              <w:t xml:space="preserve">1. Foundation</w:t>
            </w:r>
          </w:p>
        </w:tc>
        <w:tc>
          <w:tcPr/>
          <w:p>
            <w:pPr>
              <w:pStyle w:val="Compact"/>
            </w:pPr>
            <w:r>
              <w:t xml:space="preserve">Weeks 1-13</w:t>
            </w:r>
          </w:p>
        </w:tc>
        <w:tc>
          <w:tcPr/>
          <w:p>
            <w:pPr>
              <w:pStyle w:val="Compact"/>
            </w:pPr>
            <w:r>
              <w:t xml:space="preserve">GCP infrastructure, IWS first API, SSO, CDC POC, React shell</w:t>
            </w:r>
          </w:p>
        </w:tc>
        <w:tc>
          <w:tcPr/>
          <w:p>
            <w:pPr>
              <w:pStyle w:val="Compact"/>
            </w:pPr>
            <w:r>
              <w:t xml:space="preserve">~9 FTE</w:t>
            </w:r>
          </w:p>
        </w:tc>
        <w:tc>
          <w:tcPr/>
          <w:p>
            <w:pPr>
              <w:pStyle w:val="Compact"/>
            </w:pPr>
            <w:r>
              <w:t xml:space="preserve">DG-001: Go/No-Go for Pilot</w:t>
            </w:r>
          </w:p>
        </w:tc>
      </w:tr>
      <w:tr>
        <w:tc>
          <w:tcPr/>
          <w:p>
            <w:pPr>
              <w:pStyle w:val="Compact"/>
            </w:pPr>
            <w:r>
              <w:t xml:space="preserve">2. Pilot</w:t>
            </w:r>
          </w:p>
        </w:tc>
        <w:tc>
          <w:tcPr/>
          <w:p>
            <w:pPr>
              <w:pStyle w:val="Compact"/>
            </w:pPr>
            <w:r>
              <w:t xml:space="preserve">Weeks 14-26</w:t>
            </w:r>
          </w:p>
        </w:tc>
        <w:tc>
          <w:tcPr/>
          <w:p>
            <w:pPr>
              <w:pStyle w:val="Compact"/>
            </w:pPr>
            <w:r>
              <w:t xml:space="preserve">Member eligibility MFE, parallel validation, CDC full sync, training sandbox</w:t>
            </w:r>
          </w:p>
        </w:tc>
        <w:tc>
          <w:tcPr/>
          <w:p>
            <w:pPr>
              <w:pStyle w:val="Compact"/>
            </w:pPr>
            <w:r>
              <w:t xml:space="preserve">~14 FTE</w:t>
            </w:r>
          </w:p>
        </w:tc>
        <w:tc>
          <w:tcPr/>
          <w:p>
            <w:pPr>
              <w:pStyle w:val="Compact"/>
            </w:pPr>
            <w:r>
              <w:t xml:space="preserve">DG-002: Go/No-Go for Expansion</w:t>
            </w:r>
          </w:p>
        </w:tc>
      </w:tr>
      <w:tr>
        <w:tc>
          <w:tcPr/>
          <w:p>
            <w:pPr>
              <w:pStyle w:val="Compact"/>
            </w:pPr>
            <w:r>
              <w:t xml:space="preserve">3. Expansion</w:t>
            </w:r>
          </w:p>
        </w:tc>
        <w:tc>
          <w:tcPr/>
          <w:p>
            <w:pPr>
              <w:pStyle w:val="Compact"/>
            </w:pPr>
            <w:r>
              <w:t xml:space="preserve">Weeks 27-52</w:t>
            </w:r>
          </w:p>
        </w:tc>
        <w:tc>
          <w:tcPr/>
          <w:p>
            <w:pPr>
              <w:pStyle w:val="Compact"/>
            </w:pPr>
            <w:r>
              <w:t xml:space="preserve">Claims + formulary + PA + GenAI pipeline, 30-day Dual Run, security remediation</w:t>
            </w:r>
          </w:p>
        </w:tc>
        <w:tc>
          <w:tcPr/>
          <w:p>
            <w:pPr>
              <w:pStyle w:val="Compact"/>
            </w:pPr>
            <w:r>
              <w:t xml:space="preserve">~15 FTE</w:t>
            </w:r>
          </w:p>
        </w:tc>
        <w:tc>
          <w:tcPr/>
          <w:p>
            <w:pPr>
              <w:pStyle w:val="Compact"/>
            </w:pPr>
            <w:r>
              <w:t xml:space="preserve">DG-003: Go/No-Go for Completion</w:t>
            </w:r>
          </w:p>
        </w:tc>
      </w:tr>
      <w:tr>
        <w:tc>
          <w:tcPr/>
          <w:p>
            <w:pPr>
              <w:pStyle w:val="Compact"/>
            </w:pPr>
            <w:r>
              <w:t xml:space="preserve">4. Completion</w:t>
            </w:r>
          </w:p>
        </w:tc>
        <w:tc>
          <w:tcPr/>
          <w:p>
            <w:pPr>
              <w:pStyle w:val="Compact"/>
            </w:pPr>
            <w:r>
              <w:t xml:space="preserve">Weeks 53-78</w:t>
            </w:r>
          </w:p>
        </w:tc>
        <w:tc>
          <w:tcPr/>
          <w:p>
            <w:pPr>
              <w:pStyle w:val="Compact"/>
            </w:pPr>
            <w:r>
              <w:t xml:space="preserve">Remaining workflows, Health100 integration, compliance audits, go-live</w:t>
            </w:r>
          </w:p>
        </w:tc>
        <w:tc>
          <w:tcPr/>
          <w:p>
            <w:pPr>
              <w:pStyle w:val="Compact"/>
            </w:pPr>
            <w:r>
              <w:t xml:space="preserve">~10 FTE</w:t>
            </w:r>
          </w:p>
        </w:tc>
        <w:tc>
          <w:tcPr/>
          <w:p>
            <w:pPr>
              <w:pStyle w:val="Compact"/>
            </w:pPr>
            <w:r>
              <w:t xml:space="preserve">DG-004: Go-Live Approval</w:t>
            </w:r>
          </w:p>
        </w:tc>
      </w:tr>
    </w:tbl>
    <w:bookmarkEnd w:id="70"/>
    <w:bookmarkStart w:id="71" w:name="decision-gates"/>
    <w:p>
      <w:pPr>
        <w:pStyle w:val="Heading3"/>
      </w:pPr>
      <w:r>
        <w:t xml:space="preserve">Decision Gates</w:t>
      </w:r>
    </w:p>
    <w:p>
      <w:pPr>
        <w:pStyle w:val="FirstParagraph"/>
      </w:pPr>
      <w:r>
        <w:t xml:space="preserve">Each gate has measurable go/no-go criteria — not opinions:</w:t>
      </w:r>
    </w:p>
    <w:tbl>
      <w:tblPr>
        <w:tblStyle w:val="Table"/>
        <w:tblW w:type="pct" w:w="5000"/>
        <w:tblLayout w:type="fixed"/>
        <w:tblLook w:firstRow="1" w:lastRow="0" w:firstColumn="0" w:lastColumn="0" w:noHBand="0" w:noVBand="0" w:val="0020"/>
      </w:tblPr>
      <w:tblGrid>
        <w:gridCol w:w="1900"/>
        <w:gridCol w:w="1900"/>
        <w:gridCol w:w="4118"/>
      </w:tblGrid>
      <w:tr>
        <w:trPr>
          <w:tblHeader w:val="on"/>
        </w:trPr>
        <w:tc>
          <w:tcPr/>
          <w:p>
            <w:pPr>
              <w:pStyle w:val="Compact"/>
            </w:pPr>
            <w:r>
              <w:t xml:space="preserve">Gate</w:t>
            </w:r>
          </w:p>
        </w:tc>
        <w:tc>
          <w:tcPr/>
          <w:p>
            <w:pPr>
              <w:pStyle w:val="Compact"/>
            </w:pPr>
            <w:r>
              <w:t xml:space="preserve">Week</w:t>
            </w:r>
          </w:p>
        </w:tc>
        <w:tc>
          <w:tcPr/>
          <w:p>
            <w:pPr>
              <w:pStyle w:val="Compact"/>
            </w:pPr>
            <w:r>
              <w:t xml:space="preserve">Key Criteria</w:t>
            </w:r>
          </w:p>
        </w:tc>
      </w:tr>
      <w:tr>
        <w:tc>
          <w:tcPr/>
          <w:p>
            <w:pPr>
              <w:pStyle w:val="Compact"/>
            </w:pPr>
            <w:r>
              <w:rPr>
                <w:b/>
                <w:bCs/>
              </w:rPr>
              <w:t xml:space="preserve">DG-001</w:t>
            </w:r>
          </w:p>
        </w:tc>
        <w:tc>
          <w:tcPr/>
          <w:p>
            <w:pPr>
              <w:pStyle w:val="Compact"/>
            </w:pPr>
            <w:r>
              <w:t xml:space="preserve">13</w:t>
            </w:r>
          </w:p>
        </w:tc>
        <w:tc>
          <w:tcPr/>
          <w:p>
            <w:pPr>
              <w:pStyle w:val="Compact"/>
            </w:pPr>
            <w:r>
              <w:t xml:space="preserve">Interconnect operational, IWS API returning JSON, SSO working, CDC replicating, CI/CD deploying</w:t>
            </w:r>
          </w:p>
        </w:tc>
      </w:tr>
      <w:tr>
        <w:tc>
          <w:tcPr/>
          <w:p>
            <w:pPr>
              <w:pStyle w:val="Compact"/>
            </w:pPr>
            <w:r>
              <w:rPr>
                <w:b/>
                <w:bCs/>
              </w:rPr>
              <w:t xml:space="preserve">DG-002</w:t>
            </w:r>
          </w:p>
        </w:tc>
        <w:tc>
          <w:tcPr/>
          <w:p>
            <w:pPr>
              <w:pStyle w:val="Compact"/>
            </w:pPr>
            <w:r>
              <w:t xml:space="preserve">26</w:t>
            </w:r>
          </w:p>
        </w:tc>
        <w:tc>
          <w:tcPr/>
          <w:p>
            <w:pPr>
              <w:pStyle w:val="Compact"/>
            </w:pPr>
            <w:r>
              <w:t xml:space="preserve">Parallel validation ≥99.9%, eligibility P95 ≤200ms, escape hatch &lt;20%, zero PHI incidents</w:t>
            </w:r>
          </w:p>
        </w:tc>
      </w:tr>
      <w:tr>
        <w:tc>
          <w:tcPr/>
          <w:p>
            <w:pPr>
              <w:pStyle w:val="Compact"/>
            </w:pPr>
            <w:r>
              <w:rPr>
                <w:b/>
                <w:bCs/>
              </w:rPr>
              <w:t xml:space="preserve">DG-003</w:t>
            </w:r>
          </w:p>
        </w:tc>
        <w:tc>
          <w:tcPr/>
          <w:p>
            <w:pPr>
              <w:pStyle w:val="Compact"/>
            </w:pPr>
            <w:r>
              <w:t xml:space="preserve">52</w:t>
            </w:r>
          </w:p>
        </w:tc>
        <w:tc>
          <w:tcPr/>
          <w:p>
            <w:pPr>
              <w:pStyle w:val="Compact"/>
            </w:pPr>
            <w:r>
              <w:t xml:space="preserve">Claims Dual Run ≥99.95%, claims P95 ≤500ms, GenAI PA ≥80% agreement, 8 security findings closed</w:t>
            </w:r>
          </w:p>
        </w:tc>
      </w:tr>
      <w:tr>
        <w:tc>
          <w:tcPr/>
          <w:p>
            <w:pPr>
              <w:pStyle w:val="Compact"/>
            </w:pPr>
            <w:r>
              <w:rPr>
                <w:b/>
                <w:bCs/>
              </w:rPr>
              <w:t xml:space="preserve">DG-004</w:t>
            </w:r>
          </w:p>
        </w:tc>
        <w:tc>
          <w:tcPr/>
          <w:p>
            <w:pPr>
              <w:pStyle w:val="Compact"/>
            </w:pPr>
            <w:r>
              <w:t xml:space="preserve">78</w:t>
            </w:r>
          </w:p>
        </w:tc>
        <w:tc>
          <w:tcPr/>
          <w:p>
            <w:pPr>
              <w:pStyle w:val="Compact"/>
            </w:pPr>
            <w:r>
              <w:t xml:space="preserve">100% screens migrated, adoption &gt;80%, NPS &gt;7, pen test clean, SOC 2 initiated, DEA EPCS passed</w:t>
            </w:r>
          </w:p>
        </w:tc>
      </w:tr>
    </w:tbl>
    <w:bookmarkEnd w:id="71"/>
    <w:bookmarkStart w:id="72" w:name="team-composition"/>
    <w:p>
      <w:pPr>
        <w:pStyle w:val="Heading3"/>
      </w:pPr>
      <w:r>
        <w:t xml:space="preserve">Team Composition</w:t>
      </w:r>
    </w:p>
    <w:tbl>
      <w:tblPr>
        <w:tblStyle w:val="Table"/>
        <w:tblW w:type="pct" w:w="5000"/>
        <w:tblLayout w:type="fixed"/>
        <w:tblLook w:firstRow="1" w:lastRow="0" w:firstColumn="0" w:lastColumn="0" w:noHBand="0" w:noVBand="0" w:val="0020"/>
      </w:tblPr>
      <w:tblGrid>
        <w:gridCol w:w="1131"/>
        <w:gridCol w:w="1320"/>
        <w:gridCol w:w="1885"/>
        <w:gridCol w:w="3582"/>
      </w:tblGrid>
      <w:tr>
        <w:trPr>
          <w:tblHeader w:val="on"/>
        </w:trPr>
        <w:tc>
          <w:tcPr/>
          <w:p>
            <w:pPr>
              <w:pStyle w:val="Compact"/>
            </w:pPr>
            <w:r>
              <w:t xml:space="preserve">Role</w:t>
            </w:r>
          </w:p>
        </w:tc>
        <w:tc>
          <w:tcPr/>
          <w:p>
            <w:pPr>
              <w:pStyle w:val="Compact"/>
            </w:pPr>
            <w:r>
              <w:t xml:space="preserve">Count</w:t>
            </w:r>
          </w:p>
        </w:tc>
        <w:tc>
          <w:tcPr/>
          <w:p>
            <w:pPr>
              <w:pStyle w:val="Compact"/>
            </w:pPr>
            <w:r>
              <w:t xml:space="preserve">Duration</w:t>
            </w:r>
          </w:p>
        </w:tc>
        <w:tc>
          <w:tcPr/>
          <w:p>
            <w:pPr>
              <w:pStyle w:val="Compact"/>
            </w:pPr>
            <w:r>
              <w:t xml:space="preserve">Key Responsibility</w:t>
            </w:r>
          </w:p>
        </w:tc>
      </w:tr>
      <w:tr>
        <w:tc>
          <w:tcPr/>
          <w:p>
            <w:pPr>
              <w:pStyle w:val="Compact"/>
            </w:pPr>
            <w:r>
              <w:t xml:space="preserve">Solutions Architect</w:t>
            </w:r>
          </w:p>
        </w:tc>
        <w:tc>
          <w:tcPr/>
          <w:p>
            <w:pPr>
              <w:pStyle w:val="Compact"/>
            </w:pPr>
            <w:r>
              <w:t xml:space="preserve">1</w:t>
            </w:r>
          </w:p>
        </w:tc>
        <w:tc>
          <w:tcPr/>
          <w:p>
            <w:pPr>
              <w:pStyle w:val="Compact"/>
            </w:pPr>
            <w:r>
              <w:t xml:space="preserve">78 weeks</w:t>
            </w:r>
          </w:p>
        </w:tc>
        <w:tc>
          <w:tcPr/>
          <w:p>
            <w:pPr>
              <w:pStyle w:val="Compact"/>
            </w:pPr>
            <w:r>
              <w:t xml:space="preserve">Architecture governance, decision gates</w:t>
            </w:r>
          </w:p>
        </w:tc>
      </w:tr>
      <w:tr>
        <w:tc>
          <w:tcPr/>
          <w:p>
            <w:pPr>
              <w:pStyle w:val="Compact"/>
            </w:pPr>
            <w:r>
              <w:t xml:space="preserve">Tech Lead (Full-Stack)</w:t>
            </w:r>
          </w:p>
        </w:tc>
        <w:tc>
          <w:tcPr/>
          <w:p>
            <w:pPr>
              <w:pStyle w:val="Compact"/>
            </w:pPr>
            <w:r>
              <w:t xml:space="preserve">1</w:t>
            </w:r>
          </w:p>
        </w:tc>
        <w:tc>
          <w:tcPr/>
          <w:p>
            <w:pPr>
              <w:pStyle w:val="Compact"/>
            </w:pPr>
            <w:r>
              <w:t xml:space="preserve">72 weeks</w:t>
            </w:r>
          </w:p>
        </w:tc>
        <w:tc>
          <w:tcPr/>
          <w:p>
            <w:pPr>
              <w:pStyle w:val="Compact"/>
            </w:pPr>
            <w:r>
              <w:t xml:space="preserve">Technical leadership, Module Federation</w:t>
            </w:r>
          </w:p>
        </w:tc>
      </w:tr>
      <w:tr>
        <w:tc>
          <w:tcPr/>
          <w:p>
            <w:pPr>
              <w:pStyle w:val="Compact"/>
            </w:pPr>
            <w:r>
              <w:t xml:space="preserve">Senior Frontend (React/TS)</w:t>
            </w:r>
          </w:p>
        </w:tc>
        <w:tc>
          <w:tcPr/>
          <w:p>
            <w:pPr>
              <w:pStyle w:val="Compact"/>
            </w:pPr>
            <w:r>
              <w:t xml:space="preserve">2</w:t>
            </w:r>
          </w:p>
        </w:tc>
        <w:tc>
          <w:tcPr/>
          <w:p>
            <w:pPr>
              <w:pStyle w:val="Compact"/>
            </w:pPr>
            <w:r>
              <w:t xml:space="preserve">52 weeks</w:t>
            </w:r>
          </w:p>
        </w:tc>
        <w:tc>
          <w:tcPr/>
          <w:p>
            <w:pPr>
              <w:pStyle w:val="Compact"/>
            </w:pPr>
            <w:r>
              <w:t xml:space="preserve">Micro-frontends, dual-mode UI, WCAG 2.2 AA</w:t>
            </w:r>
          </w:p>
        </w:tc>
      </w:tr>
      <w:tr>
        <w:tc>
          <w:tcPr/>
          <w:p>
            <w:pPr>
              <w:pStyle w:val="Compact"/>
            </w:pPr>
            <w:r>
              <w:t xml:space="preserve">Senior Backend (Python/TS)</w:t>
            </w:r>
          </w:p>
        </w:tc>
        <w:tc>
          <w:tcPr/>
          <w:p>
            <w:pPr>
              <w:pStyle w:val="Compact"/>
            </w:pPr>
            <w:r>
              <w:t xml:space="preserve">2</w:t>
            </w:r>
          </w:p>
        </w:tc>
        <w:tc>
          <w:tcPr/>
          <w:p>
            <w:pPr>
              <w:pStyle w:val="Compact"/>
            </w:pPr>
            <w:r>
              <w:t xml:space="preserve">52 weeks</w:t>
            </w:r>
          </w:p>
        </w:tc>
        <w:tc>
          <w:tcPr/>
          <w:p>
            <w:pPr>
              <w:pStyle w:val="Compact"/>
            </w:pPr>
            <w:r>
              <w:t xml:space="preserve">BFF services, anti-corruption layer, FHIR</w:t>
            </w:r>
          </w:p>
        </w:tc>
      </w:tr>
      <w:tr>
        <w:tc>
          <w:tcPr/>
          <w:p>
            <w:pPr>
              <w:pStyle w:val="Compact"/>
            </w:pPr>
            <w:r>
              <w:t xml:space="preserve">IBM RPG/CL ILE Developer</w:t>
            </w:r>
          </w:p>
        </w:tc>
        <w:tc>
          <w:tcPr/>
          <w:p>
            <w:pPr>
              <w:pStyle w:val="Compact"/>
            </w:pPr>
            <w:r>
              <w:t xml:space="preserve">2</w:t>
            </w:r>
          </w:p>
        </w:tc>
        <w:tc>
          <w:tcPr/>
          <w:p>
            <w:pPr>
              <w:pStyle w:val="Compact"/>
            </w:pPr>
            <w:r>
              <w:t xml:space="preserve">60 weeks</w:t>
            </w:r>
          </w:p>
        </w:tc>
        <w:tc>
          <w:tcPr/>
          <w:p>
            <w:pPr>
              <w:pStyle w:val="Compact"/>
            </w:pPr>
            <w:r>
              <w:t xml:space="preserve">IWS 3.0 APIs, YAJL, journal config, CVE patching</w:t>
            </w:r>
          </w:p>
        </w:tc>
      </w:tr>
      <w:tr>
        <w:tc>
          <w:tcPr/>
          <w:p>
            <w:pPr>
              <w:pStyle w:val="Compact"/>
            </w:pPr>
            <w:r>
              <w:t xml:space="preserve">ML/AI Engineer (Vertex AI)</w:t>
            </w:r>
          </w:p>
        </w:tc>
        <w:tc>
          <w:tcPr/>
          <w:p>
            <w:pPr>
              <w:pStyle w:val="Compact"/>
            </w:pPr>
            <w:r>
              <w:t xml:space="preserve">1</w:t>
            </w:r>
          </w:p>
        </w:tc>
        <w:tc>
          <w:tcPr/>
          <w:p>
            <w:pPr>
              <w:pStyle w:val="Compact"/>
            </w:pPr>
            <w:r>
              <w:t xml:space="preserve">48 weeks</w:t>
            </w:r>
          </w:p>
        </w:tc>
        <w:tc>
          <w:tcPr/>
          <w:p>
            <w:pPr>
              <w:pStyle w:val="Compact"/>
            </w:pPr>
            <w:r>
              <w:t xml:space="preserve">GenAI PA pipeline, NLP pipeline, evaluation</w:t>
            </w:r>
          </w:p>
        </w:tc>
      </w:tr>
      <w:tr>
        <w:tc>
          <w:tcPr/>
          <w:p>
            <w:pPr>
              <w:pStyle w:val="Compact"/>
            </w:pPr>
            <w:r>
              <w:t xml:space="preserve">Platform/DevOps Engineer</w:t>
            </w:r>
          </w:p>
        </w:tc>
        <w:tc>
          <w:tcPr/>
          <w:p>
            <w:pPr>
              <w:pStyle w:val="Compact"/>
            </w:pPr>
            <w:r>
              <w:t xml:space="preserve">1</w:t>
            </w:r>
          </w:p>
        </w:tc>
        <w:tc>
          <w:tcPr/>
          <w:p>
            <w:pPr>
              <w:pStyle w:val="Compact"/>
            </w:pPr>
            <w:r>
              <w:t xml:space="preserve">60 weeks</w:t>
            </w:r>
          </w:p>
        </w:tc>
        <w:tc>
          <w:tcPr/>
          <w:p>
            <w:pPr>
              <w:pStyle w:val="Compact"/>
            </w:pPr>
            <w:r>
              <w:t xml:space="preserve">Terraform, CI/CD, VPC-SC, Interconnect</w:t>
            </w:r>
          </w:p>
        </w:tc>
      </w:tr>
      <w:tr>
        <w:tc>
          <w:tcPr/>
          <w:p>
            <w:pPr>
              <w:pStyle w:val="Compact"/>
            </w:pPr>
            <w:r>
              <w:t xml:space="preserve">Data Engineer (CDC/BigQuery)</w:t>
            </w:r>
          </w:p>
        </w:tc>
        <w:tc>
          <w:tcPr/>
          <w:p>
            <w:pPr>
              <w:pStyle w:val="Compact"/>
            </w:pPr>
            <w:r>
              <w:t xml:space="preserve">1</w:t>
            </w:r>
          </w:p>
        </w:tc>
        <w:tc>
          <w:tcPr/>
          <w:p>
            <w:pPr>
              <w:pStyle w:val="Compact"/>
            </w:pPr>
            <w:r>
              <w:t xml:space="preserve">48 weeks</w:t>
            </w:r>
          </w:p>
        </w:tc>
        <w:tc>
          <w:tcPr/>
          <w:p>
            <w:pPr>
              <w:pStyle w:val="Compact"/>
            </w:pPr>
            <w:r>
              <w:t xml:space="preserve">Precisely Connect, Dataflow transforms, BigQuery</w:t>
            </w:r>
          </w:p>
        </w:tc>
      </w:tr>
      <w:tr>
        <w:tc>
          <w:tcPr/>
          <w:p>
            <w:pPr>
              <w:pStyle w:val="Compact"/>
            </w:pPr>
            <w:r>
              <w:t xml:space="preserve">Security Engineer (HIPAA)</w:t>
            </w:r>
          </w:p>
        </w:tc>
        <w:tc>
          <w:tcPr/>
          <w:p>
            <w:pPr>
              <w:pStyle w:val="Compact"/>
            </w:pPr>
            <w:r>
              <w:t xml:space="preserve">1</w:t>
            </w:r>
          </w:p>
        </w:tc>
        <w:tc>
          <w:tcPr/>
          <w:p>
            <w:pPr>
              <w:pStyle w:val="Compact"/>
            </w:pPr>
            <w:r>
              <w:t xml:space="preserve">40 weeks</w:t>
            </w:r>
          </w:p>
        </w:tc>
        <w:tc>
          <w:tcPr/>
          <w:p>
            <w:pPr>
              <w:pStyle w:val="Compact"/>
            </w:pPr>
            <w:r>
              <w:t xml:space="preserve">IAM implementation, security findings, SOC 2</w:t>
            </w:r>
          </w:p>
        </w:tc>
      </w:tr>
      <w:tr>
        <w:tc>
          <w:tcPr/>
          <w:p>
            <w:pPr>
              <w:pStyle w:val="Compact"/>
            </w:pPr>
            <w:r>
              <w:t xml:space="preserve">QA/Test Engineer</w:t>
            </w:r>
          </w:p>
        </w:tc>
        <w:tc>
          <w:tcPr/>
          <w:p>
            <w:pPr>
              <w:pStyle w:val="Compact"/>
            </w:pPr>
            <w:r>
              <w:t xml:space="preserve">1</w:t>
            </w:r>
          </w:p>
        </w:tc>
        <w:tc>
          <w:tcPr/>
          <w:p>
            <w:pPr>
              <w:pStyle w:val="Compact"/>
            </w:pPr>
            <w:r>
              <w:t xml:space="preserve">48 weeks</w:t>
            </w:r>
          </w:p>
        </w:tc>
        <w:tc>
          <w:tcPr/>
          <w:p>
            <w:pPr>
              <w:pStyle w:val="Compact"/>
            </w:pPr>
            <w:r>
              <w:t xml:space="preserve">Parallel validation, load testing, HIPAA testing</w:t>
            </w:r>
          </w:p>
        </w:tc>
      </w:tr>
      <w:tr>
        <w:tc>
          <w:tcPr/>
          <w:p>
            <w:pPr>
              <w:pStyle w:val="Compact"/>
            </w:pPr>
            <w:r>
              <w:t xml:space="preserve">Change Management Lead</w:t>
            </w:r>
          </w:p>
        </w:tc>
        <w:tc>
          <w:tcPr/>
          <w:p>
            <w:pPr>
              <w:pStyle w:val="Compact"/>
            </w:pPr>
            <w:r>
              <w:t xml:space="preserve">1</w:t>
            </w:r>
          </w:p>
        </w:tc>
        <w:tc>
          <w:tcPr/>
          <w:p>
            <w:pPr>
              <w:pStyle w:val="Compact"/>
            </w:pPr>
            <w:r>
              <w:t xml:space="preserve">66 weeks</w:t>
            </w:r>
          </w:p>
        </w:tc>
        <w:tc>
          <w:tcPr/>
          <w:p>
            <w:pPr>
              <w:pStyle w:val="Compact"/>
            </w:pPr>
            <w:r>
              <w:t xml:space="preserve">ADKAR implementation, champion network, training</w:t>
            </w:r>
          </w:p>
        </w:tc>
      </w:tr>
      <w:tr>
        <w:tc>
          <w:tcPr/>
          <w:p>
            <w:pPr>
              <w:pStyle w:val="Compact"/>
            </w:pPr>
            <w:r>
              <w:t xml:space="preserve">Project Manager</w:t>
            </w:r>
          </w:p>
        </w:tc>
        <w:tc>
          <w:tcPr/>
          <w:p>
            <w:pPr>
              <w:pStyle w:val="Compact"/>
            </w:pPr>
            <w:r>
              <w:t xml:space="preserve">1</w:t>
            </w:r>
          </w:p>
        </w:tc>
        <w:tc>
          <w:tcPr/>
          <w:p>
            <w:pPr>
              <w:pStyle w:val="Compact"/>
            </w:pPr>
            <w:r>
              <w:t xml:space="preserve">78 weeks</w:t>
            </w:r>
          </w:p>
        </w:tc>
        <w:tc>
          <w:tcPr/>
          <w:p>
            <w:pPr>
              <w:pStyle w:val="Compact"/>
            </w:pPr>
            <w:r>
              <w:t xml:space="preserve">Program planning, stakeholder coordination</w:t>
            </w:r>
          </w:p>
        </w:tc>
      </w:tr>
    </w:tbl>
    <w:p>
      <w:pPr>
        <w:pStyle w:val="BodyText"/>
      </w:pPr>
      <w:r>
        <w:rPr>
          <w:b/>
          <w:bCs/>
        </w:rPr>
        <w:t xml:space="preserve">Total: ~15 peak FTE</w:t>
      </w:r>
      <w:r>
        <w:t xml:space="preserve"> </w:t>
      </w:r>
      <w:r>
        <w:t xml:space="preserve">(external) + CVS internal product team (product owner, clinical SMEs, pharmacy ops liaison — estimated 6-10 people per CVS job data).</w:t>
      </w:r>
    </w:p>
    <w:p>
      <w:pPr>
        <w:pStyle w:val="BodyText"/>
      </w:pPr>
      <w:r>
        <w:rPr>
          <w:b/>
          <w:bCs/>
        </w:rPr>
        <w:t xml:space="preserve">GenAI team highlight</w:t>
      </w:r>
      <w:r>
        <w:t xml:space="preserve">: ML Lead (1) + ML/AI Engineer maps to the GenAI Data Scientist JD responsibilities: LLM workflow development, evaluation/guardrails, GCP pipeline deployment (BigQuery, Vertex AI, Cloud Storage), production reliability.</w:t>
      </w:r>
    </w:p>
    <w:bookmarkEnd w:id="72"/>
    <w:bookmarkStart w:id="73" w:name="investment-range-1"/>
    <w:p>
      <w:pPr>
        <w:pStyle w:val="Heading3"/>
      </w:pPr>
      <w:r>
        <w:t xml:space="preserve">Investment Range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Cost</w:t>
            </w:r>
          </w:p>
        </w:tc>
      </w:tr>
      <w:tr>
        <w:tc>
          <w:tcPr/>
          <w:p>
            <w:pPr>
              <w:pStyle w:val="Compact"/>
            </w:pPr>
            <w:r>
              <w:t xml:space="preserve">Development (contractors)</w:t>
            </w:r>
          </w:p>
        </w:tc>
        <w:tc>
          <w:tcPr/>
          <w:p>
            <w:pPr>
              <w:pStyle w:val="Compact"/>
            </w:pPr>
            <w:r>
              <w:t xml:space="preserve">$4,878,800</w:t>
            </w:r>
          </w:p>
        </w:tc>
      </w:tr>
      <w:tr>
        <w:tc>
          <w:tcPr/>
          <w:p>
            <w:pPr>
              <w:pStyle w:val="Compact"/>
            </w:pPr>
            <w:r>
              <w:t xml:space="preserve">Training &amp; change management</w:t>
            </w:r>
          </w:p>
        </w:tc>
        <w:tc>
          <w:tcPr/>
          <w:p>
            <w:pPr>
              <w:pStyle w:val="Compact"/>
            </w:pPr>
            <w:r>
              <w:t xml:space="preserve">$200,000</w:t>
            </w:r>
          </w:p>
        </w:tc>
      </w:tr>
      <w:tr>
        <w:tc>
          <w:tcPr/>
          <w:p>
            <w:pPr>
              <w:pStyle w:val="Compact"/>
            </w:pPr>
            <w:r>
              <w:t xml:space="preserve">GCP infrastructure (Year 1)</w:t>
            </w:r>
          </w:p>
        </w:tc>
        <w:tc>
          <w:tcPr/>
          <w:p>
            <w:pPr>
              <w:pStyle w:val="Compact"/>
            </w:pPr>
            <w:r>
              <w:t xml:space="preserve">$273,636</w:t>
            </w:r>
          </w:p>
        </w:tc>
      </w:tr>
      <w:tr>
        <w:tc>
          <w:tcPr/>
          <w:p>
            <w:pPr>
              <w:pStyle w:val="Compact"/>
            </w:pPr>
            <w:r>
              <w:t xml:space="preserve">Third-party licensing (Year 1)</w:t>
            </w:r>
          </w:p>
        </w:tc>
        <w:tc>
          <w:tcPr/>
          <w:p>
            <w:pPr>
              <w:pStyle w:val="Compact"/>
            </w:pPr>
            <w:r>
              <w:t xml:space="preserve">$90,000</w:t>
            </w:r>
          </w:p>
        </w:tc>
      </w:tr>
      <w:tr>
        <w:tc>
          <w:tcPr/>
          <w:p>
            <w:pPr>
              <w:pStyle w:val="Compact"/>
            </w:pPr>
            <w:r>
              <w:rPr>
                <w:b/>
                <w:bCs/>
              </w:rPr>
              <w:t xml:space="preserve">Year 1 Total</w:t>
            </w:r>
          </w:p>
        </w:tc>
        <w:tc>
          <w:tcPr/>
          <w:p>
            <w:pPr>
              <w:pStyle w:val="Compact"/>
            </w:pPr>
            <w:r>
              <w:rPr>
                <w:b/>
                <w:bCs/>
              </w:rPr>
              <w:t xml:space="preserve">$6,405,426</w:t>
            </w:r>
          </w:p>
        </w:tc>
      </w:tr>
      <w:tr>
        <w:tc>
          <w:tcPr/>
          <w:p>
            <w:pPr>
              <w:pStyle w:val="Compact"/>
            </w:pPr>
            <w:r>
              <w:t xml:space="preserve">Year 2 (operations)</w:t>
            </w:r>
          </w:p>
        </w:tc>
        <w:tc>
          <w:tcPr/>
          <w:p>
            <w:pPr>
              <w:pStyle w:val="Compact"/>
            </w:pPr>
            <w:r>
              <w:t xml:space="preserve">$1,600,000</w:t>
            </w:r>
          </w:p>
        </w:tc>
      </w:tr>
      <w:tr>
        <w:tc>
          <w:tcPr/>
          <w:p>
            <w:pPr>
              <w:pStyle w:val="Compact"/>
            </w:pPr>
            <w:r>
              <w:t xml:space="preserve">Year 3 (operations)</w:t>
            </w:r>
          </w:p>
        </w:tc>
        <w:tc>
          <w:tcPr/>
          <w:p>
            <w:pPr>
              <w:pStyle w:val="Compact"/>
            </w:pPr>
            <w:r>
              <w:t xml:space="preserve">$1,500,000</w:t>
            </w:r>
          </w:p>
        </w:tc>
      </w:tr>
      <w:tr>
        <w:tc>
          <w:tcPr/>
          <w:p>
            <w:pPr>
              <w:pStyle w:val="Compact"/>
            </w:pPr>
            <w:r>
              <w:rPr>
                <w:b/>
                <w:bCs/>
              </w:rPr>
              <w:t xml:space="preserve">3-Year TCO</w:t>
            </w:r>
          </w:p>
        </w:tc>
        <w:tc>
          <w:tcPr/>
          <w:p>
            <w:pPr>
              <w:pStyle w:val="Compact"/>
            </w:pPr>
            <w:r>
              <w:rPr>
                <w:b/>
                <w:bCs/>
              </w:rPr>
              <w:t xml:space="preserve">$9,505,426</w:t>
            </w:r>
          </w:p>
        </w:tc>
      </w:tr>
    </w:tbl>
    <w:p>
      <w:pPr>
        <w:pStyle w:val="BodyText"/>
      </w:pPr>
      <w:r>
        <w:t xml:space="preserve">Three-point estimates:</w:t>
      </w:r>
    </w:p>
    <w:tbl>
      <w:tblPr>
        <w:tblStyle w:val="Table"/>
        <w:tblW w:type="pct" w:w="5000"/>
        <w:tblLayout w:type="fixed"/>
        <w:tblLook w:firstRow="1" w:lastRow="0" w:firstColumn="0" w:lastColumn="0" w:noHBand="0" w:noVBand="0" w:val="0020"/>
      </w:tblPr>
      <w:tblGrid>
        <w:gridCol w:w="2722"/>
        <w:gridCol w:w="2722"/>
        <w:gridCol w:w="2475"/>
      </w:tblGrid>
      <w:tr>
        <w:trPr>
          <w:tblHeader w:val="on"/>
        </w:trPr>
        <w:tc>
          <w:tcPr/>
          <w:p>
            <w:pPr>
              <w:pStyle w:val="Compact"/>
            </w:pPr>
            <w:r>
              <w:t xml:space="preserve">Confidence</w:t>
            </w:r>
          </w:p>
        </w:tc>
        <w:tc>
          <w:tcPr/>
          <w:p>
            <w:pPr>
              <w:pStyle w:val="Compact"/>
            </w:pPr>
            <w:r>
              <w:t xml:space="preserve">Investment</w:t>
            </w:r>
          </w:p>
        </w:tc>
        <w:tc>
          <w:tcPr/>
          <w:p>
            <w:pPr>
              <w:pStyle w:val="Compact"/>
            </w:pPr>
            <w:r>
              <w:t xml:space="preserve">Scenario</w:t>
            </w:r>
          </w:p>
        </w:tc>
      </w:tr>
      <w:tr>
        <w:tc>
          <w:tcPr/>
          <w:p>
            <w:pPr>
              <w:pStyle w:val="Compact"/>
            </w:pPr>
            <w:r>
              <w:t xml:space="preserve">P10 (Optimistic)</w:t>
            </w:r>
          </w:p>
        </w:tc>
        <w:tc>
          <w:tcPr/>
          <w:p>
            <w:pPr>
              <w:pStyle w:val="Compact"/>
            </w:pPr>
            <w:r>
              <w:t xml:space="preserve">$8.5M</w:t>
            </w:r>
          </w:p>
        </w:tc>
        <w:tc>
          <w:tcPr/>
          <w:p>
            <w:pPr>
              <w:pStyle w:val="Compact"/>
            </w:pPr>
            <w:r>
              <w:t xml:space="preserve">AI tools highly effective, fast team ramp</w:t>
            </w:r>
          </w:p>
        </w:tc>
      </w:tr>
      <w:tr>
        <w:tc>
          <w:tcPr/>
          <w:p>
            <w:pPr>
              <w:pStyle w:val="Compact"/>
            </w:pPr>
            <w:r>
              <w:rPr>
                <w:b/>
                <w:bCs/>
              </w:rPr>
              <w:t xml:space="preserve">P50 (Expected)</w:t>
            </w:r>
          </w:p>
        </w:tc>
        <w:tc>
          <w:tcPr/>
          <w:p>
            <w:pPr>
              <w:pStyle w:val="Compact"/>
            </w:pPr>
            <w:r>
              <w:rPr>
                <w:b/>
                <w:bCs/>
              </w:rPr>
              <w:t xml:space="preserve">$11.7M</w:t>
            </w:r>
          </w:p>
        </w:tc>
        <w:tc>
          <w:tcPr/>
          <w:p>
            <w:pPr>
              <w:pStyle w:val="Compact"/>
            </w:pPr>
            <w:r>
              <w:t xml:space="preserve">PERT: ($8.5M + 4×$11.7M + $16.5M) / 6</w:t>
            </w:r>
          </w:p>
        </w:tc>
      </w:tr>
      <w:tr>
        <w:tc>
          <w:tcPr/>
          <w:p>
            <w:pPr>
              <w:pStyle w:val="Compact"/>
            </w:pPr>
            <w:r>
              <w:t xml:space="preserve">P90 (Pessimistic)</w:t>
            </w:r>
          </w:p>
        </w:tc>
        <w:tc>
          <w:tcPr/>
          <w:p>
            <w:pPr>
              <w:pStyle w:val="Compact"/>
            </w:pPr>
            <w:r>
              <w:t xml:space="preserve">$16.5M</w:t>
            </w:r>
          </w:p>
        </w:tc>
        <w:tc>
          <w:tcPr/>
          <w:p>
            <w:pPr>
              <w:pStyle w:val="Compact"/>
            </w:pPr>
            <w:r>
              <w:t xml:space="preserve">RPG/CL delays, IBMi performance issues, compliance extensions</w:t>
            </w:r>
          </w:p>
        </w:tc>
      </w:tr>
    </w:tbl>
    <w:p>
      <w:pPr>
        <w:pStyle w:val="BodyText"/>
      </w:pPr>
      <w:r>
        <w:rPr>
          <w:b/>
          <w:bCs/>
        </w:rPr>
        <w:t xml:space="preserve">ROI</w:t>
      </w:r>
      <w:r>
        <w:t xml:space="preserve">: Annual operational savings ~$6.5M (training reduction, 40% error reduction, PA automation, reduced RPG/CL dependency). 3-year ROI: 71%. Payback period: ~12 months post-go-live. This represents 0.32% of CVS’s annual ~$2B technology budget.</w:t>
      </w:r>
    </w:p>
    <w:p>
      <w:pPr>
        <w:pStyle w:val="BodyText"/>
      </w:pPr>
      <w:r>
        <w:rPr>
          <w:b/>
          <w:bCs/>
        </w:rPr>
        <w:t xml:space="preserve">Benchmark</w:t>
      </w:r>
      <w:r>
        <w:t xml:space="preserve">: Kyndryl 2025 survey (n=500) reports average IBMi modernization at $7.2M. The $6.4M Year 1 estimate is 11% below average — justified by AI-assisted productivity gains on coding tasks.</w:t>
      </w:r>
    </w:p>
    <w:bookmarkEnd w:id="73"/>
    <w:bookmarkStart w:id="74" w:name="top-5-risks"/>
    <w:p>
      <w:pPr>
        <w:pStyle w:val="Heading3"/>
      </w:pPr>
      <w:r>
        <w:t xml:space="preserve">Top 5 Risks</w:t>
      </w:r>
    </w:p>
    <w:tbl>
      <w:tblPr>
        <w:tblStyle w:val="Table"/>
        <w:tblW w:type="pct" w:w="5000"/>
        <w:tblLayout w:type="fixed"/>
        <w:tblLook w:firstRow="1" w:lastRow="0" w:firstColumn="0" w:lastColumn="0" w:noHBand="0" w:noVBand="0" w:val="0020"/>
      </w:tblPr>
      <w:tblGrid>
        <w:gridCol w:w="1284"/>
        <w:gridCol w:w="2354"/>
        <w:gridCol w:w="1712"/>
        <w:gridCol w:w="2568"/>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rPr>
                <w:b/>
                <w:bCs/>
              </w:rPr>
              <w:t xml:space="preserve">RPG/CL developer sourcing</w:t>
            </w:r>
          </w:p>
        </w:tc>
        <w:tc>
          <w:tcPr/>
          <w:p>
            <w:pPr>
              <w:pStyle w:val="Compact"/>
            </w:pPr>
            <w:r>
              <w:t xml:space="preserve">High</w:t>
            </w:r>
          </w:p>
        </w:tc>
        <w:tc>
          <w:tcPr/>
          <w:p>
            <w:pPr>
              <w:pStyle w:val="Compact"/>
            </w:pPr>
            <w:r>
              <w:t xml:space="preserve">High</w:t>
            </w:r>
          </w:p>
        </w:tc>
        <w:tc>
          <w:tcPr/>
          <w:p>
            <w:pPr>
              <w:pStyle w:val="Compact"/>
            </w:pPr>
            <w:r>
              <w:t xml:space="preserve">60-90 day lead time. IBM i staffing firms. Only 2 needed (realistic for scarcity).</w:t>
            </w:r>
          </w:p>
        </w:tc>
      </w:tr>
      <w:tr>
        <w:tc>
          <w:tcPr/>
          <w:p>
            <w:pPr>
              <w:pStyle w:val="Compact"/>
            </w:pPr>
            <w:r>
              <w:rPr>
                <w:b/>
                <w:bCs/>
              </w:rPr>
              <w:t xml:space="preserve">IBMi IWS performance at peak</w:t>
            </w:r>
          </w:p>
        </w:tc>
        <w:tc>
          <w:tcPr/>
          <w:p>
            <w:pPr>
              <w:pStyle w:val="Compact"/>
            </w:pPr>
            <w:r>
              <w:t xml:space="preserve">Medium</w:t>
            </w:r>
          </w:p>
        </w:tc>
        <w:tc>
          <w:tcPr/>
          <w:p>
            <w:pPr>
              <w:pStyle w:val="Compact"/>
            </w:pPr>
            <w:r>
              <w:t xml:space="preserve">High</w:t>
            </w:r>
          </w:p>
        </w:tc>
        <w:tc>
          <w:tcPr/>
          <w:p>
            <w:pPr>
              <w:pStyle w:val="Compact"/>
            </w:pPr>
            <w:r>
              <w:t xml:space="preserve">YAJL for hot paths. Profile in Phase 1. Fallback: cached Cloud SQL queries.</w:t>
            </w:r>
          </w:p>
        </w:tc>
      </w:tr>
      <w:tr>
        <w:tc>
          <w:tcPr/>
          <w:p>
            <w:pPr>
              <w:pStyle w:val="Compact"/>
            </w:pPr>
            <w:r>
              <w:rPr>
                <w:b/>
                <w:bCs/>
              </w:rPr>
              <w:t xml:space="preserve">Expert user resistance</w:t>
            </w:r>
          </w:p>
        </w:tc>
        <w:tc>
          <w:tcPr/>
          <w:p>
            <w:pPr>
              <w:pStyle w:val="Compact"/>
            </w:pPr>
            <w:r>
              <w:t xml:space="preserve">High</w:t>
            </w:r>
          </w:p>
        </w:tc>
        <w:tc>
          <w:tcPr/>
          <w:p>
            <w:pPr>
              <w:pStyle w:val="Compact"/>
            </w:pPr>
            <w:r>
              <w:t xml:space="preserve">Medium</w:t>
            </w:r>
          </w:p>
        </w:tc>
        <w:tc>
          <w:tcPr/>
          <w:p>
            <w:pPr>
              <w:pStyle w:val="Compact"/>
            </w:pPr>
            <w:r>
              <w:t xml:space="preserve">Champion network (1:7 ratio). Speed parity demo. Command palette. Floor coaching.</w:t>
            </w:r>
          </w:p>
        </w:tc>
      </w:tr>
      <w:tr>
        <w:tc>
          <w:tcPr/>
          <w:p>
            <w:pPr>
              <w:pStyle w:val="Compact"/>
            </w:pPr>
            <w:r>
              <w:rPr>
                <w:b/>
                <w:bCs/>
              </w:rPr>
              <w:t xml:space="preserve">Precisely Connect CDC integration</w:t>
            </w:r>
          </w:p>
        </w:tc>
        <w:tc>
          <w:tcPr/>
          <w:p>
            <w:pPr>
              <w:pStyle w:val="Compact"/>
            </w:pPr>
            <w:r>
              <w:t xml:space="preserve">Medium</w:t>
            </w:r>
          </w:p>
        </w:tc>
        <w:tc>
          <w:tcPr/>
          <w:p>
            <w:pPr>
              <w:pStyle w:val="Compact"/>
            </w:pPr>
            <w:r>
              <w:t xml:space="preserve">High</w:t>
            </w:r>
          </w:p>
        </w:tc>
        <w:tc>
          <w:tcPr/>
          <w:p>
            <w:pPr>
              <w:pStyle w:val="Compact"/>
            </w:pPr>
            <w:r>
              <w:t xml:space="preserve">POC in Phase 1. Striim as contingency. Precisely professional services.</w:t>
            </w:r>
          </w:p>
        </w:tc>
      </w:tr>
      <w:tr>
        <w:tc>
          <w:tcPr/>
          <w:p>
            <w:pPr>
              <w:pStyle w:val="Compact"/>
            </w:pPr>
            <w:r>
              <w:rPr>
                <w:b/>
                <w:bCs/>
              </w:rPr>
              <w:t xml:space="preserve">HIPAA compliance during parallel ops</w:t>
            </w:r>
          </w:p>
        </w:tc>
        <w:tc>
          <w:tcPr/>
          <w:p>
            <w:pPr>
              <w:pStyle w:val="Compact"/>
            </w:pPr>
            <w:r>
              <w:t xml:space="preserve">Medium</w:t>
            </w:r>
          </w:p>
        </w:tc>
        <w:tc>
          <w:tcPr/>
          <w:p>
            <w:pPr>
              <w:pStyle w:val="Compact"/>
            </w:pPr>
            <w:r>
              <w:t xml:space="preserve">High</w:t>
            </w:r>
          </w:p>
        </w:tc>
        <w:tc>
          <w:tcPr/>
          <w:p>
            <w:pPr>
              <w:pStyle w:val="Compact"/>
            </w:pPr>
            <w:r>
              <w:t xml:space="preserve">VPC-SC perimeter. Dual-sink audit logging. Cloud DLP on cross-boundary flows.</w:t>
            </w:r>
          </w:p>
        </w:tc>
      </w:tr>
    </w:tbl>
    <w:bookmarkEnd w:id="74"/>
    <w:bookmarkStart w:id="75" w:name="critical-path"/>
    <w:p>
      <w:pPr>
        <w:pStyle w:val="Heading3"/>
      </w:pPr>
      <w:r>
        <w:t xml:space="preserve">Critical Path</w:t>
      </w:r>
    </w:p>
    <w:p>
      <w:pPr>
        <w:pStyle w:val="FirstParagraph"/>
      </w:pPr>
      <w:r>
        <w:t xml:space="preserve">The binding constraints are NOT software development — they are:</w:t>
      </w:r>
      <w:r>
        <w:t xml:space="preserve"> </w:t>
      </w:r>
      <w:r>
        <w:t xml:space="preserve">1.</w:t>
      </w:r>
      <w:r>
        <w:t xml:space="preserve"> </w:t>
      </w:r>
      <w:r>
        <w:rPr>
          <w:b/>
          <w:bCs/>
        </w:rPr>
        <w:t xml:space="preserve">Partner Interconnect provisioning</w:t>
      </w:r>
      <w:r>
        <w:t xml:space="preserve"> </w:t>
      </w:r>
      <w:r>
        <w:t xml:space="preserve">(carrier lead time, weeks 1-6)</w:t>
      </w:r>
      <w:r>
        <w:t xml:space="preserve"> </w:t>
      </w:r>
      <w:r>
        <w:t xml:space="preserve">2.</w:t>
      </w:r>
      <w:r>
        <w:t xml:space="preserve"> </w:t>
      </w:r>
      <w:r>
        <w:rPr>
          <w:b/>
          <w:bCs/>
        </w:rPr>
        <w:t xml:space="preserve">IWS 3.0 API development</w:t>
      </w:r>
      <w:r>
        <w:t xml:space="preserve"> </w:t>
      </w:r>
      <w:r>
        <w:t xml:space="preserve">(legacy RPG/CL, 0% AI acceleration per METR study)</w:t>
      </w:r>
      <w:r>
        <w:t xml:space="preserve"> </w:t>
      </w:r>
      <w:r>
        <w:t xml:space="preserve">3.</w:t>
      </w:r>
      <w:r>
        <w:t xml:space="preserve"> </w:t>
      </w:r>
      <w:r>
        <w:rPr>
          <w:b/>
          <w:bCs/>
        </w:rPr>
        <w:t xml:space="preserve">Decision gates</w:t>
      </w:r>
      <w:r>
        <w:t xml:space="preserve"> </w:t>
      </w:r>
      <w:r>
        <w:t xml:space="preserve">(stakeholder alignment, human-speed)</w:t>
      </w:r>
      <w:r>
        <w:t xml:space="preserve"> </w:t>
      </w:r>
      <w:r>
        <w:t xml:space="preserve">4.</w:t>
      </w:r>
      <w:r>
        <w:t xml:space="preserve"> </w:t>
      </w:r>
      <w:r>
        <w:rPr>
          <w:b/>
          <w:bCs/>
        </w:rPr>
        <w:t xml:space="preserve">30-day Dual Run validation</w:t>
      </w:r>
      <w:r>
        <w:t xml:space="preserve"> </w:t>
      </w:r>
      <w:r>
        <w:t xml:space="preserve">(wall-clock time, cannot be compressed)</w:t>
      </w:r>
      <w:r>
        <w:t xml:space="preserve"> </w:t>
      </w:r>
      <w:r>
        <w:t xml:space="preserve">5.</w:t>
      </w:r>
      <w:r>
        <w:t xml:space="preserve"> </w:t>
      </w:r>
      <w:r>
        <w:rPr>
          <w:b/>
          <w:bCs/>
        </w:rPr>
        <w:t xml:space="preserve">Compliance audits</w:t>
      </w:r>
      <w:r>
        <w:t xml:space="preserve"> </w:t>
      </w:r>
      <w:r>
        <w:t xml:space="preserve">(SOC 2, pen testing, DEA EPCS — regulatory timelines)</w:t>
      </w:r>
    </w:p>
    <w:p>
      <w:pPr>
        <w:pStyle w:val="BodyText"/>
      </w:pPr>
      <w:r>
        <w:t xml:space="preserve">AI accelerates coding phases by 20-45% (McKinsey) but does NOT accelerate integration with legacy systems, compliance processes, change management, or stakeholder decisions.</w:t>
      </w:r>
    </w:p>
    <w:p>
      <w:r>
        <w:pict>
          <v:rect style="width:0;height:1.5pt" o:hralign="center" o:hrstd="t" o:hr="t"/>
        </w:pict>
      </w:r>
    </w:p>
    <w:bookmarkEnd w:id="75"/>
    <w:bookmarkEnd w:id="76"/>
    <w:bookmarkStart w:id="78" w:name="ai-assisted-methodology"/>
    <w:p>
      <w:pPr>
        <w:pStyle w:val="Heading2"/>
      </w:pPr>
      <w:r>
        <w:t xml:space="preserve">7. AI-Assisted Methodology</w:t>
      </w:r>
    </w:p>
    <w:p>
      <w:pPr>
        <w:pStyle w:val="FirstParagraph"/>
      </w:pPr>
      <w:r>
        <w:t xml:space="preserve">This solution architecture was produced through a structured human-AI collaboration where I directed the engagement and an AI assistant executed research, drafting, and structured analysis under my continuous review.</w:t>
      </w:r>
    </w:p>
    <w:p>
      <w:pPr>
        <w:pStyle w:val="BodyText"/>
      </w:pPr>
      <w:r>
        <w:rPr>
          <w:b/>
          <w:bCs/>
        </w:rPr>
        <w:t xml:space="preserve">My role</w:t>
      </w:r>
      <w:r>
        <w:t xml:space="preserve">: Defined scope and phasing. Made every architecture decision (three-option structure, GCP recommendation, strangler fig pattern, tiered inference). Authored the experience honesty map. Reviewed every artifact at phase gates. Owned the narrative voice.</w:t>
      </w:r>
    </w:p>
    <w:p>
      <w:pPr>
        <w:pStyle w:val="BodyText"/>
      </w:pPr>
      <w:r>
        <w:rPr>
          <w:b/>
          <w:bCs/>
        </w:rPr>
        <w:t xml:space="preserve">AI role</w:t>
      </w:r>
      <w:r>
        <w:t xml:space="preserve">: Executed web research across 54 sources. Generated structured JSON artifacts conforming to predefined schemas. Ran parallel analysis (6 STRIDE categories, 6 WA pillars). Produced draft prose for my review and refinement.</w:t>
      </w:r>
    </w:p>
    <w:p>
      <w:pPr>
        <w:pStyle w:val="BodyText"/>
      </w:pPr>
      <w:r>
        <w:rPr>
          <w:b/>
          <w:bCs/>
        </w:rPr>
        <w:t xml:space="preserve">The model is directive, not generative.</w:t>
      </w:r>
      <w:r>
        <w:t xml:space="preserve"> </w:t>
      </w:r>
      <w:r>
        <w:t xml:space="preserve">I don’t ask AI to</w:t>
      </w:r>
      <w:r>
        <w:t xml:space="preserve"> </w:t>
      </w:r>
      <w:r>
        <w:t xml:space="preserve">“design an architecture.”</w:t>
      </w:r>
      <w:r>
        <w:t xml:space="preserve"> </w:t>
      </w:r>
      <w:r>
        <w:t xml:space="preserve">I define the constraints, make the decisions, and use AI to execute research and drafting at a pace that would be impossible solo.</w:t>
      </w:r>
    </w:p>
    <w:bookmarkStart w:id="77" w:name="quality-process"/>
    <w:p>
      <w:pPr>
        <w:pStyle w:val="Heading3"/>
      </w:pPr>
      <w:r>
        <w:t xml:space="preserve">Quality Process</w:t>
      </w:r>
    </w:p>
    <w:tbl>
      <w:tblPr>
        <w:tblStyle w:val="Table"/>
        <w:tblW w:type="pct" w:w="5000"/>
        <w:tblLayout w:type="fixed"/>
        <w:tblLook w:firstRow="1" w:lastRow="0" w:firstColumn="0" w:lastColumn="0" w:noHBand="0" w:noVBand="0" w:val="0020"/>
      </w:tblPr>
      <w:tblGrid>
        <w:gridCol w:w="1584"/>
        <w:gridCol w:w="1810"/>
        <w:gridCol w:w="1584"/>
        <w:gridCol w:w="2941"/>
      </w:tblGrid>
      <w:tr>
        <w:trPr>
          <w:tblHeader w:val="on"/>
        </w:trPr>
        <w:tc>
          <w:tcPr/>
          <w:p>
            <w:pPr>
              <w:pStyle w:val="Compact"/>
            </w:pPr>
            <w:r>
              <w:t xml:space="preserve">Phase</w:t>
            </w:r>
          </w:p>
        </w:tc>
        <w:tc>
          <w:tcPr/>
          <w:p>
            <w:pPr>
              <w:pStyle w:val="Compact"/>
            </w:pPr>
            <w:r>
              <w:t xml:space="preserve">Review</w:t>
            </w:r>
          </w:p>
        </w:tc>
        <w:tc>
          <w:tcPr/>
          <w:p>
            <w:pPr>
              <w:pStyle w:val="Compact"/>
            </w:pPr>
            <w:r>
              <w:t xml:space="preserve">Score</w:t>
            </w:r>
          </w:p>
        </w:tc>
        <w:tc>
          <w:tcPr/>
          <w:p>
            <w:pPr>
              <w:pStyle w:val="Compact"/>
            </w:pPr>
            <w:r>
              <w:t xml:space="preserve">Key Finding</w:t>
            </w:r>
          </w:p>
        </w:tc>
      </w:tr>
      <w:tr>
        <w:tc>
          <w:tcPr/>
          <w:p>
            <w:pPr>
              <w:pStyle w:val="Compact"/>
            </w:pPr>
            <w:r>
              <w:t xml:space="preserve">Requirements</w:t>
            </w:r>
          </w:p>
        </w:tc>
        <w:tc>
          <w:tcPr/>
          <w:p>
            <w:pPr>
              <w:pStyle w:val="Compact"/>
            </w:pPr>
            <w:r>
              <w:t xml:space="preserve">R-001</w:t>
            </w:r>
          </w:p>
        </w:tc>
        <w:tc>
          <w:tcPr/>
          <w:p>
            <w:pPr>
              <w:pStyle w:val="Compact"/>
            </w:pPr>
            <w:r>
              <w:t xml:space="preserve">8.3/10</w:t>
            </w:r>
          </w:p>
        </w:tc>
        <w:tc>
          <w:tcPr/>
          <w:p>
            <w:pPr>
              <w:pStyle w:val="Compact"/>
            </w:pPr>
            <w:r>
              <w:t xml:space="preserve">RTO/RPO not specified (addressed in Phase 2)</w:t>
            </w:r>
          </w:p>
        </w:tc>
      </w:tr>
      <w:tr>
        <w:tc>
          <w:tcPr/>
          <w:p>
            <w:pPr>
              <w:pStyle w:val="Compact"/>
            </w:pPr>
            <w:r>
              <w:t xml:space="preserve">Integration Plan</w:t>
            </w:r>
          </w:p>
        </w:tc>
        <w:tc>
          <w:tcPr/>
          <w:p>
            <w:pPr>
              <w:pStyle w:val="Compact"/>
            </w:pPr>
            <w:r>
              <w:t xml:space="preserve">R-002</w:t>
            </w:r>
          </w:p>
        </w:tc>
        <w:tc>
          <w:tcPr/>
          <w:p>
            <w:pPr>
              <w:pStyle w:val="Compact"/>
            </w:pPr>
            <w:r>
              <w:t xml:space="preserve">8.3/10</w:t>
            </w:r>
          </w:p>
        </w:tc>
        <w:tc>
          <w:tcPr/>
          <w:p>
            <w:pPr>
              <w:pStyle w:val="Compact"/>
            </w:pPr>
            <w:r>
              <w:t xml:space="preserve">Integration architecture sound</w:t>
            </w:r>
          </w:p>
        </w:tc>
      </w:tr>
      <w:tr>
        <w:tc>
          <w:tcPr/>
          <w:p>
            <w:pPr>
              <w:pStyle w:val="Compact"/>
            </w:pPr>
            <w:r>
              <w:t xml:space="preserve">Architecture</w:t>
            </w:r>
          </w:p>
        </w:tc>
        <w:tc>
          <w:tcPr/>
          <w:p>
            <w:pPr>
              <w:pStyle w:val="Compact"/>
            </w:pPr>
            <w:r>
              <w:t xml:space="preserve">R-003</w:t>
            </w:r>
          </w:p>
        </w:tc>
        <w:tc>
          <w:tcPr/>
          <w:p>
            <w:pPr>
              <w:pStyle w:val="Compact"/>
            </w:pPr>
            <w:r>
              <w:t xml:space="preserve">8.1/10</w:t>
            </w:r>
          </w:p>
        </w:tc>
        <w:tc>
          <w:tcPr/>
          <w:p>
            <w:pPr>
              <w:pStyle w:val="Compact"/>
            </w:pPr>
            <w:r>
              <w:t xml:space="preserve">Three options genuinely viable</w:t>
            </w:r>
          </w:p>
        </w:tc>
      </w:tr>
      <w:tr>
        <w:tc>
          <w:tcPr/>
          <w:p>
            <w:pPr>
              <w:pStyle w:val="Compact"/>
            </w:pPr>
            <w:r>
              <w:t xml:space="preserve">Data Model</w:t>
            </w:r>
          </w:p>
        </w:tc>
        <w:tc>
          <w:tcPr/>
          <w:p>
            <w:pPr>
              <w:pStyle w:val="Compact"/>
            </w:pPr>
            <w:r>
              <w:t xml:space="preserve">R-004</w:t>
            </w:r>
          </w:p>
        </w:tc>
        <w:tc>
          <w:tcPr/>
          <w:p>
            <w:pPr>
              <w:pStyle w:val="Compact"/>
            </w:pPr>
            <w:r>
              <w:t xml:space="preserve">8.2/10</w:t>
            </w:r>
          </w:p>
        </w:tc>
        <w:tc>
          <w:tcPr/>
          <w:p>
            <w:pPr>
              <w:pStyle w:val="Compact"/>
            </w:pPr>
            <w:r>
              <w:t xml:space="preserve">PBM domain ontology well-structured</w:t>
            </w:r>
          </w:p>
        </w:tc>
      </w:tr>
      <w:tr>
        <w:tc>
          <w:tcPr/>
          <w:p>
            <w:pPr>
              <w:pStyle w:val="Compact"/>
            </w:pPr>
            <w:r>
              <w:t xml:space="preserve">Security Review</w:t>
            </w:r>
          </w:p>
        </w:tc>
        <w:tc>
          <w:tcPr/>
          <w:p>
            <w:pPr>
              <w:pStyle w:val="Compact"/>
            </w:pPr>
            <w:r>
              <w:t xml:space="preserve">R-005</w:t>
            </w:r>
          </w:p>
        </w:tc>
        <w:tc>
          <w:tcPr/>
          <w:p>
            <w:pPr>
              <w:pStyle w:val="Compact"/>
            </w:pPr>
            <w:r>
              <w:t xml:space="preserve">8.2/10</w:t>
            </w:r>
          </w:p>
        </w:tc>
        <w:tc>
          <w:tcPr/>
          <w:p>
            <w:pPr>
              <w:pStyle w:val="Compact"/>
            </w:pPr>
            <w:r>
              <w:t xml:space="preserve">STRIDE comprehensive; 8 open findings transparent</w:t>
            </w:r>
          </w:p>
        </w:tc>
      </w:tr>
      <w:tr>
        <w:tc>
          <w:tcPr/>
          <w:p>
            <w:pPr>
              <w:pStyle w:val="Compact"/>
            </w:pPr>
            <w:r>
              <w:t xml:space="preserve">Estimate</w:t>
            </w:r>
          </w:p>
        </w:tc>
        <w:tc>
          <w:tcPr/>
          <w:p>
            <w:pPr>
              <w:pStyle w:val="Compact"/>
            </w:pPr>
            <w:r>
              <w:t xml:space="preserve">R-006</w:t>
            </w:r>
          </w:p>
        </w:tc>
        <w:tc>
          <w:tcPr/>
          <w:p>
            <w:pPr>
              <w:pStyle w:val="Compact"/>
            </w:pPr>
            <w:r>
              <w:t xml:space="preserve">8.2/10</w:t>
            </w:r>
          </w:p>
        </w:tc>
        <w:tc>
          <w:tcPr/>
          <w:p>
            <w:pPr>
              <w:pStyle w:val="Compact"/>
            </w:pPr>
            <w:r>
              <w:t xml:space="preserve">Three-point methodology sound</w:t>
            </w:r>
          </w:p>
        </w:tc>
      </w:tr>
      <w:tr>
        <w:tc>
          <w:tcPr/>
          <w:p>
            <w:pPr>
              <w:pStyle w:val="Compact"/>
            </w:pPr>
            <w:r>
              <w:t xml:space="preserve">Project Plan</w:t>
            </w:r>
          </w:p>
        </w:tc>
        <w:tc>
          <w:tcPr/>
          <w:p>
            <w:pPr>
              <w:pStyle w:val="Compact"/>
            </w:pPr>
            <w:r>
              <w:t xml:space="preserve">R-007</w:t>
            </w:r>
          </w:p>
        </w:tc>
        <w:tc>
          <w:tcPr/>
          <w:p>
            <w:pPr>
              <w:pStyle w:val="Compact"/>
            </w:pPr>
            <w:r>
              <w:t xml:space="preserve">8.4/10</w:t>
            </w:r>
          </w:p>
        </w:tc>
        <w:tc>
          <w:tcPr/>
          <w:p>
            <w:pPr>
              <w:pStyle w:val="Compact"/>
            </w:pPr>
            <w:r>
              <w:t xml:space="preserve">Decision gates well-defined</w:t>
            </w:r>
          </w:p>
        </w:tc>
      </w:tr>
    </w:tbl>
    <w:p>
      <w:pPr>
        <w:pStyle w:val="BodyText"/>
      </w:pPr>
      <w:r>
        <w:rPr>
          <w:b/>
          <w:bCs/>
        </w:rPr>
        <w:t xml:space="preserve">Average: 8.2/10 | All PASS (threshold: 7.5/10) | 0 blockers</w:t>
      </w:r>
    </w:p>
    <w:p>
      <w:pPr>
        <w:pStyle w:val="BodyText"/>
      </w:pPr>
      <w:r>
        <w:t xml:space="preserve">The AI productivity research that informed this methodology — BCG x Harvard (AI within capability frontier: +12.2% tasks, +25.1% faster, &gt;40% higher quality; outside frontier: 19% less accurate), METR RCT (experienced developers 19% slower with AI on existing codebases), Faros AI (individual gains neutralized by review bottlenecks) — is the same evidence base I draw from when advising on AI adoption strategy.</w:t>
      </w:r>
    </w:p>
    <w:p>
      <w:r>
        <w:pict>
          <v:rect style="width:0;height:1.5pt" o:hralign="center" o:hrstd="t" o:hr="t"/>
        </w:pict>
      </w:r>
    </w:p>
    <w:bookmarkEnd w:id="77"/>
    <w:bookmarkEnd w:id="78"/>
    <w:bookmarkStart w:id="82" w:name="appendices"/>
    <w:p>
      <w:pPr>
        <w:pStyle w:val="Heading2"/>
      </w:pPr>
      <w:r>
        <w:t xml:space="preserve">Appendices</w:t>
      </w:r>
    </w:p>
    <w:bookmarkStart w:id="79" w:name="appendix-a-glossary"/>
    <w:p>
      <w:pPr>
        <w:pStyle w:val="Heading3"/>
      </w:pPr>
      <w:r>
        <w:t xml:space="preserve">Appendix A: Glossary</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ADKAR</w:t>
            </w:r>
          </w:p>
        </w:tc>
        <w:tc>
          <w:tcPr/>
          <w:p>
            <w:pPr>
              <w:pStyle w:val="Compact"/>
            </w:pPr>
            <w:r>
              <w:t xml:space="preserve">Awareness, Desire, Knowledge, Ability, Reinforcement — Prosci change management model</w:t>
            </w:r>
          </w:p>
        </w:tc>
      </w:tr>
      <w:tr>
        <w:tc>
          <w:tcPr/>
          <w:p>
            <w:pPr>
              <w:pStyle w:val="Compact"/>
            </w:pPr>
            <w:r>
              <w:rPr>
                <w:b/>
                <w:bCs/>
              </w:rPr>
              <w:t xml:space="preserve">BFF</w:t>
            </w:r>
          </w:p>
        </w:tc>
        <w:tc>
          <w:tcPr/>
          <w:p>
            <w:pPr>
              <w:pStyle w:val="Compact"/>
            </w:pPr>
            <w:r>
              <w:t xml:space="preserve">Backend for Frontend — API aggregation layer optimized for specific client needs</w:t>
            </w:r>
          </w:p>
        </w:tc>
      </w:tr>
      <w:tr>
        <w:tc>
          <w:tcPr/>
          <w:p>
            <w:pPr>
              <w:pStyle w:val="Compact"/>
            </w:pPr>
            <w:r>
              <w:rPr>
                <w:b/>
                <w:bCs/>
              </w:rPr>
              <w:t xml:space="preserve">CDC</w:t>
            </w:r>
          </w:p>
        </w:tc>
        <w:tc>
          <w:tcPr/>
          <w:p>
            <w:pPr>
              <w:pStyle w:val="Compact"/>
            </w:pPr>
            <w:r>
              <w:t xml:space="preserve">Change Data Capture — continuous replication of database changes</w:t>
            </w:r>
          </w:p>
        </w:tc>
      </w:tr>
      <w:tr>
        <w:tc>
          <w:tcPr/>
          <w:p>
            <w:pPr>
              <w:pStyle w:val="Compact"/>
            </w:pPr>
            <w:r>
              <w:rPr>
                <w:b/>
                <w:bCs/>
              </w:rPr>
              <w:t xml:space="preserve">CMEK</w:t>
            </w:r>
          </w:p>
        </w:tc>
        <w:tc>
          <w:tcPr/>
          <w:p>
            <w:pPr>
              <w:pStyle w:val="Compact"/>
            </w:pPr>
            <w:r>
              <w:t xml:space="preserve">Customer-Managed Encryption Keys — encryption keys controlled by the customer, not cloud provider</w:t>
            </w:r>
          </w:p>
        </w:tc>
      </w:tr>
      <w:tr>
        <w:tc>
          <w:tcPr/>
          <w:p>
            <w:pPr>
              <w:pStyle w:val="Compact"/>
            </w:pPr>
            <w:r>
              <w:rPr>
                <w:b/>
                <w:bCs/>
              </w:rPr>
              <w:t xml:space="preserve">DUR</w:t>
            </w:r>
          </w:p>
        </w:tc>
        <w:tc>
          <w:tcPr/>
          <w:p>
            <w:pPr>
              <w:pStyle w:val="Compact"/>
            </w:pPr>
            <w:r>
              <w:t xml:space="preserve">Drug Utilization Review — automated screening for drug interactions and clinical issues</w:t>
            </w:r>
          </w:p>
        </w:tc>
      </w:tr>
      <w:tr>
        <w:tc>
          <w:tcPr/>
          <w:p>
            <w:pPr>
              <w:pStyle w:val="Compact"/>
            </w:pPr>
            <w:r>
              <w:rPr>
                <w:b/>
                <w:bCs/>
              </w:rPr>
              <w:t xml:space="preserve">EBCDIC</w:t>
            </w:r>
          </w:p>
        </w:tc>
        <w:tc>
          <w:tcPr/>
          <w:p>
            <w:pPr>
              <w:pStyle w:val="Compact"/>
            </w:pPr>
            <w:r>
              <w:t xml:space="preserve">Extended Binary Coded Decimal Interchange Code — IBM character encoding</w:t>
            </w:r>
          </w:p>
        </w:tc>
      </w:tr>
      <w:tr>
        <w:tc>
          <w:tcPr/>
          <w:p>
            <w:pPr>
              <w:pStyle w:val="Compact"/>
            </w:pPr>
            <w:r>
              <w:rPr>
                <w:b/>
                <w:bCs/>
              </w:rPr>
              <w:t xml:space="preserve">EPCS</w:t>
            </w:r>
          </w:p>
        </w:tc>
        <w:tc>
          <w:tcPr/>
          <w:p>
            <w:pPr>
              <w:pStyle w:val="Compact"/>
            </w:pPr>
            <w:r>
              <w:t xml:space="preserve">Electronic Prescriptions for Controlled Substances (DEA 21 CFR 1311)</w:t>
            </w:r>
          </w:p>
        </w:tc>
      </w:tr>
      <w:tr>
        <w:tc>
          <w:tcPr/>
          <w:p>
            <w:pPr>
              <w:pStyle w:val="Compact"/>
            </w:pPr>
            <w:r>
              <w:rPr>
                <w:b/>
                <w:bCs/>
              </w:rPr>
              <w:t xml:space="preserve">FHIR</w:t>
            </w:r>
          </w:p>
        </w:tc>
        <w:tc>
          <w:tcPr/>
          <w:p>
            <w:pPr>
              <w:pStyle w:val="Compact"/>
            </w:pPr>
            <w:r>
              <w:t xml:space="preserve">Fast Healthcare Interoperability Resources — HL7 standard for healthcare data exchange</w:t>
            </w:r>
          </w:p>
        </w:tc>
      </w:tr>
      <w:tr>
        <w:tc>
          <w:tcPr/>
          <w:p>
            <w:pPr>
              <w:pStyle w:val="Compact"/>
            </w:pPr>
            <w:r>
              <w:rPr>
                <w:b/>
                <w:bCs/>
              </w:rPr>
              <w:t xml:space="preserve">HIPAA</w:t>
            </w:r>
          </w:p>
        </w:tc>
        <w:tc>
          <w:tcPr/>
          <w:p>
            <w:pPr>
              <w:pStyle w:val="Compact"/>
            </w:pPr>
            <w:r>
              <w:t xml:space="preserve">Health Insurance Portability and Accountability Act</w:t>
            </w:r>
          </w:p>
        </w:tc>
      </w:tr>
      <w:tr>
        <w:tc>
          <w:tcPr/>
          <w:p>
            <w:pPr>
              <w:pStyle w:val="Compact"/>
            </w:pPr>
            <w:r>
              <w:rPr>
                <w:b/>
                <w:bCs/>
              </w:rPr>
              <w:t xml:space="preserve">HITL</w:t>
            </w:r>
          </w:p>
        </w:tc>
        <w:tc>
          <w:tcPr/>
          <w:p>
            <w:pPr>
              <w:pStyle w:val="Compact"/>
            </w:pPr>
            <w:r>
              <w:t xml:space="preserve">Human-in-the-Loop — requiring human review of AI-generated outputs</w:t>
            </w:r>
          </w:p>
        </w:tc>
      </w:tr>
      <w:tr>
        <w:tc>
          <w:tcPr/>
          <w:p>
            <w:pPr>
              <w:pStyle w:val="Compact"/>
            </w:pPr>
            <w:r>
              <w:rPr>
                <w:b/>
                <w:bCs/>
              </w:rPr>
              <w:t xml:space="preserve">IBMi</w:t>
            </w:r>
          </w:p>
        </w:tc>
        <w:tc>
          <w:tcPr/>
          <w:p>
            <w:pPr>
              <w:pStyle w:val="Compact"/>
            </w:pPr>
            <w:r>
              <w:t xml:space="preserve">IBM i (formerly AS/400) — midrange server platform running RPG/CL programs</w:t>
            </w:r>
          </w:p>
        </w:tc>
      </w:tr>
      <w:tr>
        <w:tc>
          <w:tcPr/>
          <w:p>
            <w:pPr>
              <w:pStyle w:val="Compact"/>
            </w:pPr>
            <w:r>
              <w:rPr>
                <w:b/>
                <w:bCs/>
              </w:rPr>
              <w:t xml:space="preserve">IWS</w:t>
            </w:r>
          </w:p>
        </w:tc>
        <w:tc>
          <w:tcPr/>
          <w:p>
            <w:pPr>
              <w:pStyle w:val="Compact"/>
            </w:pPr>
            <w:r>
              <w:t xml:space="preserve">IBM Integrated Web Services — native REST API exposure for IBM i</w:t>
            </w:r>
          </w:p>
        </w:tc>
      </w:tr>
      <w:tr>
        <w:tc>
          <w:tcPr/>
          <w:p>
            <w:pPr>
              <w:pStyle w:val="Compact"/>
            </w:pPr>
            <w:r>
              <w:rPr>
                <w:b/>
                <w:bCs/>
              </w:rPr>
              <w:t xml:space="preserve">MFE</w:t>
            </w:r>
          </w:p>
        </w:tc>
        <w:tc>
          <w:tcPr/>
          <w:p>
            <w:pPr>
              <w:pStyle w:val="Compact"/>
            </w:pPr>
            <w:r>
              <w:t xml:space="preserve">Micro-Frontend — independently deployable frontend module</w:t>
            </w:r>
          </w:p>
        </w:tc>
      </w:tr>
      <w:tr>
        <w:tc>
          <w:tcPr/>
          <w:p>
            <w:pPr>
              <w:pStyle w:val="Compact"/>
            </w:pPr>
            <w:r>
              <w:rPr>
                <w:b/>
                <w:bCs/>
              </w:rPr>
              <w:t xml:space="preserve">NCPDP</w:t>
            </w:r>
          </w:p>
        </w:tc>
        <w:tc>
          <w:tcPr/>
          <w:p>
            <w:pPr>
              <w:pStyle w:val="Compact"/>
            </w:pPr>
            <w:r>
              <w:t xml:space="preserve">National Council for Prescription Drug Programs — pharmacy claims standard</w:t>
            </w:r>
          </w:p>
        </w:tc>
      </w:tr>
      <w:tr>
        <w:tc>
          <w:tcPr/>
          <w:p>
            <w:pPr>
              <w:pStyle w:val="Compact"/>
            </w:pPr>
            <w:r>
              <w:rPr>
                <w:b/>
                <w:bCs/>
              </w:rPr>
              <w:t xml:space="preserve">PA</w:t>
            </w:r>
          </w:p>
        </w:tc>
        <w:tc>
          <w:tcPr/>
          <w:p>
            <w:pPr>
              <w:pStyle w:val="Compact"/>
            </w:pPr>
            <w:r>
              <w:t xml:space="preserve">Prior Authorization — process requiring approval before dispensing certain medications</w:t>
            </w:r>
          </w:p>
        </w:tc>
      </w:tr>
      <w:tr>
        <w:tc>
          <w:tcPr/>
          <w:p>
            <w:pPr>
              <w:pStyle w:val="Compact"/>
            </w:pPr>
            <w:r>
              <w:rPr>
                <w:b/>
                <w:bCs/>
              </w:rPr>
              <w:t xml:space="preserve">PBM</w:t>
            </w:r>
          </w:p>
        </w:tc>
        <w:tc>
          <w:tcPr/>
          <w:p>
            <w:pPr>
              <w:pStyle w:val="Compact"/>
            </w:pPr>
            <w:r>
              <w:t xml:space="preserve">Pharmacy Benefits Manager — company administering prescription drug benefits</w:t>
            </w:r>
          </w:p>
        </w:tc>
      </w:tr>
      <w:tr>
        <w:tc>
          <w:tcPr/>
          <w:p>
            <w:pPr>
              <w:pStyle w:val="Compact"/>
            </w:pPr>
            <w:r>
              <w:rPr>
                <w:b/>
                <w:bCs/>
              </w:rPr>
              <w:t xml:space="preserve">PHI</w:t>
            </w:r>
          </w:p>
        </w:tc>
        <w:tc>
          <w:tcPr/>
          <w:p>
            <w:pPr>
              <w:pStyle w:val="Compact"/>
            </w:pPr>
            <w:r>
              <w:t xml:space="preserve">Protected Health Information (HIPAA)</w:t>
            </w:r>
          </w:p>
        </w:tc>
      </w:tr>
      <w:tr>
        <w:tc>
          <w:tcPr/>
          <w:p>
            <w:pPr>
              <w:pStyle w:val="Compact"/>
            </w:pPr>
            <w:r>
              <w:rPr>
                <w:b/>
                <w:bCs/>
              </w:rPr>
              <w:t xml:space="preserve">RLS</w:t>
            </w:r>
          </w:p>
        </w:tc>
        <w:tc>
          <w:tcPr/>
          <w:p>
            <w:pPr>
              <w:pStyle w:val="Compact"/>
            </w:pPr>
            <w:r>
              <w:t xml:space="preserve">Row-Level Security — database-enforced access control per row</w:t>
            </w:r>
          </w:p>
        </w:tc>
      </w:tr>
      <w:tr>
        <w:tc>
          <w:tcPr/>
          <w:p>
            <w:pPr>
              <w:pStyle w:val="Compact"/>
            </w:pPr>
            <w:r>
              <w:rPr>
                <w:b/>
                <w:bCs/>
              </w:rPr>
              <w:t xml:space="preserve">RPG/CL</w:t>
            </w:r>
          </w:p>
        </w:tc>
        <w:tc>
          <w:tcPr/>
          <w:p>
            <w:pPr>
              <w:pStyle w:val="Compact"/>
            </w:pPr>
            <w:r>
              <w:t xml:space="preserve">Report Program Generator / Control Language — IBM i programming languages</w:t>
            </w:r>
          </w:p>
        </w:tc>
      </w:tr>
      <w:tr>
        <w:tc>
          <w:tcPr/>
          <w:p>
            <w:pPr>
              <w:pStyle w:val="Compact"/>
            </w:pPr>
            <w:r>
              <w:rPr>
                <w:b/>
                <w:bCs/>
              </w:rPr>
              <w:t xml:space="preserve">SMART on FHIR</w:t>
            </w:r>
          </w:p>
        </w:tc>
        <w:tc>
          <w:tcPr/>
          <w:p>
            <w:pPr>
              <w:pStyle w:val="Compact"/>
            </w:pPr>
            <w:r>
              <w:t xml:space="preserve">OAuth 2.0-based authorization framework for healthcare applications</w:t>
            </w:r>
          </w:p>
        </w:tc>
      </w:tr>
      <w:tr>
        <w:tc>
          <w:tcPr/>
          <w:p>
            <w:pPr>
              <w:pStyle w:val="Compact"/>
            </w:pPr>
            <w:r>
              <w:rPr>
                <w:b/>
                <w:bCs/>
              </w:rPr>
              <w:t xml:space="preserve">STRIDE</w:t>
            </w:r>
          </w:p>
        </w:tc>
        <w:tc>
          <w:tcPr/>
          <w:p>
            <w:pPr>
              <w:pStyle w:val="Compact"/>
            </w:pPr>
            <w:r>
              <w:t xml:space="preserve">Spoofing, Tampering, Repudiation, Information Disclosure, DoS, Elevation of Privilege</w:t>
            </w:r>
          </w:p>
        </w:tc>
      </w:tr>
      <w:tr>
        <w:tc>
          <w:tcPr/>
          <w:p>
            <w:pPr>
              <w:pStyle w:val="Compact"/>
            </w:pPr>
            <w:r>
              <w:rPr>
                <w:b/>
                <w:bCs/>
              </w:rPr>
              <w:t xml:space="preserve">VPC-SC</w:t>
            </w:r>
          </w:p>
        </w:tc>
        <w:tc>
          <w:tcPr/>
          <w:p>
            <w:pPr>
              <w:pStyle w:val="Compact"/>
            </w:pPr>
            <w:r>
              <w:t xml:space="preserve">VPC Service Controls — Google Cloud API-level security perimeter</w:t>
            </w:r>
          </w:p>
        </w:tc>
      </w:tr>
      <w:tr>
        <w:tc>
          <w:tcPr/>
          <w:p>
            <w:pPr>
              <w:pStyle w:val="Compact"/>
            </w:pPr>
            <w:r>
              <w:rPr>
                <w:b/>
                <w:bCs/>
              </w:rPr>
              <w:t xml:space="preserve">WCAG</w:t>
            </w:r>
          </w:p>
        </w:tc>
        <w:tc>
          <w:tcPr/>
          <w:p>
            <w:pPr>
              <w:pStyle w:val="Compact"/>
            </w:pPr>
            <w:r>
              <w:t xml:space="preserve">Web Content Accessibility Guidelines</w:t>
            </w:r>
          </w:p>
        </w:tc>
      </w:tr>
    </w:tbl>
    <w:bookmarkEnd w:id="79"/>
    <w:bookmarkStart w:id="80" w:name="appendix-b-llm-attribution"/>
    <w:p>
      <w:pPr>
        <w:pStyle w:val="Heading3"/>
      </w:pPr>
      <w:r>
        <w:t xml:space="preserve">Appendix B: LLM Attribution</w:t>
      </w:r>
    </w:p>
    <w:p>
      <w:pPr>
        <w:pStyle w:val="FirstParagraph"/>
      </w:pPr>
      <w:r>
        <w:rPr>
          <w:b/>
          <w:bCs/>
        </w:rPr>
        <w:t xml:space="preserve">Tools</w:t>
      </w:r>
      <w:r>
        <w:t xml:space="preserve">: Anthropic Claude via Claude Code CLI + Solutions Architecture Agent plugin (v1.0.0)</w:t>
      </w:r>
    </w:p>
    <w:tbl>
      <w:tblPr>
        <w:tblStyle w:val="Table"/>
        <w:tblW w:type="pct" w:w="5000"/>
        <w:tblLayout w:type="fixed"/>
        <w:tblLook w:firstRow="1" w:lastRow="0" w:firstColumn="0" w:lastColumn="0" w:noHBand="0" w:noVBand="0" w:val="0020"/>
      </w:tblPr>
      <w:tblGrid>
        <w:gridCol w:w="4488"/>
        <w:gridCol w:w="3432"/>
      </w:tblGrid>
      <w:tr>
        <w:trPr>
          <w:tblHeader w:val="on"/>
        </w:trPr>
        <w:tc>
          <w:tcPr/>
          <w:p>
            <w:pPr>
              <w:pStyle w:val="Compact"/>
            </w:pPr>
            <w:r>
              <w:t xml:space="preserve">Document Section</w:t>
            </w:r>
          </w:p>
        </w:tc>
        <w:tc>
          <w:tcPr/>
          <w:p>
            <w:pPr>
              <w:pStyle w:val="Compact"/>
            </w:pPr>
            <w:r>
              <w:t xml:space="preserve">Attribution</w:t>
            </w:r>
          </w:p>
        </w:tc>
      </w:tr>
      <w:tr>
        <w:tc>
          <w:tcPr/>
          <w:p>
            <w:pPr>
              <w:pStyle w:val="Compact"/>
            </w:pPr>
            <w:r>
              <w:t xml:space="preserve">Executive Summary</w:t>
            </w:r>
          </w:p>
        </w:tc>
        <w:tc>
          <w:tcPr/>
          <w:p>
            <w:pPr>
              <w:pStyle w:val="Compact"/>
            </w:pPr>
            <w:r>
              <w:t xml:space="preserve">Human-directed, AI-drafted</w:t>
            </w:r>
          </w:p>
        </w:tc>
      </w:tr>
      <w:tr>
        <w:tc>
          <w:tcPr/>
          <w:p>
            <w:pPr>
              <w:pStyle w:val="Compact"/>
            </w:pPr>
            <w:r>
              <w:t xml:space="preserve">Legacy System Integration</w:t>
            </w:r>
          </w:p>
        </w:tc>
        <w:tc>
          <w:tcPr/>
          <w:p>
            <w:pPr>
              <w:pStyle w:val="Compact"/>
            </w:pPr>
            <w:r>
              <w:t xml:space="preserve">Human-decided, AI-researched (11 IBMi sources)</w:t>
            </w:r>
          </w:p>
        </w:tc>
      </w:tr>
      <w:tr>
        <w:tc>
          <w:tcPr/>
          <w:p>
            <w:pPr>
              <w:pStyle w:val="Compact"/>
            </w:pPr>
            <w:r>
              <w:t xml:space="preserve">Human-Centered Design</w:t>
            </w:r>
          </w:p>
        </w:tc>
        <w:tc>
          <w:tcPr/>
          <w:p>
            <w:pPr>
              <w:pStyle w:val="Compact"/>
            </w:pPr>
            <w:r>
              <w:rPr>
                <w:b/>
                <w:bCs/>
              </w:rPr>
              <w:t xml:space="preserve">Human-authored</w:t>
            </w:r>
            <w:r>
              <w:t xml:space="preserve"> </w:t>
            </w:r>
            <w:r>
              <w:t xml:space="preserve">(Cognitive Science grounding), AI-assisted</w:t>
            </w:r>
          </w:p>
        </w:tc>
      </w:tr>
      <w:tr>
        <w:tc>
          <w:tcPr/>
          <w:p>
            <w:pPr>
              <w:pStyle w:val="Compact"/>
            </w:pPr>
            <w:r>
              <w:t xml:space="preserve">Solution Architecture</w:t>
            </w:r>
          </w:p>
        </w:tc>
        <w:tc>
          <w:tcPr/>
          <w:p>
            <w:pPr>
              <w:pStyle w:val="Compact"/>
            </w:pPr>
            <w:r>
              <w:t xml:space="preserve">Human-decided (3-option pivot), AI-executed</w:t>
            </w:r>
          </w:p>
        </w:tc>
      </w:tr>
      <w:tr>
        <w:tc>
          <w:tcPr/>
          <w:p>
            <w:pPr>
              <w:pStyle w:val="Compact"/>
            </w:pPr>
            <w:r>
              <w:t xml:space="preserve">IAM Strategy</w:t>
            </w:r>
          </w:p>
        </w:tc>
        <w:tc>
          <w:tcPr/>
          <w:p>
            <w:pPr>
              <w:pStyle w:val="Compact"/>
            </w:pPr>
            <w:r>
              <w:t xml:space="preserve">Human-designed, AI-researched (SMART on FHIR, NIST 800-207)</w:t>
            </w:r>
          </w:p>
        </w:tc>
      </w:tr>
      <w:tr>
        <w:tc>
          <w:tcPr/>
          <w:p>
            <w:pPr>
              <w:pStyle w:val="Compact"/>
            </w:pPr>
            <w:r>
              <w:t xml:space="preserve">Change Management</w:t>
            </w:r>
          </w:p>
        </w:tc>
        <w:tc>
          <w:tcPr/>
          <w:p>
            <w:pPr>
              <w:pStyle w:val="Compact"/>
            </w:pPr>
            <w:r>
              <w:t xml:space="preserve">Human-designed (ADKAR application), AI-researched</w:t>
            </w:r>
          </w:p>
        </w:tc>
      </w:tr>
      <w:tr>
        <w:tc>
          <w:tcPr/>
          <w:p>
            <w:pPr>
              <w:pStyle w:val="Compact"/>
            </w:pPr>
            <w:r>
              <w:t xml:space="preserve">Implementation Roadmap</w:t>
            </w:r>
          </w:p>
        </w:tc>
        <w:tc>
          <w:tcPr/>
          <w:p>
            <w:pPr>
              <w:pStyle w:val="Compact"/>
            </w:pPr>
            <w:r>
              <w:t xml:space="preserve">Human-directed, AI-calculated (PERT estimation)</w:t>
            </w:r>
          </w:p>
        </w:tc>
      </w:tr>
      <w:tr>
        <w:tc>
          <w:tcPr/>
          <w:p>
            <w:pPr>
              <w:pStyle w:val="Compact"/>
            </w:pPr>
            <w:r>
              <w:t xml:space="preserve">AI Methodology</w:t>
            </w:r>
          </w:p>
        </w:tc>
        <w:tc>
          <w:tcPr/>
          <w:p>
            <w:pPr>
              <w:pStyle w:val="Compact"/>
            </w:pPr>
            <w:r>
              <w:rPr>
                <w:b/>
                <w:bCs/>
              </w:rPr>
              <w:t xml:space="preserve">Human-authored</w:t>
            </w:r>
          </w:p>
        </w:tc>
      </w:tr>
      <w:tr>
        <w:tc>
          <w:tcPr/>
          <w:p>
            <w:pPr>
              <w:pStyle w:val="Compact"/>
            </w:pPr>
            <w:r>
              <w:t xml:space="preserve">Honesty Map</w:t>
            </w:r>
          </w:p>
        </w:tc>
        <w:tc>
          <w:tcPr/>
          <w:p>
            <w:pPr>
              <w:pStyle w:val="Compact"/>
            </w:pPr>
            <w:r>
              <w:rPr>
                <w:b/>
                <w:bCs/>
              </w:rPr>
              <w:t xml:space="preserve">Human-authored</w:t>
            </w:r>
            <w:r>
              <w:t xml:space="preserve"> </w:t>
            </w:r>
            <w:r>
              <w:t xml:space="preserve">(no AI judgment)</w:t>
            </w:r>
          </w:p>
        </w:tc>
      </w:tr>
      <w:tr>
        <w:tc>
          <w:tcPr/>
          <w:p>
            <w:pPr>
              <w:pStyle w:val="Compact"/>
            </w:pPr>
            <w:r>
              <w:t xml:space="preserve">Mermaid Diagrams</w:t>
            </w:r>
          </w:p>
        </w:tc>
        <w:tc>
          <w:tcPr/>
          <w:p>
            <w:pPr>
              <w:pStyle w:val="Compact"/>
            </w:pPr>
            <w:r>
              <w:t xml:space="preserve">Human-directed, AI-generated syntax</w:t>
            </w:r>
          </w:p>
        </w:tc>
      </w:tr>
    </w:tbl>
    <w:p>
      <w:pPr>
        <w:pStyle w:val="BodyText"/>
      </w:pPr>
      <w:r>
        <w:rPr>
          <w:b/>
          <w:bCs/>
        </w:rPr>
        <w:t xml:space="preserve">No section was AI-generated without human review.</w:t>
      </w:r>
      <w:r>
        <w:t xml:space="preserve"> </w:t>
      </w:r>
      <w:r>
        <w:t xml:space="preserve">All architecture decisions, experience assessments, quality judgments, and narrative framing are mine. The AI amplified my capacity to gather evidence and produce structured artifacts — it did not replace my judgment.</w:t>
      </w:r>
    </w:p>
    <w:bookmarkEnd w:id="80"/>
    <w:bookmarkStart w:id="81" w:name="appendix-c-about-the-author"/>
    <w:p>
      <w:pPr>
        <w:pStyle w:val="Heading3"/>
      </w:pPr>
      <w:r>
        <w:t xml:space="preserve">Appendix C: About the Author</w:t>
      </w:r>
    </w:p>
    <w:p>
      <w:pPr>
        <w:pStyle w:val="FirstParagraph"/>
      </w:pPr>
      <w:r>
        <w:rPr>
          <w:b/>
          <w:bCs/>
        </w:rPr>
        <w:t xml:space="preserve">Paul Prae</w:t>
      </w:r>
      <w:r>
        <w:t xml:space="preserve"> </w:t>
      </w:r>
      <w:r>
        <w:t xml:space="preserve">— Solutions Architect, Modular Earth LLC</w:t>
      </w:r>
    </w:p>
    <w:p>
      <w:pPr>
        <w:pStyle w:val="BodyText"/>
      </w:pPr>
      <w:r>
        <w:t xml:space="preserve">15 years building AI and data systems in healthcare, life science, and enterprise technology. BA in Cognitive Science (AI focus) and BS in Computer Science from the University of Georgia.</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Claim</w:t>
            </w:r>
          </w:p>
        </w:tc>
        <w:tc>
          <w:tcPr/>
          <w:p>
            <w:pPr>
              <w:pStyle w:val="Compact"/>
            </w:pPr>
            <w:r>
              <w:t xml:space="preserve">Evidence</w:t>
            </w:r>
          </w:p>
        </w:tc>
      </w:tr>
      <w:tr>
        <w:tc>
          <w:tcPr/>
          <w:p>
            <w:pPr>
              <w:pStyle w:val="Compact"/>
            </w:pPr>
            <w:r>
              <w:t xml:space="preserve">15+ ML projects</w:t>
            </w:r>
          </w:p>
        </w:tc>
        <w:tc>
          <w:tcPr/>
          <w:p>
            <w:pPr>
              <w:pStyle w:val="Compact"/>
            </w:pPr>
            <w:r>
              <w:t xml:space="preserve">NeuroLex, Decooda, Slalom, AWS (SA for ML customers), TReNDS, Hyperbloom, Booz Allen, Arine, Modular Earth</w:t>
            </w:r>
          </w:p>
        </w:tc>
      </w:tr>
      <w:tr>
        <w:tc>
          <w:tcPr/>
          <w:p>
            <w:pPr>
              <w:pStyle w:val="Compact"/>
            </w:pPr>
            <w:r>
              <w:t xml:space="preserve">3 healthcare AI roles</w:t>
            </w:r>
          </w:p>
        </w:tc>
        <w:tc>
          <w:tcPr/>
          <w:p>
            <w:pPr>
              <w:pStyle w:val="Compact"/>
            </w:pPr>
            <w:r>
              <w:t xml:space="preserve">Arine (Staff AI DataOps), Booz Allen (Chief AI Architect), NeuroLex (Senior AI Engineer)</w:t>
            </w:r>
          </w:p>
        </w:tc>
      </w:tr>
      <w:tr>
        <w:tc>
          <w:tcPr/>
          <w:p>
            <w:pPr>
              <w:pStyle w:val="Compact"/>
            </w:pPr>
            <w:r>
              <w:t xml:space="preserve">AWS SA for 3 years</w:t>
            </w:r>
          </w:p>
        </w:tc>
        <w:tc>
          <w:tcPr/>
          <w:p>
            <w:pPr>
              <w:pStyle w:val="Compact"/>
            </w:pPr>
            <w:r>
              <w:t xml:space="preserve">Amazon Web Services, Enterprise AI/ML SA (SageMaker/Bedrock specialization)</w:t>
            </w:r>
          </w:p>
        </w:tc>
      </w:tr>
      <w:tr>
        <w:tc>
          <w:tcPr/>
          <w:p>
            <w:pPr>
              <w:pStyle w:val="Compact"/>
            </w:pPr>
            <w:r>
              <w:t xml:space="preserve">Autonomous pharmacist agent</w:t>
            </w:r>
          </w:p>
        </w:tc>
        <w:tc>
          <w:tcPr/>
          <w:p>
            <w:pPr>
              <w:pStyle w:val="Compact"/>
            </w:pPr>
            <w:r>
              <w:t xml:space="preserve">Arine — observability pipeline for autonomous pharmacist AI agent, trained 100 engineers</w:t>
            </w:r>
          </w:p>
        </w:tc>
      </w:tr>
      <w:tr>
        <w:tc>
          <w:tcPr/>
          <w:p>
            <w:pPr>
              <w:pStyle w:val="Compact"/>
            </w:pPr>
            <w:r>
              <w:t xml:space="preserve">Executive AI coaching</w:t>
            </w:r>
          </w:p>
        </w:tc>
        <w:tc>
          <w:tcPr/>
          <w:p>
            <w:pPr>
              <w:pStyle w:val="Compact"/>
            </w:pPr>
            <w:r>
              <w:t xml:space="preserve">Mento — 100% leadership improvement, 93% performance improvement</w:t>
            </w:r>
          </w:p>
        </w:tc>
      </w:tr>
      <w:tr>
        <w:tc>
          <w:tcPr/>
          <w:p>
            <w:pPr>
              <w:pStyle w:val="Compact"/>
            </w:pPr>
            <w:r>
              <w:t xml:space="preserve">Fortune 500 clients</w:t>
            </w:r>
          </w:p>
        </w:tc>
        <w:tc>
          <w:tcPr/>
          <w:p>
            <w:pPr>
              <w:pStyle w:val="Compact"/>
            </w:pPr>
            <w:r>
              <w:t xml:space="preserve">AWS (Cox, Equifax, NCR), Microsoft (Chevron, Shell, Walmart, Disney, BoA), Slalom</w:t>
            </w:r>
          </w:p>
        </w:tc>
      </w:tr>
      <w:tr>
        <w:tc>
          <w:tcPr/>
          <w:p>
            <w:pPr>
              <w:pStyle w:val="Compact"/>
            </w:pPr>
            <w:r>
              <w:t xml:space="preserve">Zero GCP experience</w:t>
            </w:r>
          </w:p>
        </w:tc>
        <w:tc>
          <w:tcPr/>
          <w:p>
            <w:pPr>
              <w:pStyle w:val="Compact"/>
            </w:pPr>
            <w:r>
              <w:t xml:space="preserve">Transparent — no GCP role in career history</w:t>
            </w:r>
          </w:p>
        </w:tc>
      </w:tr>
      <w:tr>
        <w:tc>
          <w:tcPr/>
          <w:p>
            <w:pPr>
              <w:pStyle w:val="Compact"/>
            </w:pPr>
            <w:r>
              <w:t xml:space="preserve">Zero IBMi experience</w:t>
            </w:r>
          </w:p>
        </w:tc>
        <w:tc>
          <w:tcPr/>
          <w:p>
            <w:pPr>
              <w:pStyle w:val="Compact"/>
            </w:pPr>
            <w:r>
              <w:t xml:space="preserve">Transparent — no IBMi role in career history</w:t>
            </w:r>
          </w:p>
        </w:tc>
      </w:tr>
    </w:tbl>
    <w:p>
      <w:pPr>
        <w:pStyle w:val="BodyText"/>
      </w:pPr>
      <w:r>
        <w:rPr>
          <w:b/>
          <w:bCs/>
        </w:rPr>
        <w:t xml:space="preserve">No claim in this document exceeds what my career data supports.</w:t>
      </w:r>
      <w:r>
        <w:t xml:space="preserve"> </w:t>
      </w:r>
      <w:r>
        <w:t xml:space="preserve">Where I relied on research rather than experience, it’s labeled. Where I have genuine gaps, they’re acknowledged.</w:t>
      </w:r>
    </w:p>
    <w:p>
      <w:r>
        <w:pict>
          <v:rect style="width:0;height:1.5pt" o:hralign="center" o:hrstd="t" o:hr="t"/>
        </w:pict>
      </w:r>
    </w:p>
    <w:p>
      <w:pPr>
        <w:pStyle w:val="BlockText"/>
      </w:pPr>
      <w:r>
        <w:rPr>
          <w:b/>
          <w:bCs/>
        </w:rPr>
        <w:t xml:space="preserve">AI Disclosure</w:t>
      </w:r>
      <w:r>
        <w:t xml:space="preserve">: Produced with AI assistance (Anthropic Claude via Claude Code). Architecture decisions, experience claims, and quality assessments are the author’s. See §7 and Appendix B for full methodology and attribution.</w:t>
      </w:r>
    </w:p>
    <w:bookmarkEnd w:id="81"/>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9" Target="media/rId49.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2026-03-17T13:39:46Z</dcterms:created>
  <dcterms:modified xsi:type="dcterms:W3CDTF">2026-03-17T13:39:46Z</dcterms:modified>
</cp:coreProperties>
</file>

<file path=docProps/custom.xml><?xml version="1.0" encoding="utf-8"?>
<Properties xmlns="http://schemas.openxmlformats.org/officeDocument/2006/custom-properties" xmlns:vt="http://schemas.openxmlformats.org/officeDocument/2006/docPropsVTypes"/>
</file>