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meta-json: {"title":"</w:t>
      </w:r>
      <w:r>
        <w:t xml:space="preserve">Module Specifications"}</w:t>
      </w:r>
      <w:r>
        <w:t xml:space="preserve"> </w:t>
      </w:r>
      <w:r>
        <w:t xml:space="preserve">title:</w:t>
      </w:r>
      <w:r>
        <w:t xml:space="preserve"> </w:t>
      </w:r>
      <w:r>
        <w:t xml:space="preserve">Module Specifications</w:t>
      </w:r>
    </w:p>
    <w:p>
      <w:pPr>
        <w:pStyle w:val="BodyText"/>
      </w:pPr>
      <w:r>
        <w:rPr>
          <w:b/>
        </w:rPr>
        <w:t xml:space="preserve">Adapted from NMRA &amp; Piedmont Division Standards</w:t>
      </w:r>
    </w:p>
    <w:p>
      <w:pPr>
        <w:pStyle w:val="BodyText"/>
      </w:pPr>
      <w:r>
        <w:rPr>
          <w:b/>
        </w:rPr>
        <w:t xml:space="preserve">NMRA Compatible</w:t>
      </w:r>
    </w:p>
    <w:p>
      <w:pPr>
        <w:pStyle w:val="BodyText"/>
      </w:pPr>
      <w:r>
        <w:t xml:space="preserve">Release 5.0</w:t>
      </w:r>
      <w:r>
        <w:br w:type="textWrapping"/>
      </w:r>
      <w:r>
        <w:t xml:space="preserve">October, 2017</w:t>
      </w:r>
      <w:r>
        <w:br w:type="textWrapping"/>
      </w:r>
      <w:r>
        <w:t xml:space="preserve">© 2017 NGM, Inc.</w:t>
      </w:r>
    </w:p>
    <w:p>
      <w:pPr>
        <w:pStyle w:val="BodyText"/>
      </w:pPr>
      <w:r>
        <w:t xml:space="preserve">Copyright 2017 North Georgia Modurail, Inc.</w:t>
      </w:r>
      <w:r>
        <w:br w:type="textWrapping"/>
      </w:r>
      <w:r>
        <w:t xml:space="preserve">with portions copyright 1990,94 NMRA Piedmont Division</w:t>
      </w:r>
    </w:p>
    <w:p>
      <w:pPr>
        <w:pStyle w:val="BodyText"/>
      </w:pPr>
      <w:r>
        <w:t xml:space="preserve">(Special Thanks to Dick Burt, Piedmont Division)</w:t>
      </w:r>
    </w:p>
    <w:p>
      <w:pPr>
        <w:pStyle w:val="Heading1"/>
      </w:pPr>
      <w:bookmarkStart w:id="21" w:name="table-of-contents"/>
      <w:bookmarkEnd w:id="21"/>
      <w:r>
        <w:t xml:space="preserve">Table of Contents</w:t>
      </w:r>
    </w:p>
    <w:p>
      <w:pPr>
        <w:pStyle w:val="FirstParagraph"/>
      </w:pPr>
      <w:r>
        <w:t xml:space="preserve">[TOC removed as it will be auto-generated on post-processing.]</w:t>
      </w:r>
    </w:p>
    <w:p>
      <w:pPr>
        <w:pStyle w:val="Heading1"/>
      </w:pPr>
      <w:bookmarkStart w:id="22" w:name="introduction"/>
      <w:bookmarkEnd w:id="22"/>
      <w:r>
        <w:t xml:space="preserve">Introduction</w:t>
      </w:r>
    </w:p>
    <w:p>
      <w:pPr>
        <w:pStyle w:val="FirstParagraph"/>
      </w:pPr>
      <w:r>
        <w:t xml:space="preserve">This document describes the standards, requirements and recommended</w:t>
      </w:r>
      <w:r>
        <w:t xml:space="preserve"> </w:t>
      </w:r>
      <w:r>
        <w:t xml:space="preserve">practices of the</w:t>
      </w:r>
      <w:r>
        <w:t xml:space="preserve"> </w:t>
      </w:r>
      <w:r>
        <w:rPr>
          <w:b/>
        </w:rPr>
        <w:t xml:space="preserve">North Georgia Modurail</w:t>
      </w:r>
      <w:r>
        <w:t xml:space="preserve"> </w:t>
      </w:r>
      <w:r>
        <w:t xml:space="preserve">group (</w:t>
      </w:r>
      <w:r>
        <w:rPr>
          <w:b/>
        </w:rPr>
        <w:t xml:space="preserve">NGM</w:t>
      </w:r>
      <w:r>
        <w:t xml:space="preserve">). It documents the</w:t>
      </w:r>
      <w:r>
        <w:t xml:space="preserve"> </w:t>
      </w:r>
      <w:r>
        <w:t xml:space="preserve">requirements a module must meet to interchange with other</w:t>
      </w:r>
      <w:r>
        <w:t xml:space="preserve"> </w:t>
      </w:r>
      <w:r>
        <w:rPr>
          <w:b/>
        </w:rPr>
        <w:t xml:space="preserve">NGM</w:t>
      </w:r>
      <w:r>
        <w:t xml:space="preserve"> </w:t>
      </w:r>
      <w:r>
        <w:t xml:space="preserve">modules.</w:t>
      </w:r>
    </w:p>
    <w:p>
      <w:pPr>
        <w:pStyle w:val="BodyText"/>
      </w:pPr>
      <w:r>
        <w:t xml:space="preserve">An</w:t>
      </w:r>
      <w:r>
        <w:t xml:space="preserve"> </w:t>
      </w:r>
      <w:r>
        <w:rPr>
          <w:b/>
        </w:rPr>
        <w:t xml:space="preserve">NGM</w:t>
      </w:r>
      <w:r>
        <w:t xml:space="preserve"> </w:t>
      </w:r>
      <w:r>
        <w:t xml:space="preserve">module is a lightweight, portable, interchangeable section of</w:t>
      </w:r>
      <w:r>
        <w:t xml:space="preserve"> </w:t>
      </w:r>
      <w:r>
        <w:t xml:space="preserve">a larger layout that, when assembled together, forms a layout capable of</w:t>
      </w:r>
      <w:r>
        <w:t xml:space="preserve"> </w:t>
      </w:r>
      <w:r>
        <w:t xml:space="preserve">handling continuously running trains. While mated modules are common,</w:t>
      </w:r>
      <w:r>
        <w:t xml:space="preserve"> </w:t>
      </w:r>
      <w:r>
        <w:t xml:space="preserve">individual modules are considered to be stand-alone dioramas that may be</w:t>
      </w:r>
      <w:r>
        <w:t xml:space="preserve"> </w:t>
      </w:r>
      <w:r>
        <w:t xml:space="preserve">placed anywhere in the layout.</w:t>
      </w:r>
    </w:p>
    <w:p>
      <w:pPr>
        <w:pStyle w:val="BodyText"/>
      </w:pPr>
      <w:r>
        <w:t xml:space="preserve">The intent of these standards is to allow a wide range of individual</w:t>
      </w:r>
      <w:r>
        <w:t xml:space="preserve"> </w:t>
      </w:r>
      <w:r>
        <w:t xml:space="preserve">expression while providing a vehicle for model railroaders to get</w:t>
      </w:r>
      <w:r>
        <w:t xml:space="preserve"> </w:t>
      </w:r>
      <w:r>
        <w:t xml:space="preserve">together to run trains. It provides an excellent method for those with</w:t>
      </w:r>
      <w:r>
        <w:t xml:space="preserve"> </w:t>
      </w:r>
      <w:r>
        <w:t xml:space="preserve">novice skills to learn from more experienced modelers through workshops and</w:t>
      </w:r>
      <w:r>
        <w:t xml:space="preserve"> </w:t>
      </w:r>
      <w:r>
        <w:t xml:space="preserve">operating sessions. It provides a method with which to promote the</w:t>
      </w:r>
      <w:r>
        <w:t xml:space="preserve"> </w:t>
      </w:r>
      <w:r>
        <w:t xml:space="preserve">fellowship of the hobby and to spark an interest in those who don't</w:t>
      </w:r>
      <w:r>
        <w:t xml:space="preserve"> </w:t>
      </w:r>
      <w:r>
        <w:t xml:space="preserve">have their own home layout.</w:t>
      </w:r>
    </w:p>
    <w:p>
      <w:pPr>
        <w:pStyle w:val="Heading1"/>
      </w:pPr>
      <w:bookmarkStart w:id="23" w:name="revision-history"/>
      <w:bookmarkEnd w:id="23"/>
      <w:r>
        <w:t xml:space="preserve">Revision History</w:t>
      </w:r>
    </w:p>
    <w:p>
      <w:pPr>
        <w:pStyle w:val="Heading2"/>
      </w:pPr>
      <w:bookmarkStart w:id="24" w:name="rev-3.0"/>
      <w:bookmarkEnd w:id="24"/>
      <w:r>
        <w:t xml:space="preserve">Rev 3.0</w:t>
      </w:r>
    </w:p>
    <w:p>
      <w:pPr>
        <w:pStyle w:val="Heading2"/>
      </w:pPr>
      <w:bookmarkStart w:id="25" w:name="rev-4.0"/>
      <w:bookmarkEnd w:id="25"/>
      <w:r>
        <w:t xml:space="preserve">Rev 4.0</w:t>
      </w:r>
    </w:p>
    <w:p>
      <w:pPr>
        <w:pStyle w:val="FirstParagraph"/>
      </w:pPr>
      <w:r>
        <w:t xml:space="preserve">Chart NGME 1.0: Changed recommended wire colors.</w:t>
      </w:r>
    </w:p>
    <w:p>
      <w:pPr>
        <w:pStyle w:val="BodyText"/>
      </w:pPr>
      <w:r>
        <w:t xml:space="preserve">Chart NGME 1.1: Changed plug and socket.</w:t>
      </w:r>
    </w:p>
    <w:p>
      <w:pPr>
        <w:pStyle w:val="BodyText"/>
      </w:pPr>
      <w:r>
        <w:t xml:space="preserve">Chart NGME 1.2: Removed requirement for AC power strip.</w:t>
      </w:r>
    </w:p>
    <w:p>
      <w:pPr>
        <w:pStyle w:val="BodyText"/>
      </w:pPr>
      <w:r>
        <w:t xml:space="preserve">Paragraph 2.1.1: Changed bus connection from "through module" to</w:t>
      </w:r>
      <w:r>
        <w:t xml:space="preserve"> </w:t>
      </w:r>
      <w:r>
        <w:t xml:space="preserve">"backbone" method.</w:t>
      </w:r>
    </w:p>
    <w:p>
      <w:pPr>
        <w:pStyle w:val="BodyText"/>
      </w:pPr>
      <w:r>
        <w:t xml:space="preserve">Paragraph 2.1.2: Changed description of Main Electrical Bus.</w:t>
      </w:r>
    </w:p>
    <w:p>
      <w:pPr>
        <w:pStyle w:val="BodyText"/>
      </w:pPr>
      <w:r>
        <w:t xml:space="preserve">Paragraph 2.1.3.1: Modified to reflect change in connector.</w:t>
      </w:r>
    </w:p>
    <w:p>
      <w:pPr>
        <w:pStyle w:val="BodyText"/>
      </w:pPr>
      <w:r>
        <w:t xml:space="preserve">Paragraph 2.1.3.2: Modified to reflect change in connector.</w:t>
      </w:r>
    </w:p>
    <w:p>
      <w:pPr>
        <w:pStyle w:val="BodyText"/>
      </w:pPr>
      <w:r>
        <w:t xml:space="preserve">Paragraph 2.1.3.3: Removed.</w:t>
      </w:r>
    </w:p>
    <w:p>
      <w:pPr>
        <w:pStyle w:val="BodyText"/>
      </w:pPr>
      <w:r>
        <w:t xml:space="preserve">Added Paragraph 2.1.6</w:t>
      </w:r>
    </w:p>
    <w:p>
      <w:pPr>
        <w:pStyle w:val="Heading2"/>
      </w:pPr>
      <w:bookmarkStart w:id="26" w:name="rev-4.1"/>
      <w:bookmarkEnd w:id="26"/>
      <w:r>
        <w:t xml:space="preserve">Rev 4.1</w:t>
      </w:r>
    </w:p>
    <w:p>
      <w:pPr>
        <w:pStyle w:val="FirstParagraph"/>
      </w:pPr>
      <w:r>
        <w:t xml:space="preserve">Diagram text formatting</w:t>
      </w:r>
    </w:p>
    <w:p>
      <w:pPr>
        <w:pStyle w:val="BodyText"/>
      </w:pPr>
      <w:r>
        <w:t xml:space="preserve">Updated Table of Contents</w:t>
      </w:r>
    </w:p>
    <w:p>
      <w:pPr>
        <w:pStyle w:val="BodyText"/>
      </w:pPr>
      <w:r>
        <w:t xml:space="preserve">No content modifications</w:t>
      </w:r>
    </w:p>
    <w:p>
      <w:pPr>
        <w:pStyle w:val="Heading2"/>
      </w:pPr>
      <w:bookmarkStart w:id="27" w:name="rev-5.0"/>
      <w:bookmarkEnd w:id="27"/>
      <w:r>
        <w:t xml:space="preserve">Rev 5.0</w:t>
      </w:r>
    </w:p>
    <w:p>
      <w:pPr>
        <w:pStyle w:val="FirstParagraph"/>
      </w:pPr>
      <w:r>
        <w:t xml:space="preserve">[Add all changes from 4.1 to 5.0 here.]</w:t>
      </w:r>
    </w:p>
    <w:p>
      <w:pPr>
        <w:pStyle w:val="Heading3"/>
      </w:pPr>
      <w:bookmarkStart w:id="28" w:name="introduction-1"/>
      <w:bookmarkEnd w:id="28"/>
      <w:r>
        <w:t xml:space="preserve">Introduction</w:t>
      </w:r>
    </w:p>
    <w:p>
      <w:pPr>
        <w:pStyle w:val="Compact"/>
        <w:numPr>
          <w:numId w:val="1001"/>
          <w:ilvl w:val="0"/>
        </w:numPr>
      </w:pPr>
      <w:r>
        <w:t xml:space="preserve">Updates and minor editorial changes to the document introduction.</w:t>
      </w:r>
    </w:p>
    <w:p>
      <w:pPr>
        <w:pStyle w:val="Heading3"/>
      </w:pPr>
      <w:bookmarkStart w:id="29" w:name="rolling-stock"/>
      <w:bookmarkEnd w:id="29"/>
      <w:r>
        <w:t xml:space="preserve">Rolling Stock</w:t>
      </w:r>
    </w:p>
    <w:p>
      <w:pPr>
        <w:pStyle w:val="Compact"/>
        <w:numPr>
          <w:numId w:val="1002"/>
          <w:ilvl w:val="0"/>
        </w:numPr>
      </w:pPr>
      <w:r>
        <w:t xml:space="preserve">Removed the Rolling Stock section as it is more appropriate in an Operations Guideline document.</w:t>
      </w:r>
    </w:p>
    <w:p>
      <w:pPr>
        <w:pStyle w:val="Heading3"/>
      </w:pPr>
      <w:bookmarkStart w:id="30" w:name="electrical-standards"/>
      <w:bookmarkEnd w:id="30"/>
      <w:r>
        <w:t xml:space="preserve">Electrical Standards</w:t>
      </w:r>
    </w:p>
    <w:p>
      <w:pPr>
        <w:pStyle w:val="Compact"/>
        <w:numPr>
          <w:numId w:val="1003"/>
          <w:ilvl w:val="0"/>
        </w:numPr>
      </w:pPr>
      <w:r>
        <w:t xml:space="preserve">2.0.1 Removed references to NMRA and old NGM standards. Replace Pin # with Anderson Housing number. Changed 18VAC to 16VAC.</w:t>
      </w:r>
    </w:p>
    <w:p>
      <w:pPr>
        <w:pStyle w:val="Compact"/>
        <w:numPr>
          <w:numId w:val="1003"/>
          <w:ilvl w:val="0"/>
        </w:numPr>
      </w:pPr>
      <w:r>
        <w:t xml:space="preserve">2.0.2 Removed references to NMRA and old NGM standards. Updated to reflect the use of Anderson connectors.</w:t>
      </w:r>
    </w:p>
    <w:p>
      <w:pPr>
        <w:pStyle w:val="Compact"/>
        <w:numPr>
          <w:numId w:val="1003"/>
          <w:ilvl w:val="0"/>
        </w:numPr>
      </w:pPr>
      <w:r>
        <w:t xml:space="preserve">2.0.3 Removed references to NMRA and old NGM standards. Removed Orientation line.</w:t>
      </w:r>
    </w:p>
    <w:p>
      <w:pPr>
        <w:pStyle w:val="Compact"/>
        <w:numPr>
          <w:numId w:val="1003"/>
          <w:ilvl w:val="0"/>
        </w:numPr>
      </w:pPr>
      <w:r>
        <w:t xml:space="preserve">2.1.1 Rewritten for Anderson connectors instead of ATA 9-pin connector.</w:t>
      </w:r>
    </w:p>
    <w:p>
      <w:pPr>
        <w:pStyle w:val="Compact"/>
        <w:numPr>
          <w:numId w:val="1003"/>
          <w:ilvl w:val="0"/>
        </w:numPr>
      </w:pPr>
      <w:r>
        <w:t xml:space="preserve">2.1.2 Rewritten for Anderson connectors instead of ATA 9-pin connector.</w:t>
      </w:r>
    </w:p>
    <w:p>
      <w:pPr>
        <w:pStyle w:val="Compact"/>
        <w:numPr>
          <w:numId w:val="1003"/>
          <w:ilvl w:val="0"/>
        </w:numPr>
      </w:pPr>
      <w:r>
        <w:t xml:space="preserve">2.1.3.1 Rewritten for Anderson connectors instead of ATA 9-pin connector.</w:t>
      </w:r>
    </w:p>
    <w:p>
      <w:pPr>
        <w:pStyle w:val="Compact"/>
        <w:numPr>
          <w:numId w:val="1003"/>
          <w:ilvl w:val="0"/>
        </w:numPr>
      </w:pPr>
      <w:r>
        <w:t xml:space="preserve">2.1.3.2 Rewritten for Anderson connectors instead of ATA 9-pin connector.</w:t>
      </w:r>
    </w:p>
    <w:p>
      <w:pPr>
        <w:pStyle w:val="Compact"/>
        <w:numPr>
          <w:numId w:val="1003"/>
          <w:ilvl w:val="0"/>
        </w:numPr>
      </w:pPr>
      <w:r>
        <w:t xml:space="preserve">2.1.3.4 Removed.</w:t>
      </w:r>
    </w:p>
    <w:p>
      <w:pPr>
        <w:pStyle w:val="Compact"/>
        <w:numPr>
          <w:numId w:val="1003"/>
          <w:ilvl w:val="0"/>
        </w:numPr>
      </w:pPr>
      <w:r>
        <w:t xml:space="preserve">2.1.4 Removed reference to branch line analog isolation.</w:t>
      </w:r>
    </w:p>
    <w:p>
      <w:pPr>
        <w:pStyle w:val="Compact"/>
        <w:numPr>
          <w:numId w:val="1003"/>
          <w:ilvl w:val="0"/>
        </w:numPr>
      </w:pPr>
      <w:r>
        <w:t xml:space="preserve">2.1.5 Changed 18 VAC to 16 VAC.</w:t>
      </w:r>
    </w:p>
    <w:p>
      <w:pPr>
        <w:pStyle w:val="Heading3"/>
      </w:pPr>
      <w:bookmarkStart w:id="31" w:name="command-control-reference"/>
      <w:bookmarkEnd w:id="31"/>
      <w:r>
        <w:t xml:space="preserve">Command Control Reference</w:t>
      </w:r>
    </w:p>
    <w:p>
      <w:pPr>
        <w:pStyle w:val="Compact"/>
        <w:numPr>
          <w:numId w:val="1004"/>
          <w:ilvl w:val="0"/>
        </w:numPr>
      </w:pPr>
      <w:r>
        <w:t xml:space="preserve">Removed the Command Control section as it is better suited to a general reference document.</w:t>
      </w:r>
    </w:p>
    <w:p>
      <w:pPr>
        <w:pStyle w:val="Heading1"/>
      </w:pPr>
      <w:bookmarkStart w:id="32" w:name="track-work"/>
      <w:bookmarkEnd w:id="32"/>
      <w:r>
        <w:t xml:space="preserve">Track Work</w:t>
      </w:r>
    </w:p>
    <w:p>
      <w:pPr>
        <w:pStyle w:val="Heading2"/>
      </w:pPr>
      <w:bookmarkStart w:id="33" w:name="ngm-module-track-work-standards-sheets"/>
      <w:bookmarkEnd w:id="33"/>
      <w:r>
        <w:t xml:space="preserve">NGM Module Track Work Standards Sheets</w:t>
      </w:r>
    </w:p>
    <w:p>
      <w:pPr>
        <w:pStyle w:val="FirstParagraph"/>
      </w:pPr>
      <w:r>
        <w:t xml:space="preserve">The</w:t>
      </w:r>
      <w:r>
        <w:t xml:space="preserve"> </w:t>
      </w:r>
      <w:r>
        <w:rPr>
          <w:b/>
        </w:rPr>
        <w:t xml:space="preserve">NGM</w:t>
      </w:r>
      <w:r>
        <w:t xml:space="preserve"> </w:t>
      </w:r>
      <w:r>
        <w:t xml:space="preserve">Standards are derived from the</w:t>
      </w:r>
      <w:r>
        <w:t xml:space="preserve"> </w:t>
      </w:r>
      <w:r>
        <w:rPr>
          <w:b/>
        </w:rPr>
        <w:t xml:space="preserve">Piedmont Division Standards</w:t>
      </w:r>
      <w:r>
        <w:t xml:space="preserve"> </w:t>
      </w:r>
      <w:r>
        <w:t xml:space="preserve">and have been modified to suit the operating conditions of</w:t>
      </w:r>
      <w:r>
        <w:t xml:space="preserve"> </w:t>
      </w:r>
      <w:r>
        <w:rPr>
          <w:b/>
        </w:rPr>
        <w:t xml:space="preserve">NGM</w:t>
      </w:r>
      <w:r>
        <w:t xml:space="preserve">.</w:t>
      </w:r>
    </w:p>
    <w:p>
      <w:pPr>
        <w:pStyle w:val="Heading3"/>
      </w:pPr>
      <w:bookmarkStart w:id="34" w:name="track-work-standards"/>
      <w:bookmarkEnd w:id="34"/>
      <w:r>
        <w:t xml:space="preserve">Track Work Standards</w:t>
      </w:r>
    </w:p>
    <w:tbl>
      <w:tblPr>
        <w:tblStyle w:val="TableNormal"/>
        <w:tblW w:type="pct" w:w="833.3333333333333"/>
        <w:tblLook w:firstRow="1"/>
      </w:tblPr>
      <w:tblGrid>
        <w:gridCol w:w="660"/>
        <w:gridCol w:w="66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NGM Std.</w:t>
            </w:r>
          </w:p>
        </w:tc>
      </w:tr>
      <w:tr>
        <w:tc>
          <w:p>
            <w:pPr>
              <w:pStyle w:val="Compact"/>
              <w:jc w:val="left"/>
            </w:pPr>
            <w:r>
              <w:t xml:space="preserve">Type</w:t>
            </w:r>
          </w:p>
        </w:tc>
        <w:tc>
          <w:p>
            <w:pPr>
              <w:pStyle w:val="Compact"/>
              <w:jc w:val="center"/>
            </w:pPr>
            <w:r>
              <w:t xml:space="preserve">Hand laid or Commercial</w:t>
            </w:r>
          </w:p>
        </w:tc>
      </w:tr>
      <w:tr>
        <w:tc>
          <w:p>
            <w:pPr>
              <w:pStyle w:val="Compact"/>
              <w:jc w:val="left"/>
            </w:pPr>
            <w:r>
              <w:t xml:space="preserve">Size</w:t>
            </w:r>
          </w:p>
        </w:tc>
        <w:tc>
          <w:p>
            <w:pPr>
              <w:pStyle w:val="Compact"/>
            </w:pPr>
          </w:p>
        </w:tc>
      </w:tr>
      <w:tr>
        <w:tc>
          <w:p>
            <w:pPr>
              <w:pStyle w:val="Compact"/>
              <w:jc w:val="left"/>
            </w:pPr>
            <w:r>
              <w:t xml:space="preserve">Mainline</w:t>
            </w:r>
          </w:p>
        </w:tc>
        <w:tc>
          <w:p>
            <w:pPr>
              <w:pStyle w:val="Compact"/>
              <w:jc w:val="center"/>
            </w:pPr>
            <w:r>
              <w:t xml:space="preserve">HO Code 100</w:t>
            </w:r>
          </w:p>
        </w:tc>
      </w:tr>
      <w:tr>
        <w:tc>
          <w:p>
            <w:pPr>
              <w:pStyle w:val="Compact"/>
              <w:jc w:val="left"/>
            </w:pPr>
            <w:r>
              <w:t xml:space="preserve">Auxiliary</w:t>
            </w:r>
          </w:p>
        </w:tc>
        <w:tc>
          <w:p>
            <w:pPr>
              <w:pStyle w:val="Compact"/>
              <w:jc w:val="center"/>
            </w:pPr>
            <w:r>
              <w:t xml:space="preserve">HO Code 100</w:t>
            </w:r>
          </w:p>
        </w:tc>
      </w:tr>
      <w:tr>
        <w:tc>
          <w:p>
            <w:pPr>
              <w:pStyle w:val="Compact"/>
              <w:jc w:val="left"/>
            </w:pPr>
            <w:r>
              <w:t xml:space="preserve">Other</w:t>
            </w:r>
          </w:p>
        </w:tc>
        <w:tc>
          <w:p>
            <w:pPr>
              <w:pStyle w:val="Compact"/>
              <w:jc w:val="center"/>
            </w:pPr>
            <w:r>
              <w:t xml:space="preserve">HO Code 100</w:t>
            </w:r>
          </w:p>
        </w:tc>
      </w:tr>
      <w:tr>
        <w:tc>
          <w:p>
            <w:pPr>
              <w:pStyle w:val="Compact"/>
              <w:jc w:val="left"/>
            </w:pPr>
            <w:r>
              <w:t xml:space="preserve">Set Backs</w:t>
            </w:r>
          </w:p>
        </w:tc>
        <w:tc>
          <w:p>
            <w:pPr>
              <w:pStyle w:val="Compact"/>
            </w:pPr>
          </w:p>
        </w:tc>
      </w:tr>
      <w:tr>
        <w:tc>
          <w:p>
            <w:pPr>
              <w:pStyle w:val="Compact"/>
              <w:jc w:val="left"/>
            </w:pPr>
            <w:r>
              <w:t xml:space="preserve">:----</w:t>
            </w:r>
          </w:p>
        </w:tc>
        <w:tc>
          <w:p>
            <w:pPr>
              <w:pStyle w:val="Compact"/>
              <w:jc w:val="center"/>
            </w:pPr>
            <w:r>
              <w:t xml:space="preserve">:---:</w:t>
            </w:r>
          </w:p>
        </w:tc>
      </w:tr>
      <w:tr>
        <w:tc>
          <w:p>
            <w:pPr>
              <w:pStyle w:val="Compact"/>
              <w:jc w:val="left"/>
            </w:pPr>
            <w:r>
              <w:rPr>
                <w:i/>
              </w:rPr>
              <w:t xml:space="preserve">East/West Ends</w:t>
            </w:r>
          </w:p>
        </w:tc>
        <w:tc>
          <w:p>
            <w:pPr>
              <w:pStyle w:val="Compact"/>
              <w:jc w:val="center"/>
            </w:pPr>
            <w:r>
              <w:t xml:space="preserve">3"</w:t>
            </w:r>
          </w:p>
        </w:tc>
      </w:tr>
      <w:tr>
        <w:tc>
          <w:p>
            <w:pPr>
              <w:pStyle w:val="Compact"/>
              <w:jc w:val="left"/>
            </w:pPr>
            <w:r>
              <w:rPr>
                <w:i/>
              </w:rPr>
              <w:t xml:space="preserve">From Front</w:t>
            </w:r>
          </w:p>
        </w:tc>
        <w:tc>
          <w:p>
            <w:pPr>
              <w:pStyle w:val="Compact"/>
            </w:pPr>
          </w:p>
        </w:tc>
      </w:tr>
      <w:tr>
        <w:tc>
          <w:p>
            <w:pPr>
              <w:pStyle w:val="Compact"/>
              <w:jc w:val="left"/>
            </w:pPr>
            <w:r>
              <w:t xml:space="preserve">Mainline #1</w:t>
            </w:r>
          </w:p>
        </w:tc>
        <w:tc>
          <w:p>
            <w:pPr>
              <w:pStyle w:val="Compact"/>
              <w:jc w:val="center"/>
            </w:pPr>
            <w:r>
              <w:t xml:space="preserve">5"</w:t>
            </w:r>
          </w:p>
        </w:tc>
      </w:tr>
      <w:tr>
        <w:tc>
          <w:p>
            <w:pPr>
              <w:pStyle w:val="Compact"/>
              <w:jc w:val="left"/>
            </w:pPr>
            <w:r>
              <w:t xml:space="preserve">Mainline #2</w:t>
            </w:r>
          </w:p>
        </w:tc>
        <w:tc>
          <w:p>
            <w:pPr>
              <w:pStyle w:val="Compact"/>
              <w:jc w:val="center"/>
            </w:pPr>
            <w:r>
              <w:t xml:space="preserve">7"</w:t>
            </w:r>
          </w:p>
        </w:tc>
      </w:tr>
      <w:tr>
        <w:tc>
          <w:p>
            <w:pPr>
              <w:pStyle w:val="Compact"/>
              <w:jc w:val="left"/>
            </w:pPr>
            <w:r>
              <w:t xml:space="preserve">Auxiliary</w:t>
            </w:r>
          </w:p>
        </w:tc>
        <w:tc>
          <w:p>
            <w:pPr>
              <w:pStyle w:val="Compact"/>
              <w:jc w:val="center"/>
            </w:pPr>
            <w:r>
              <w:t xml:space="preserve">9 ½"</w:t>
            </w:r>
          </w:p>
        </w:tc>
      </w:tr>
      <w:tr>
        <w:tc>
          <w:p>
            <w:pPr>
              <w:pStyle w:val="Compact"/>
              <w:jc w:val="left"/>
            </w:pPr>
            <w:r>
              <w:t xml:space="preserve">Centerline Spacing</w:t>
            </w:r>
          </w:p>
        </w:tc>
        <w:tc>
          <w:p>
            <w:pPr>
              <w:pStyle w:val="Compact"/>
            </w:pPr>
          </w:p>
        </w:tc>
      </w:tr>
      <w:tr>
        <w:tc>
          <w:p>
            <w:pPr>
              <w:pStyle w:val="Compact"/>
              <w:jc w:val="left"/>
            </w:pPr>
            <w:r>
              <w:t xml:space="preserve">:----</w:t>
            </w:r>
          </w:p>
        </w:tc>
        <w:tc>
          <w:p>
            <w:pPr>
              <w:pStyle w:val="Compact"/>
              <w:jc w:val="center"/>
            </w:pPr>
            <w:r>
              <w:t xml:space="preserve">:---:</w:t>
            </w:r>
          </w:p>
        </w:tc>
      </w:tr>
      <w:tr>
        <w:tc>
          <w:p>
            <w:pPr>
              <w:pStyle w:val="Compact"/>
              <w:jc w:val="left"/>
            </w:pPr>
            <w:r>
              <w:rPr>
                <w:i/>
              </w:rPr>
              <w:t xml:space="preserve">Interface Area</w:t>
            </w:r>
          </w:p>
        </w:tc>
        <w:tc>
          <w:p>
            <w:pPr>
              <w:pStyle w:val="Compact"/>
            </w:pPr>
          </w:p>
        </w:tc>
      </w:tr>
      <w:tr>
        <w:tc>
          <w:p>
            <w:pPr>
              <w:pStyle w:val="Compact"/>
              <w:jc w:val="left"/>
            </w:pPr>
            <w:r>
              <w:t xml:space="preserve">Mainlines 1 &amp; 2</w:t>
            </w:r>
          </w:p>
        </w:tc>
        <w:tc>
          <w:p>
            <w:pPr>
              <w:pStyle w:val="Compact"/>
              <w:jc w:val="center"/>
            </w:pPr>
            <w:r>
              <w:t xml:space="preserve">2"</w:t>
            </w:r>
          </w:p>
        </w:tc>
      </w:tr>
      <w:tr>
        <w:tc>
          <w:p>
            <w:pPr>
              <w:pStyle w:val="Compact"/>
              <w:jc w:val="left"/>
            </w:pPr>
            <w:r>
              <w:t xml:space="preserve">Auxiliary</w:t>
            </w:r>
          </w:p>
        </w:tc>
        <w:tc>
          <w:p>
            <w:pPr>
              <w:pStyle w:val="Compact"/>
              <w:jc w:val="center"/>
            </w:pPr>
            <w:r>
              <w:t xml:space="preserve">2"</w:t>
            </w:r>
          </w:p>
        </w:tc>
      </w:tr>
      <w:tr>
        <w:tc>
          <w:p>
            <w:pPr>
              <w:pStyle w:val="Compact"/>
              <w:jc w:val="left"/>
            </w:pPr>
            <w:r>
              <w:rPr>
                <w:i/>
              </w:rPr>
              <w:t xml:space="preserve">Non Interface Area</w:t>
            </w:r>
          </w:p>
        </w:tc>
        <w:tc>
          <w:p>
            <w:pPr>
              <w:pStyle w:val="Compact"/>
            </w:pPr>
          </w:p>
        </w:tc>
      </w:tr>
      <w:tr>
        <w:tc>
          <w:p>
            <w:pPr>
              <w:pStyle w:val="Compact"/>
              <w:jc w:val="left"/>
            </w:pPr>
            <w:r>
              <w:t xml:space="preserve">Mainlines 1 &amp; 2</w:t>
            </w:r>
          </w:p>
        </w:tc>
        <w:tc>
          <w:p>
            <w:pPr>
              <w:pStyle w:val="Compact"/>
              <w:jc w:val="center"/>
            </w:pPr>
            <w:r>
              <w:t xml:space="preserve">2" min.</w:t>
            </w:r>
          </w:p>
        </w:tc>
      </w:tr>
      <w:tr>
        <w:tc>
          <w:p>
            <w:pPr>
              <w:pStyle w:val="Compact"/>
              <w:jc w:val="left"/>
            </w:pPr>
            <w:r>
              <w:t xml:space="preserve">Auxiliary</w:t>
            </w:r>
          </w:p>
        </w:tc>
        <w:tc>
          <w:p>
            <w:pPr>
              <w:pStyle w:val="Compact"/>
              <w:jc w:val="center"/>
            </w:pPr>
            <w:r>
              <w:t xml:space="preserve">2 ½" min.</w:t>
            </w:r>
          </w:p>
        </w:tc>
      </w:tr>
      <w:tr>
        <w:tc>
          <w:p>
            <w:pPr>
              <w:pStyle w:val="Compact"/>
              <w:jc w:val="left"/>
            </w:pPr>
            <w:r>
              <w:rPr>
                <w:i/>
              </w:rPr>
              <w:t xml:space="preserve">Curves</w:t>
            </w:r>
          </w:p>
        </w:tc>
        <w:tc>
          <w:p>
            <w:pPr>
              <w:pStyle w:val="Compact"/>
              <w:jc w:val="center"/>
            </w:pPr>
            <w:r>
              <w:t xml:space="preserve">2 ½" track centerline at all points except transition to 2" approaching parallel track</w:t>
            </w:r>
          </w:p>
        </w:tc>
      </w:tr>
      <w:tr>
        <w:tc>
          <w:p>
            <w:pPr>
              <w:pStyle w:val="Compact"/>
              <w:jc w:val="left"/>
            </w:pPr>
            <w:r>
              <w:t xml:space="preserve">Elevation</w:t>
            </w:r>
          </w:p>
        </w:tc>
        <w:tc>
          <w:p>
            <w:pPr>
              <w:pStyle w:val="Compact"/>
              <w:jc w:val="center"/>
            </w:pPr>
            <w:r>
              <w:t xml:space="preserve">40" from floor to top of mainline railheads within interface area</w:t>
            </w:r>
            <w:r>
              <w:t xml:space="preserve"> </w:t>
            </w:r>
            <w:r>
              <w:rPr>
                <w:rStyle w:val="FootnoteReference"/>
              </w:rPr>
              <w:footnoteReference w:id="35"/>
            </w:r>
          </w:p>
        </w:tc>
      </w:tr>
      <w:tr>
        <w:tc>
          <w:p>
            <w:pPr>
              <w:pStyle w:val="Compact"/>
              <w:jc w:val="left"/>
            </w:pPr>
            <w:r>
              <w:t xml:space="preserve">Clearances</w:t>
            </w:r>
          </w:p>
        </w:tc>
        <w:tc>
          <w:p>
            <w:pPr>
              <w:pStyle w:val="Compact"/>
            </w:pPr>
          </w:p>
        </w:tc>
      </w:tr>
      <w:tr>
        <w:tc>
          <w:p>
            <w:pPr>
              <w:pStyle w:val="Compact"/>
              <w:jc w:val="left"/>
            </w:pPr>
            <w:r>
              <w:t xml:space="preserve">Horizontal</w:t>
            </w:r>
          </w:p>
        </w:tc>
        <w:tc>
          <w:p>
            <w:pPr>
              <w:pStyle w:val="Compact"/>
            </w:pPr>
          </w:p>
        </w:tc>
      </w:tr>
      <w:tr>
        <w:tc>
          <w:p>
            <w:pPr>
              <w:pStyle w:val="Compact"/>
              <w:jc w:val="left"/>
            </w:pPr>
            <w:r>
              <w:t xml:space="preserve">Straight Track</w:t>
            </w:r>
          </w:p>
        </w:tc>
        <w:tc>
          <w:p>
            <w:pPr>
              <w:pStyle w:val="Compact"/>
              <w:jc w:val="center"/>
            </w:pPr>
            <w:r>
              <w:t xml:space="preserve">1 1/32"</w:t>
            </w:r>
          </w:p>
        </w:tc>
      </w:tr>
      <w:tr>
        <w:tc>
          <w:p>
            <w:pPr>
              <w:pStyle w:val="Compact"/>
              <w:jc w:val="left"/>
            </w:pPr>
            <w:r>
              <w:t xml:space="preserve">Curved Track</w:t>
            </w:r>
          </w:p>
        </w:tc>
        <w:tc>
          <w:p>
            <w:pPr>
              <w:pStyle w:val="Compact"/>
              <w:jc w:val="center"/>
            </w:pPr>
            <w:r>
              <w:t xml:space="preserve">1 1/4"</w:t>
            </w:r>
            <w:r>
              <w:t xml:space="preserve"> </w:t>
            </w:r>
            <w:r>
              <w:rPr>
                <w:rStyle w:val="FootnoteReference"/>
              </w:rPr>
              <w:footnoteReference w:id="36"/>
            </w:r>
          </w:p>
        </w:tc>
      </w:tr>
      <w:tr>
        <w:tc>
          <w:p>
            <w:pPr>
              <w:pStyle w:val="Compact"/>
              <w:jc w:val="left"/>
            </w:pPr>
            <w:r>
              <w:t xml:space="preserve">Vertical</w:t>
            </w:r>
          </w:p>
        </w:tc>
        <w:tc>
          <w:p>
            <w:pPr>
              <w:pStyle w:val="Compact"/>
              <w:jc w:val="center"/>
            </w:pPr>
            <w:r>
              <w:t xml:space="preserve">3"</w:t>
            </w:r>
          </w:p>
        </w:tc>
      </w:tr>
      <w:tr>
        <w:tc>
          <w:p>
            <w:pPr>
              <w:pStyle w:val="Compact"/>
              <w:jc w:val="left"/>
            </w:pPr>
            <w:r>
              <w:t xml:space="preserve">Interface Track Length</w:t>
            </w:r>
          </w:p>
        </w:tc>
        <w:tc>
          <w:p>
            <w:pPr>
              <w:pStyle w:val="Compact"/>
              <w:jc w:val="center"/>
            </w:pPr>
            <w:r>
              <w:t xml:space="preserve">N/A</w:t>
            </w:r>
          </w:p>
        </w:tc>
      </w:tr>
      <w:tr>
        <w:tc>
          <w:p>
            <w:pPr>
              <w:pStyle w:val="Compact"/>
              <w:jc w:val="left"/>
            </w:pPr>
            <w:r>
              <w:t xml:space="preserve">Parallel Tangent Track (Min.)</w:t>
            </w:r>
          </w:p>
        </w:tc>
        <w:tc>
          <w:p>
            <w:pPr>
              <w:pStyle w:val="Compact"/>
              <w:jc w:val="center"/>
            </w:pPr>
            <w:r>
              <w:t xml:space="preserve">3"</w:t>
            </w:r>
          </w:p>
        </w:tc>
      </w:tr>
      <w:tr>
        <w:tc>
          <w:p>
            <w:pPr>
              <w:pStyle w:val="Compact"/>
              <w:jc w:val="left"/>
            </w:pPr>
            <w:r>
              <w:t xml:space="preserve">Grade (Max.)</w:t>
            </w:r>
          </w:p>
        </w:tc>
        <w:tc>
          <w:p>
            <w:pPr>
              <w:pStyle w:val="Compact"/>
            </w:pPr>
          </w:p>
        </w:tc>
      </w:tr>
      <w:tr>
        <w:tc>
          <w:p>
            <w:pPr>
              <w:pStyle w:val="Compact"/>
              <w:jc w:val="left"/>
            </w:pPr>
            <w:r>
              <w:t xml:space="preserve">Mainline</w:t>
            </w:r>
          </w:p>
        </w:tc>
        <w:tc>
          <w:p>
            <w:pPr>
              <w:pStyle w:val="Compact"/>
              <w:jc w:val="center"/>
            </w:pPr>
            <w:r>
              <w:t xml:space="preserve">3%</w:t>
            </w:r>
          </w:p>
        </w:tc>
      </w:tr>
      <w:tr>
        <w:tc>
          <w:p>
            <w:pPr>
              <w:pStyle w:val="Compact"/>
              <w:jc w:val="left"/>
            </w:pPr>
            <w:r>
              <w:t xml:space="preserve">Auxiliary</w:t>
            </w:r>
          </w:p>
        </w:tc>
        <w:tc>
          <w:p>
            <w:pPr>
              <w:pStyle w:val="Compact"/>
              <w:jc w:val="center"/>
            </w:pPr>
            <w:r>
              <w:t xml:space="preserve">3%</w:t>
            </w:r>
          </w:p>
        </w:tc>
      </w:tr>
      <w:tr>
        <w:tc>
          <w:p>
            <w:pPr>
              <w:pStyle w:val="Compact"/>
              <w:jc w:val="left"/>
            </w:pPr>
            <w:r>
              <w:t xml:space="preserve">Branch Line</w:t>
            </w:r>
          </w:p>
        </w:tc>
        <w:tc>
          <w:p>
            <w:pPr>
              <w:pStyle w:val="Compact"/>
              <w:jc w:val="center"/>
            </w:pPr>
            <w:r>
              <w:t xml:space="preserve">3%</w:t>
            </w:r>
          </w:p>
        </w:tc>
      </w:tr>
      <w:tr>
        <w:tc>
          <w:p>
            <w:pPr>
              <w:pStyle w:val="Compact"/>
              <w:jc w:val="left"/>
            </w:pPr>
            <w:r>
              <w:t xml:space="preserve">Turnouts (Min. size)</w:t>
            </w:r>
          </w:p>
        </w:tc>
        <w:tc>
          <w:p>
            <w:pPr>
              <w:pStyle w:val="Compact"/>
            </w:pPr>
          </w:p>
        </w:tc>
      </w:tr>
      <w:tr>
        <w:tc>
          <w:p>
            <w:pPr>
              <w:pStyle w:val="Compact"/>
              <w:jc w:val="left"/>
            </w:pPr>
            <w:r>
              <w:t xml:space="preserve">Mainline</w:t>
            </w:r>
          </w:p>
        </w:tc>
        <w:tc>
          <w:p>
            <w:pPr>
              <w:pStyle w:val="Compact"/>
              <w:jc w:val="center"/>
            </w:pPr>
            <w:r>
              <w:t xml:space="preserve">#6</w:t>
            </w:r>
            <w:r>
              <w:t xml:space="preserve"> </w:t>
            </w:r>
            <w:r>
              <w:rPr>
                <w:rStyle w:val="FootnoteReference"/>
              </w:rPr>
              <w:footnoteReference w:id="37"/>
            </w:r>
          </w:p>
        </w:tc>
      </w:tr>
      <w:tr>
        <w:tc>
          <w:p>
            <w:pPr>
              <w:pStyle w:val="Compact"/>
              <w:jc w:val="left"/>
            </w:pPr>
            <w:r>
              <w:t xml:space="preserve">Auxiliary</w:t>
            </w:r>
          </w:p>
        </w:tc>
        <w:tc>
          <w:p>
            <w:pPr>
              <w:pStyle w:val="Compact"/>
              <w:jc w:val="center"/>
            </w:pPr>
            <w:r>
              <w:t xml:space="preserve">#6</w:t>
            </w:r>
            <w:r>
              <w:t xml:space="preserve"> </w:t>
            </w:r>
            <w:r>
              <w:rPr>
                <w:rStyle w:val="FootnoteReference"/>
              </w:rPr>
              <w:footnoteReference w:id="38"/>
            </w:r>
          </w:p>
        </w:tc>
      </w:tr>
      <w:tr>
        <w:tc>
          <w:p>
            <w:pPr>
              <w:pStyle w:val="Compact"/>
              <w:jc w:val="left"/>
            </w:pPr>
            <w:r>
              <w:t xml:space="preserve">Branch Line</w:t>
            </w:r>
          </w:p>
        </w:tc>
        <w:tc>
          <w:p>
            <w:pPr>
              <w:pStyle w:val="Compact"/>
              <w:jc w:val="center"/>
            </w:pPr>
            <w:r>
              <w:t xml:space="preserve">#4</w:t>
            </w:r>
          </w:p>
        </w:tc>
      </w:tr>
      <w:tr>
        <w:tc>
          <w:p>
            <w:pPr>
              <w:pStyle w:val="Compact"/>
              <w:jc w:val="left"/>
            </w:pPr>
            <w:r>
              <w:t xml:space="preserve">Curve Radius (Min.)</w:t>
            </w:r>
          </w:p>
        </w:tc>
        <w:tc>
          <w:p>
            <w:pPr>
              <w:pStyle w:val="Compact"/>
            </w:pPr>
          </w:p>
        </w:tc>
      </w:tr>
      <w:tr>
        <w:tc>
          <w:p>
            <w:pPr>
              <w:pStyle w:val="Compact"/>
              <w:jc w:val="left"/>
            </w:pPr>
            <w:r>
              <w:t xml:space="preserve">Corner Module</w:t>
            </w:r>
          </w:p>
        </w:tc>
        <w:tc>
          <w:p>
            <w:pPr>
              <w:pStyle w:val="Compact"/>
            </w:pPr>
          </w:p>
        </w:tc>
      </w:tr>
      <w:tr>
        <w:tc>
          <w:p>
            <w:pPr>
              <w:pStyle w:val="Compact"/>
              <w:jc w:val="left"/>
            </w:pPr>
            <w:r>
              <w:t xml:space="preserve">Mainline</w:t>
            </w:r>
          </w:p>
        </w:tc>
        <w:tc>
          <w:p>
            <w:pPr>
              <w:pStyle w:val="Compact"/>
              <w:jc w:val="center"/>
            </w:pPr>
            <w:r>
              <w:t xml:space="preserve">37"</w:t>
            </w:r>
          </w:p>
        </w:tc>
      </w:tr>
      <w:tr>
        <w:tc>
          <w:p>
            <w:pPr>
              <w:pStyle w:val="Compact"/>
              <w:jc w:val="left"/>
            </w:pPr>
            <w:r>
              <w:t xml:space="preserve">Auxiliary</w:t>
            </w:r>
          </w:p>
        </w:tc>
        <w:tc>
          <w:p>
            <w:pPr>
              <w:pStyle w:val="Compact"/>
              <w:jc w:val="center"/>
            </w:pPr>
            <w:r>
              <w:t xml:space="preserve">35"</w:t>
            </w:r>
          </w:p>
        </w:tc>
      </w:tr>
      <w:tr>
        <w:tc>
          <w:p>
            <w:pPr>
              <w:pStyle w:val="Compact"/>
              <w:jc w:val="left"/>
            </w:pPr>
            <w:r>
              <w:t xml:space="preserve">Branch Line</w:t>
            </w:r>
          </w:p>
        </w:tc>
        <w:tc>
          <w:p>
            <w:pPr>
              <w:pStyle w:val="Compact"/>
              <w:jc w:val="center"/>
            </w:pPr>
            <w:r>
              <w:t xml:space="preserve">32"</w:t>
            </w:r>
          </w:p>
        </w:tc>
      </w:tr>
      <w:tr>
        <w:tc>
          <w:p>
            <w:pPr>
              <w:pStyle w:val="Compact"/>
              <w:jc w:val="left"/>
            </w:pPr>
            <w:r>
              <w:t xml:space="preserve">Straight Module</w:t>
            </w:r>
          </w:p>
        </w:tc>
        <w:tc>
          <w:p>
            <w:pPr>
              <w:pStyle w:val="Compact"/>
            </w:pPr>
          </w:p>
        </w:tc>
      </w:tr>
      <w:tr>
        <w:tc>
          <w:p>
            <w:pPr>
              <w:pStyle w:val="Compact"/>
              <w:jc w:val="left"/>
            </w:pPr>
            <w:r>
              <w:t xml:space="preserve">Mainline</w:t>
            </w:r>
          </w:p>
        </w:tc>
        <w:tc>
          <w:p>
            <w:pPr>
              <w:pStyle w:val="Compact"/>
              <w:jc w:val="center"/>
            </w:pPr>
            <w:r>
              <w:t xml:space="preserve">32"</w:t>
            </w:r>
          </w:p>
        </w:tc>
      </w:tr>
      <w:tr>
        <w:tc>
          <w:p>
            <w:pPr>
              <w:pStyle w:val="Compact"/>
              <w:jc w:val="left"/>
            </w:pPr>
            <w:r>
              <w:t xml:space="preserve">Auxiliary</w:t>
            </w:r>
          </w:p>
        </w:tc>
        <w:tc>
          <w:p>
            <w:pPr>
              <w:pStyle w:val="Compact"/>
              <w:jc w:val="center"/>
            </w:pPr>
            <w:r>
              <w:t xml:space="preserve">29 ½"</w:t>
            </w:r>
          </w:p>
        </w:tc>
      </w:tr>
      <w:tr>
        <w:tc>
          <w:p>
            <w:pPr>
              <w:pStyle w:val="Compact"/>
              <w:jc w:val="left"/>
            </w:pPr>
            <w:r>
              <w:t xml:space="preserve">Branch Line</w:t>
            </w:r>
          </w:p>
        </w:tc>
        <w:tc>
          <w:p>
            <w:pPr>
              <w:pStyle w:val="Compact"/>
              <w:jc w:val="center"/>
            </w:pPr>
            <w:r>
              <w:t xml:space="preserve">18"</w:t>
            </w:r>
          </w:p>
        </w:tc>
      </w:tr>
      <w:tr>
        <w:tc>
          <w:p>
            <w:pPr>
              <w:pStyle w:val="Compact"/>
              <w:jc w:val="left"/>
            </w:pPr>
            <w:r>
              <w:t xml:space="preserve">"Industrial"</w:t>
            </w:r>
          </w:p>
        </w:tc>
        <w:tc>
          <w:p>
            <w:pPr>
              <w:pStyle w:val="Compact"/>
              <w:jc w:val="center"/>
            </w:pPr>
            <w:r>
              <w:t xml:space="preserve">N/A</w:t>
            </w:r>
          </w:p>
        </w:tc>
      </w:tr>
      <w:tr>
        <w:tc>
          <w:p>
            <w:pPr>
              <w:pStyle w:val="Compact"/>
              <w:jc w:val="left"/>
            </w:pPr>
            <w:r>
              <w:t xml:space="preserve">Uncouplers</w:t>
            </w:r>
          </w:p>
        </w:tc>
        <w:tc>
          <w:p>
            <w:pPr>
              <w:pStyle w:val="Compact"/>
            </w:pPr>
          </w:p>
        </w:tc>
      </w:tr>
      <w:tr>
        <w:tc>
          <w:p>
            <w:pPr>
              <w:pStyle w:val="Compact"/>
              <w:jc w:val="left"/>
            </w:pPr>
            <w:r>
              <w:t xml:space="preserve">Permanent Magnet</w:t>
            </w:r>
          </w:p>
        </w:tc>
        <w:tc>
          <w:p>
            <w:pPr>
              <w:pStyle w:val="Compact"/>
              <w:jc w:val="center"/>
            </w:pPr>
            <w:r>
              <w:t xml:space="preserve">Not for use on mainlines</w:t>
            </w:r>
          </w:p>
        </w:tc>
      </w:tr>
    </w:tbl>
    <w:p>
      <w:pPr>
        <w:pStyle w:val="Heading2"/>
      </w:pPr>
      <w:bookmarkStart w:id="39" w:name="track-work-reference"/>
      <w:bookmarkEnd w:id="39"/>
      <w:r>
        <w:t xml:space="preserve">Track Work Reference</w:t>
      </w:r>
    </w:p>
    <w:p>
      <w:pPr>
        <w:pStyle w:val="FirstParagraph"/>
      </w:pPr>
      <w:r>
        <w:t xml:space="preserve">The following track work information applies to all</w:t>
      </w:r>
      <w:r>
        <w:t xml:space="preserve"> </w:t>
      </w:r>
      <w:r>
        <w:rPr>
          <w:b/>
        </w:rPr>
        <w:t xml:space="preserve">NGM</w:t>
      </w:r>
      <w:r>
        <w:t xml:space="preserve"> </w:t>
      </w:r>
      <w:r>
        <w:t xml:space="preserve">modules. They apply regardless of size or type.</w:t>
      </w:r>
    </w:p>
    <w:p>
      <w:pPr>
        <w:pStyle w:val="Heading3"/>
      </w:pPr>
      <w:bookmarkStart w:id="40" w:name="track-work-requirements"/>
      <w:bookmarkEnd w:id="40"/>
      <w:r>
        <w:t xml:space="preserve">Track Work: Requirements</w:t>
      </w:r>
    </w:p>
    <w:p>
      <w:pPr>
        <w:pStyle w:val="FirstParagraph"/>
      </w:pPr>
      <w:r>
        <w:t xml:space="preserve">To be compatible with existing</w:t>
      </w:r>
      <w:r>
        <w:t xml:space="preserve"> </w:t>
      </w:r>
      <w:r>
        <w:rPr>
          <w:b/>
        </w:rPr>
        <w:t xml:space="preserve">NGM</w:t>
      </w:r>
      <w:r>
        <w:t xml:space="preserve"> </w:t>
      </w:r>
      <w:r>
        <w:t xml:space="preserve">modules, it is a requirement that one adhere to</w:t>
      </w:r>
      <w:r>
        <w:t xml:space="preserve"> </w:t>
      </w:r>
      <w:r>
        <w:rPr>
          <w:b/>
        </w:rPr>
        <w:t xml:space="preserve">either</w:t>
      </w:r>
      <w:r>
        <w:t xml:space="preserve"> </w:t>
      </w:r>
      <w:r>
        <w:t xml:space="preserve">the</w:t>
      </w:r>
      <w:r>
        <w:t xml:space="preserve"> </w:t>
      </w:r>
      <w:r>
        <w:rPr>
          <w:b/>
        </w:rPr>
        <w:t xml:space="preserve">NMRA</w:t>
      </w:r>
      <w:r>
        <w:t xml:space="preserve"> </w:t>
      </w:r>
      <w:r>
        <w:t xml:space="preserve">Standard</w:t>
      </w:r>
      <w:r>
        <w:t xml:space="preserve"> </w:t>
      </w:r>
      <w:r>
        <w:rPr>
          <w:b/>
        </w:rPr>
        <w:t xml:space="preserve">or</w:t>
      </w:r>
      <w:r>
        <w:t xml:space="preserve"> </w:t>
      </w:r>
      <w:r>
        <w:t xml:space="preserve">the</w:t>
      </w:r>
      <w:r>
        <w:t xml:space="preserve"> </w:t>
      </w:r>
      <w:r>
        <w:rPr>
          <w:b/>
        </w:rPr>
        <w:t xml:space="preserve">NGM</w:t>
      </w:r>
      <w:r>
        <w:t xml:space="preserve"> </w:t>
      </w:r>
      <w:r>
        <w:t xml:space="preserve">Standard.</w:t>
      </w:r>
    </w:p>
    <w:p>
      <w:pPr>
        <w:pStyle w:val="Heading3"/>
      </w:pPr>
      <w:bookmarkStart w:id="41" w:name="switch-machine"/>
      <w:bookmarkEnd w:id="41"/>
      <w:r>
        <w:t xml:space="preserve">Switch Machine</w:t>
      </w:r>
    </w:p>
    <w:p>
      <w:pPr>
        <w:pStyle w:val="FirstParagraph"/>
      </w:pPr>
      <w:r>
        <w:t xml:space="preserve">Manual ground throws or electrical switch machines may be used to control switch position. The only requirement is that all switch devices shall positively lock the switch machine in either position when set.</w:t>
      </w:r>
    </w:p>
    <w:p>
      <w:pPr>
        <w:pStyle w:val="Heading3"/>
      </w:pPr>
      <w:bookmarkStart w:id="42" w:name="mainlines"/>
      <w:bookmarkEnd w:id="42"/>
      <w:r>
        <w:t xml:space="preserve">Mainlines</w:t>
      </w:r>
    </w:p>
    <w:p>
      <w:pPr>
        <w:pStyle w:val="FirstParagraph"/>
      </w:pPr>
      <w:r>
        <w:t xml:space="preserve">Two mainlines shall be required, located as shown in diagram</w:t>
      </w:r>
      <w:r>
        <w:t xml:space="preserve"> </w:t>
      </w:r>
      <w:r>
        <w:rPr>
          <w:b/>
        </w:rPr>
        <w:t xml:space="preserve">D-1</w:t>
      </w:r>
      <w:r>
        <w:t xml:space="preserve">. The club is supportive of modules that provide an auxiliary mainline but it is not required.</w:t>
      </w:r>
    </w:p>
    <w:p>
      <w:pPr>
        <w:pStyle w:val="Heading3"/>
      </w:pPr>
      <w:bookmarkStart w:id="43" w:name="module-interface-tracks"/>
      <w:bookmarkEnd w:id="43"/>
      <w:r>
        <w:t xml:space="preserve">Module Interface Tracks</w:t>
      </w:r>
    </w:p>
    <w:p>
      <w:pPr>
        <w:pStyle w:val="FirstParagraph"/>
      </w:pPr>
      <w:r>
        <w:rPr>
          <w:b/>
        </w:rPr>
        <w:t xml:space="preserve">NGM</w:t>
      </w:r>
      <w:r>
        <w:t xml:space="preserve"> </w:t>
      </w:r>
      <w:r>
        <w:t xml:space="preserve">Track End Standard negates the need for interface track.</w:t>
      </w:r>
    </w:p>
    <w:p>
      <w:pPr>
        <w:pStyle w:val="Heading2"/>
      </w:pPr>
      <w:bookmarkStart w:id="44" w:name="track-work-recommended-practices"/>
      <w:bookmarkEnd w:id="44"/>
      <w:r>
        <w:t xml:space="preserve">Track Work: Recommended Practices</w:t>
      </w:r>
    </w:p>
    <w:p>
      <w:pPr>
        <w:pStyle w:val="Heading3"/>
      </w:pPr>
      <w:bookmarkStart w:id="45" w:name="uncouplers"/>
      <w:bookmarkEnd w:id="45"/>
      <w:r>
        <w:t xml:space="preserve">Uncouplers</w:t>
      </w:r>
    </w:p>
    <w:p>
      <w:pPr>
        <w:pStyle w:val="FirstParagraph"/>
      </w:pPr>
      <w:r>
        <w:rPr>
          <w:b/>
        </w:rPr>
        <w:t xml:space="preserve">Kadee's</w:t>
      </w:r>
      <w:r>
        <w:t xml:space="preserve"> </w:t>
      </w:r>
      <w:r>
        <w:t xml:space="preserve">#307 (switched) electromagnetic uncoupler (or equivalent) is acceptable on the mainline tracks, so long as it is properly installed and does not interfere with the passage of trains.</w:t>
      </w:r>
    </w:p>
    <w:p>
      <w:pPr>
        <w:pStyle w:val="Heading3"/>
      </w:pPr>
      <w:bookmarkStart w:id="46" w:name="through-tracks"/>
      <w:bookmarkEnd w:id="46"/>
      <w:r>
        <w:t xml:space="preserve">Through Tracks</w:t>
      </w:r>
    </w:p>
    <w:p>
      <w:pPr>
        <w:pStyle w:val="FirstParagraph"/>
      </w:pPr>
      <w:r>
        <w:t xml:space="preserve">The minimum required number of through tracks is 2. An auxiliary through track should be considered to allow for a third mainline. When providing information about your module, please be sure to provide the auxiliary track type, that is, Mainline #3 or branch line. Providing for the third mainline remains optional.</w:t>
      </w:r>
    </w:p>
    <w:p>
      <w:pPr>
        <w:pStyle w:val="Heading3"/>
      </w:pPr>
      <w:bookmarkStart w:id="47" w:name="transition"/>
      <w:bookmarkEnd w:id="47"/>
      <w:r>
        <w:t xml:space="preserve">Transition</w:t>
      </w:r>
    </w:p>
    <w:p>
      <w:pPr>
        <w:pStyle w:val="FirstParagraph"/>
      </w:pPr>
      <w:r>
        <w:t xml:space="preserve">Use of code 83 rail or smaller should have a 2 ½" transition track before meeting with mainline code 100 rail. (</w:t>
      </w:r>
      <w:r>
        <w:rPr>
          <w:i/>
        </w:rPr>
        <w:t xml:space="preserve">Transition should not occur at a switch joint</w:t>
      </w:r>
      <w:r>
        <w:t xml:space="preserve">.)</w:t>
      </w:r>
    </w:p>
    <w:p>
      <w:pPr>
        <w:pStyle w:val="Heading3"/>
      </w:pPr>
      <w:bookmarkStart w:id="48" w:name="switches"/>
      <w:bookmarkEnd w:id="48"/>
      <w:r>
        <w:t xml:space="preserve">Switches</w:t>
      </w:r>
    </w:p>
    <w:p>
      <w:pPr>
        <w:pStyle w:val="FirstParagraph"/>
      </w:pPr>
      <w:r>
        <w:t xml:space="preserve">Switches with positive locking action are preferred over the more common slide action switches. This style mechanism is most commonly found on switches made by</w:t>
      </w:r>
      <w:r>
        <w:t xml:space="preserve"> </w:t>
      </w:r>
      <w:r>
        <w:rPr>
          <w:b/>
        </w:rPr>
        <w:t xml:space="preserve">PECO</w:t>
      </w:r>
      <w:r>
        <w:t xml:space="preserve">. If a switch without positive lock is installed, it is highly recommended that it be driven by a switch machine that resists accidental movement; for example, a Tortoise© motor driven switch machine.</w:t>
      </w:r>
    </w:p>
    <w:p>
      <w:pPr>
        <w:pStyle w:val="Heading1"/>
      </w:pPr>
      <w:bookmarkStart w:id="49" w:name="electrical"/>
      <w:bookmarkEnd w:id="49"/>
      <w:r>
        <w:t xml:space="preserve">Electrical</w:t>
      </w:r>
    </w:p>
    <w:p>
      <w:pPr>
        <w:pStyle w:val="Heading1"/>
      </w:pPr>
      <w:bookmarkStart w:id="50" w:name="ngm-electrical-standards-sheets"/>
      <w:bookmarkEnd w:id="50"/>
      <w:r>
        <w:t xml:space="preserve">NGM Electrical Standards Sheets</w:t>
      </w:r>
    </w:p>
    <w:p>
      <w:pPr>
        <w:pStyle w:val="Heading2"/>
      </w:pPr>
      <w:bookmarkStart w:id="51" w:name="wiring-color-code-specification-es-1.0"/>
      <w:bookmarkEnd w:id="51"/>
      <w:r>
        <w:t xml:space="preserve">Wiring Color Code Specification ES 1.0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Wire Connection</w:t>
            </w:r>
          </w:p>
        </w:tc>
        <w:tc>
          <w:tcPr>
            <w:tcBorders>
              <w:bottom w:val="single"/>
            </w:tcBorders>
            <w:vAlign w:val="bottom"/>
          </w:tcPr>
          <w:p>
            <w:pPr>
              <w:pStyle w:val="Compact"/>
              <w:jc w:val="center"/>
            </w:pPr>
            <w:r>
              <w:t xml:space="preserve">NGM Std.</w:t>
            </w:r>
          </w:p>
        </w:tc>
      </w:tr>
      <w:tr>
        <w:tc>
          <w:p>
            <w:pPr>
              <w:pStyle w:val="Compact"/>
              <w:jc w:val="left"/>
            </w:pPr>
            <w:r>
              <w:t xml:space="preserve">S. Main, S. Rail</w:t>
            </w:r>
          </w:p>
        </w:tc>
        <w:tc>
          <w:p>
            <w:pPr>
              <w:pStyle w:val="Compact"/>
              <w:jc w:val="center"/>
            </w:pPr>
            <w:r>
              <w:t xml:space="preserve">RED</w:t>
            </w:r>
          </w:p>
        </w:tc>
      </w:tr>
      <w:tr>
        <w:tc>
          <w:p>
            <w:pPr>
              <w:pStyle w:val="Compact"/>
              <w:jc w:val="left"/>
            </w:pPr>
            <w:r>
              <w:t xml:space="preserve">S. Main, N. Rail</w:t>
            </w:r>
          </w:p>
        </w:tc>
        <w:tc>
          <w:p>
            <w:pPr>
              <w:pStyle w:val="Compact"/>
              <w:jc w:val="center"/>
            </w:pPr>
            <w:r>
              <w:t xml:space="preserve">GRN</w:t>
            </w:r>
          </w:p>
        </w:tc>
      </w:tr>
      <w:tr>
        <w:tc>
          <w:p>
            <w:pPr>
              <w:pStyle w:val="Compact"/>
              <w:jc w:val="left"/>
            </w:pPr>
            <w:r>
              <w:t xml:space="preserve">N. Main, S. Rail</w:t>
            </w:r>
          </w:p>
        </w:tc>
        <w:tc>
          <w:p>
            <w:pPr>
              <w:pStyle w:val="Compact"/>
              <w:jc w:val="center"/>
            </w:pPr>
            <w:r>
              <w:t xml:space="preserve">BLU</w:t>
            </w:r>
          </w:p>
        </w:tc>
      </w:tr>
      <w:tr>
        <w:tc>
          <w:p>
            <w:pPr>
              <w:pStyle w:val="Compact"/>
              <w:jc w:val="left"/>
            </w:pPr>
            <w:r>
              <w:t xml:space="preserve">N. Main, N. Rail</w:t>
            </w:r>
          </w:p>
        </w:tc>
        <w:tc>
          <w:p>
            <w:pPr>
              <w:pStyle w:val="Compact"/>
              <w:jc w:val="center"/>
            </w:pPr>
            <w:r>
              <w:t xml:space="preserve">YEL</w:t>
            </w:r>
          </w:p>
        </w:tc>
      </w:tr>
      <w:tr>
        <w:tc>
          <w:p>
            <w:pPr>
              <w:pStyle w:val="Compact"/>
              <w:jc w:val="left"/>
            </w:pPr>
            <w:r>
              <w:t xml:space="preserve">Aux. Main, S. Rail</w:t>
            </w:r>
          </w:p>
        </w:tc>
        <w:tc>
          <w:p>
            <w:pPr>
              <w:pStyle w:val="Compact"/>
              <w:jc w:val="center"/>
            </w:pPr>
            <w:r>
              <w:t xml:space="preserve">ORG</w:t>
            </w:r>
          </w:p>
        </w:tc>
      </w:tr>
      <w:tr>
        <w:tc>
          <w:p>
            <w:pPr>
              <w:pStyle w:val="Compact"/>
              <w:jc w:val="left"/>
            </w:pPr>
            <w:r>
              <w:t xml:space="preserve">Aux. Main, N. Rail</w:t>
            </w:r>
          </w:p>
        </w:tc>
        <w:tc>
          <w:p>
            <w:pPr>
              <w:pStyle w:val="Compact"/>
              <w:jc w:val="center"/>
            </w:pPr>
            <w:r>
              <w:t xml:space="preserve">BRN</w:t>
            </w:r>
          </w:p>
        </w:tc>
      </w:tr>
      <w:tr>
        <w:tc>
          <w:p>
            <w:pPr>
              <w:pStyle w:val="Compact"/>
              <w:jc w:val="left"/>
            </w:pPr>
            <w:r>
              <w:t xml:space="preserve">DCC Common</w:t>
            </w:r>
          </w:p>
        </w:tc>
        <w:tc>
          <w:p>
            <w:pPr>
              <w:pStyle w:val="Compact"/>
              <w:jc w:val="center"/>
            </w:pPr>
            <w:r>
              <w:t xml:space="preserve">GRY</w:t>
            </w:r>
          </w:p>
        </w:tc>
      </w:tr>
      <w:tr>
        <w:tc>
          <w:p>
            <w:pPr>
              <w:pStyle w:val="Compact"/>
              <w:jc w:val="left"/>
            </w:pPr>
            <w:r>
              <w:t xml:space="preserve">16VAC-1</w:t>
            </w:r>
          </w:p>
        </w:tc>
        <w:tc>
          <w:p>
            <w:pPr>
              <w:pStyle w:val="Compact"/>
              <w:jc w:val="center"/>
            </w:pPr>
            <w:r>
              <w:t xml:space="preserve">BLK</w:t>
            </w:r>
          </w:p>
        </w:tc>
      </w:tr>
      <w:tr>
        <w:tc>
          <w:p>
            <w:pPr>
              <w:pStyle w:val="Compact"/>
              <w:jc w:val="left"/>
            </w:pPr>
            <w:r>
              <w:t xml:space="preserve">16VAC-2</w:t>
            </w:r>
          </w:p>
        </w:tc>
        <w:tc>
          <w:p>
            <w:pPr>
              <w:pStyle w:val="Compact"/>
              <w:jc w:val="center"/>
            </w:pPr>
            <w:r>
              <w:t xml:space="preserve">WHT</w:t>
            </w:r>
          </w:p>
        </w:tc>
      </w:tr>
    </w:tbl>
    <w:p>
      <w:pPr>
        <w:pStyle w:val="BodyText"/>
      </w:pPr>
      <w:r>
        <w:t xml:space="preserve">[^6] Optional, but not recommended: 1327G21 Brown.</w:t>
      </w:r>
    </w:p>
    <w:p>
      <w:pPr>
        <w:pStyle w:val="Heading2"/>
      </w:pPr>
      <w:bookmarkStart w:id="52" w:name="wire-and-plug-specifications-es-1.1"/>
      <w:bookmarkEnd w:id="52"/>
      <w:r>
        <w:t xml:space="preserve">Wire and Plug Specifications ES 1.1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NGM Std.</w:t>
            </w:r>
          </w:p>
        </w:tc>
      </w:tr>
      <w:tr>
        <w:tc>
          <w:p>
            <w:pPr>
              <w:pStyle w:val="Compact"/>
              <w:jc w:val="left"/>
            </w:pPr>
            <w:r>
              <w:t xml:space="preserve">Throttle Bus Wire</w:t>
            </w:r>
          </w:p>
        </w:tc>
        <w:tc>
          <w:p>
            <w:pPr>
              <w:pStyle w:val="Compact"/>
              <w:jc w:val="center"/>
            </w:pPr>
            <w:r>
              <w:t xml:space="preserve">LocoNet[^7]</w:t>
            </w:r>
          </w:p>
        </w:tc>
      </w:tr>
      <w:tr>
        <w:tc>
          <w:p>
            <w:pPr>
              <w:pStyle w:val="Compact"/>
              <w:jc w:val="left"/>
            </w:pPr>
            <w:r>
              <w:t xml:space="preserve">Throttle Bus Plug</w:t>
            </w:r>
          </w:p>
        </w:tc>
        <w:tc>
          <w:p>
            <w:pPr>
              <w:pStyle w:val="Compact"/>
              <w:jc w:val="center"/>
            </w:pPr>
            <w:r>
              <w:t xml:space="preserve">RJ12 Plug</w:t>
            </w:r>
          </w:p>
        </w:tc>
      </w:tr>
      <w:tr>
        <w:tc>
          <w:p>
            <w:pPr>
              <w:pStyle w:val="Compact"/>
              <w:jc w:val="left"/>
            </w:pPr>
            <w:r>
              <w:t xml:space="preserve">Throttle Bus Socket</w:t>
            </w:r>
          </w:p>
        </w:tc>
        <w:tc>
          <w:p>
            <w:pPr>
              <w:pStyle w:val="Compact"/>
              <w:jc w:val="center"/>
            </w:pPr>
            <w:r>
              <w:t xml:space="preserve">RJ12 Socket[^8]</w:t>
            </w:r>
          </w:p>
        </w:tc>
      </w:tr>
      <w:tr>
        <w:tc>
          <w:p>
            <w:pPr>
              <w:pStyle w:val="Compact"/>
              <w:jc w:val="left"/>
            </w:pPr>
            <w:r>
              <w:t xml:space="preserve">Feeder Wire</w:t>
            </w:r>
          </w:p>
        </w:tc>
        <w:tc>
          <w:p>
            <w:pPr>
              <w:pStyle w:val="Compact"/>
              <w:jc w:val="center"/>
            </w:pPr>
            <w:r>
              <w:t xml:space="preserve">16-20 AWG</w:t>
            </w:r>
          </w:p>
        </w:tc>
      </w:tr>
      <w:tr>
        <w:tc>
          <w:p>
            <w:pPr>
              <w:pStyle w:val="Compact"/>
              <w:jc w:val="left"/>
            </w:pPr>
            <w:r>
              <w:t xml:space="preserve">Main Electrical Bus Wire</w:t>
            </w:r>
          </w:p>
        </w:tc>
        <w:tc>
          <w:p>
            <w:pPr>
              <w:pStyle w:val="Compact"/>
              <w:jc w:val="center"/>
            </w:pPr>
            <w:r>
              <w:t xml:space="preserve">14 AWG</w:t>
            </w:r>
          </w:p>
        </w:tc>
      </w:tr>
      <w:tr>
        <w:tc>
          <w:p>
            <w:pPr>
              <w:pStyle w:val="Compact"/>
              <w:jc w:val="left"/>
            </w:pPr>
            <w:r>
              <w:t xml:space="preserve">Left (West) Connector</w:t>
            </w:r>
          </w:p>
        </w:tc>
        <w:tc>
          <w:p>
            <w:pPr>
              <w:pStyle w:val="Compact"/>
              <w:jc w:val="center"/>
            </w:pPr>
            <w:r>
              <w:t xml:space="preserve">Mounted 'M'</w:t>
            </w:r>
          </w:p>
        </w:tc>
      </w:tr>
      <w:tr>
        <w:tc>
          <w:p>
            <w:pPr>
              <w:pStyle w:val="Compact"/>
              <w:jc w:val="left"/>
            </w:pPr>
            <w:r>
              <w:t xml:space="preserve">Right (East) Connector</w:t>
            </w:r>
          </w:p>
        </w:tc>
        <w:tc>
          <w:p>
            <w:pPr>
              <w:pStyle w:val="Compact"/>
              <w:jc w:val="center"/>
            </w:pPr>
            <w:r>
              <w:t xml:space="preserve">Mounted 'M'[^9]</w:t>
            </w:r>
          </w:p>
        </w:tc>
      </w:tr>
    </w:tbl>
    <w:p>
      <w:pPr>
        <w:pStyle w:val="BodyText"/>
      </w:pPr>
      <w:r>
        <w:t xml:space="preserve">[^7] 6 wire flat phone cable.</w:t>
      </w:r>
      <w:r>
        <w:t xml:space="preserve"> </w:t>
      </w:r>
      <w:r>
        <w:t xml:space="preserve">[^8] Digitrax UP5 recommended</w:t>
      </w:r>
      <w:r>
        <w:t xml:space="preserve"> </w:t>
      </w:r>
      <w:r>
        <w:t xml:space="preserve">[^9] Optional extension cable terminated by a 'J' connector extending at least 18" beyond the module end.</w:t>
      </w:r>
    </w:p>
    <w:p>
      <w:pPr>
        <w:pStyle w:val="Heading2"/>
      </w:pPr>
      <w:bookmarkStart w:id="53" w:name="ac-power-source-specifications-es-1.2"/>
      <w:bookmarkEnd w:id="53"/>
      <w:r>
        <w:t xml:space="preserve">AC Power Source Specifications ES 1.2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NGM Std.</w:t>
            </w:r>
          </w:p>
        </w:tc>
      </w:tr>
      <w:tr>
        <w:tc>
          <w:p>
            <w:pPr>
              <w:pStyle w:val="Compact"/>
              <w:jc w:val="left"/>
            </w:pPr>
            <w:r>
              <w:t xml:space="preserve">Type</w:t>
            </w:r>
          </w:p>
        </w:tc>
        <w:tc>
          <w:p>
            <w:pPr>
              <w:pStyle w:val="Compact"/>
              <w:jc w:val="left"/>
            </w:pPr>
            <w:r>
              <w:t xml:space="preserve">16VAC tap from Main Electrical Bus</w:t>
            </w:r>
          </w:p>
        </w:tc>
      </w:tr>
      <w:tr>
        <w:tc>
          <w:p>
            <w:pPr>
              <w:pStyle w:val="Compact"/>
              <w:jc w:val="left"/>
            </w:pPr>
            <w:r>
              <w:t xml:space="preserve">Capacity</w:t>
            </w:r>
          </w:p>
        </w:tc>
        <w:tc>
          <w:p>
            <w:pPr>
              <w:pStyle w:val="Compact"/>
              <w:jc w:val="left"/>
            </w:pPr>
            <w:r>
              <w:t xml:space="preserve">500 mA draw max.</w:t>
            </w:r>
            <w:r>
              <w:t xml:space="preserve"> </w:t>
            </w:r>
            <w:r>
              <w:rPr>
                <w:rStyle w:val="FootnoteReference"/>
              </w:rPr>
              <w:footnoteReference w:id="54"/>
            </w:r>
          </w:p>
        </w:tc>
      </w:tr>
      <w:tr>
        <w:tc>
          <w:p>
            <w:pPr>
              <w:pStyle w:val="Compact"/>
              <w:jc w:val="left"/>
            </w:pPr>
            <w:r>
              <w:t xml:space="preserve">Wire Size</w:t>
            </w:r>
          </w:p>
        </w:tc>
        <w:tc>
          <w:p>
            <w:pPr>
              <w:pStyle w:val="Compact"/>
              <w:jc w:val="left"/>
            </w:pPr>
            <w:r>
              <w:t xml:space="preserve">14 AWG on bus, 18 AWG on module</w:t>
            </w:r>
          </w:p>
        </w:tc>
      </w:tr>
    </w:tbl>
    <w:p>
      <w:pPr>
        <w:pStyle w:val="Heading1"/>
      </w:pPr>
      <w:bookmarkStart w:id="55" w:name="electrical-reference"/>
      <w:bookmarkEnd w:id="55"/>
      <w:r>
        <w:t xml:space="preserve">Electrical Reference</w:t>
      </w:r>
    </w:p>
    <w:p>
      <w:pPr>
        <w:pStyle w:val="Heading2"/>
      </w:pPr>
      <w:bookmarkStart w:id="56" w:name="general-electrical-standards"/>
      <w:bookmarkEnd w:id="56"/>
      <w:r>
        <w:t xml:space="preserve">General Electrical Standards</w:t>
      </w:r>
    </w:p>
    <w:p>
      <w:pPr>
        <w:pStyle w:val="FirstParagraph"/>
      </w:pPr>
      <w:r>
        <w:t xml:space="preserve">Each module shall provide and connect to a 14 AWG Main Electrical Bus and shall be wired according to the diagram provided in this document. Branchlines should be isolated from the mainline with plastic insulating rail joiners.</w:t>
      </w:r>
    </w:p>
    <w:p>
      <w:pPr>
        <w:pStyle w:val="Heading2"/>
      </w:pPr>
      <w:bookmarkStart w:id="57" w:name="wiring"/>
      <w:bookmarkEnd w:id="57"/>
      <w:r>
        <w:t xml:space="preserve">Wiring</w:t>
      </w:r>
    </w:p>
    <w:p>
      <w:pPr>
        <w:pStyle w:val="FirstParagraph"/>
      </w:pPr>
      <w:r>
        <w:t xml:space="preserve">The Main Electrical Bus shall consist of a nine (9) wire cable forming a robust electrical backbone to which each module is connected by feeders. This cable shall provide three (3) pairs of 14 AWG wire to power two (2) mainlines and one (1) auxiliary mainline, one (1) 14 AWG wire to serve as the DCC booster common and one (1) pair of 14 AWG wires to provide 16VAC for local accessory power needs. See diagram</w:t>
      </w:r>
      <w:r>
        <w:t xml:space="preserve"> </w:t>
      </w:r>
      <w:r>
        <w:rPr>
          <w:b/>
        </w:rPr>
        <w:t xml:space="preserve">D-6</w:t>
      </w:r>
      <w:r>
        <w:t xml:space="preserve"> </w:t>
      </w:r>
      <w:r>
        <w:t xml:space="preserve">for pin wiring and color code.)</w:t>
      </w:r>
    </w:p>
    <w:p>
      <w:pPr>
        <w:pStyle w:val="BodyText"/>
      </w:pPr>
      <w:r>
        <w:t xml:space="preserve">Modules shall provide continuous connections for LocoNet even if not needed on the module.</w:t>
      </w:r>
    </w:p>
    <w:p>
      <w:pPr>
        <w:pStyle w:val="BodyText"/>
      </w:pPr>
      <w:r>
        <w:t xml:space="preserve">Provisions should be made to ensure that all wiring can be properly stowed for transport (avoid loose hanging wires and connectors).</w:t>
      </w:r>
    </w:p>
    <w:p>
      <w:pPr>
        <w:pStyle w:val="Heading2"/>
      </w:pPr>
      <w:bookmarkStart w:id="58" w:name="connections"/>
      <w:bookmarkEnd w:id="58"/>
      <w:r>
        <w:t xml:space="preserve">Connections</w:t>
      </w:r>
    </w:p>
    <w:p>
      <w:pPr>
        <w:pStyle w:val="Heading3"/>
      </w:pPr>
      <w:bookmarkStart w:id="59" w:name="terminal-strips"/>
      <w:bookmarkEnd w:id="59"/>
      <w:r>
        <w:t xml:space="preserve">Terminal Strips</w:t>
      </w:r>
    </w:p>
    <w:p>
      <w:pPr>
        <w:pStyle w:val="FirstParagraph"/>
      </w:pPr>
      <w:r>
        <w:t xml:space="preserve">All module wiring shall be accessible using a terminal strip between the Main Electrical Bus and the rest of the module. This will allow for easy maintenance, the ability to add non-standard plug assemblies and provide a convenient location for electrical testing.</w:t>
      </w:r>
    </w:p>
    <w:p>
      <w:pPr>
        <w:pStyle w:val="Heading3"/>
      </w:pPr>
      <w:bookmarkStart w:id="60" w:name="main-electrical-bus-connectors"/>
      <w:bookmarkEnd w:id="60"/>
      <w:r>
        <w:t xml:space="preserve">Main Electrical Bus Connectors</w:t>
      </w:r>
    </w:p>
    <w:p>
      <w:pPr>
        <w:pStyle w:val="FirstParagraph"/>
      </w:pPr>
      <w:r>
        <w:t xml:space="preserve">Bus connections between modules shall use Anderson PowerPole connectors arranged in 3x3 blocks in one of two configurations, 'M' for mounting on a module and 'J' for jumpers between modules or extensions. ('M' blocks connect only to 'J' blocks and vice versa.) Connector shell colors shall correspond to the recommended wiring colors. (Exception to allow a Violet housing to substitute for Brown to improve color contrast.)</w:t>
      </w:r>
    </w:p>
    <w:p>
      <w:pPr>
        <w:pStyle w:val="BodyText"/>
      </w:pPr>
      <w:r>
        <w:t xml:space="preserve">The 'M' connection blocks shall be securely mounted within 8" of the module end and within 6" of the front of the module. If an extension cable is used in place of a mounted 'M' connector, it shall extend at least 18" beyond the East end (right side) of the module.</w:t>
      </w:r>
    </w:p>
    <w:p>
      <w:pPr>
        <w:pStyle w:val="BodyText"/>
      </w:pPr>
      <w:r>
        <w:t xml:space="preserve">Local wiring (track feeders and AC accessory) shall tap from the 'M' connector block on the West end (left side) and terminate in a nearby terminal strip.</w:t>
      </w:r>
    </w:p>
    <w:p>
      <w:pPr>
        <w:pStyle w:val="BodyText"/>
      </w:pPr>
      <w:r>
        <w:rPr>
          <w:b/>
        </w:rPr>
        <w:t xml:space="preserve">NGM</w:t>
      </w:r>
      <w:r>
        <w:t xml:space="preserve"> </w:t>
      </w:r>
      <w:r>
        <w:t xml:space="preserve">will stock the connector housings, contacts and wire for use in members' modules at a nominal fee.</w:t>
      </w:r>
    </w:p>
    <w:p>
      <w:pPr>
        <w:pStyle w:val="Heading3"/>
      </w:pPr>
      <w:bookmarkStart w:id="61" w:name="plug-adapters"/>
      <w:bookmarkEnd w:id="61"/>
      <w:r>
        <w:t xml:space="preserve">Plug Adapters</w:t>
      </w:r>
    </w:p>
    <w:p>
      <w:pPr>
        <w:pStyle w:val="FirstParagraph"/>
      </w:pPr>
      <w:r>
        <w:t xml:space="preserve">[remove]</w:t>
      </w:r>
      <w:r>
        <w:t xml:space="preserve"> </w:t>
      </w:r>
      <w:r>
        <w:t xml:space="preserve">When connecting to a standard</w:t>
      </w:r>
      <w:r>
        <w:t xml:space="preserve"> </w:t>
      </w:r>
      <w:r>
        <w:rPr>
          <w:b/>
        </w:rPr>
        <w:t xml:space="preserve">NMRA</w:t>
      </w:r>
      <w:r>
        <w:t xml:space="preserve"> </w:t>
      </w:r>
      <w:r>
        <w:t xml:space="preserve">module, an adapter must be used</w:t>
      </w:r>
      <w:r>
        <w:t xml:space="preserve"> </w:t>
      </w:r>
      <w:r>
        <w:t xml:space="preserve">to break out the individual mainlines into the 2-pin plugs used by</w:t>
      </w:r>
      <w:r>
        <w:t xml:space="preserve"> </w:t>
      </w:r>
      <w:r>
        <w:rPr>
          <w:b/>
        </w:rPr>
        <w:t xml:space="preserve">NMRA</w:t>
      </w:r>
      <w:r>
        <w:t xml:space="preserve">. It is intended that</w:t>
      </w:r>
      <w:r>
        <w:t xml:space="preserve"> </w:t>
      </w:r>
      <w:r>
        <w:rPr>
          <w:b/>
        </w:rPr>
        <w:t xml:space="preserve">NGM</w:t>
      </w:r>
      <w:r>
        <w:t xml:space="preserve"> </w:t>
      </w:r>
      <w:r>
        <w:t xml:space="preserve">will have these adapters available</w:t>
      </w:r>
      <w:r>
        <w:t xml:space="preserve"> </w:t>
      </w:r>
      <w:r>
        <w:t xml:space="preserve">to members who have followed the</w:t>
      </w:r>
      <w:r>
        <w:t xml:space="preserve"> </w:t>
      </w:r>
      <w:r>
        <w:rPr>
          <w:b/>
        </w:rPr>
        <w:t xml:space="preserve">NMRA</w:t>
      </w:r>
      <w:r>
        <w:t xml:space="preserve"> </w:t>
      </w:r>
      <w:r>
        <w:t xml:space="preserve">standards.</w:t>
      </w:r>
      <w:r>
        <w:t xml:space="preserve"> </w:t>
      </w:r>
      <w:r>
        <w:rPr>
          <w:i/>
        </w:rPr>
        <w:t xml:space="preserve">This would be the</w:t>
      </w:r>
      <w:r>
        <w:rPr>
          <w:i/>
        </w:rPr>
        <w:t xml:space="preserve"> </w:t>
      </w:r>
      <w:r>
        <w:rPr>
          <w:i/>
        </w:rPr>
        <w:t xml:space="preserve">case if a new member joined with an existing module from another club.</w:t>
      </w:r>
    </w:p>
    <w:p>
      <w:pPr>
        <w:pStyle w:val="Heading2"/>
      </w:pPr>
      <w:bookmarkStart w:id="62" w:name="branch-line-electrical-isolation"/>
      <w:bookmarkEnd w:id="62"/>
      <w:r>
        <w:t xml:space="preserve">Branch Line Electrical Isolation</w:t>
      </w:r>
    </w:p>
    <w:p>
      <w:pPr>
        <w:pStyle w:val="FirstParagraph"/>
      </w:pPr>
      <w:r>
        <w:t xml:space="preserve">[remove]</w:t>
      </w:r>
    </w:p>
    <w:p>
      <w:pPr>
        <w:pStyle w:val="BodyText"/>
      </w:pPr>
      <w:r>
        <w:t xml:space="preserve">Optional sidings and passing tracks must be electrically isolated if</w:t>
      </w:r>
      <w:r>
        <w:t xml:space="preserve"> </w:t>
      </w:r>
      <w:r>
        <w:t xml:space="preserve">analog throttles are used for switching off the mainline. Gaps must be</w:t>
      </w:r>
      <w:r>
        <w:t xml:space="preserve"> </w:t>
      </w:r>
      <w:r>
        <w:t xml:space="preserve">installed on both rails. Common-rail wiring is not to be used. Any local</w:t>
      </w:r>
      <w:r>
        <w:t xml:space="preserve"> </w:t>
      </w:r>
      <w:r>
        <w:t xml:space="preserve">controls should be mounted on the module. Removable control panels are</w:t>
      </w:r>
      <w:r>
        <w:t xml:space="preserve"> </w:t>
      </w:r>
      <w:r>
        <w:t xml:space="preserve">permissible.</w:t>
      </w:r>
      <w:r>
        <w:t xml:space="preserve"> </w:t>
      </w:r>
      <w:r>
        <w:rPr>
          <w:i/>
        </w:rPr>
        <w:t xml:space="preserve">(See Branchline Power Connection Diagram</w:t>
      </w:r>
      <w:r>
        <w:rPr>
          <w:i/>
        </w:rPr>
        <w:t xml:space="preserve"> </w:t>
      </w:r>
      <w:r>
        <w:rPr>
          <w:b/>
          <w:i/>
        </w:rPr>
        <w:t xml:space="preserve">D-5</w:t>
      </w:r>
      <w:r>
        <w:rPr>
          <w:i/>
        </w:rPr>
        <w:t xml:space="preserve">.)</w:t>
      </w:r>
    </w:p>
    <w:p>
      <w:pPr>
        <w:pStyle w:val="BodyText"/>
      </w:pPr>
      <w:r>
        <w:t xml:space="preserve">The use of plastic rail joiners is preferred over the cut and fill</w:t>
      </w:r>
      <w:r>
        <w:t xml:space="preserve"> </w:t>
      </w:r>
      <w:r>
        <w:t xml:space="preserve">method (using epoxy to fill a cut in the rails) when installing</w:t>
      </w:r>
      <w:r>
        <w:t xml:space="preserve"> </w:t>
      </w:r>
      <w:r>
        <w:t xml:space="preserve">insulation gaps.</w:t>
      </w:r>
    </w:p>
    <w:p>
      <w:pPr>
        <w:pStyle w:val="Heading2"/>
      </w:pPr>
      <w:bookmarkStart w:id="63" w:name="provision-for-accessory-power"/>
      <w:bookmarkEnd w:id="63"/>
      <w:r>
        <w:t xml:space="preserve">Provision for Accessory Power</w:t>
      </w:r>
    </w:p>
    <w:p>
      <w:pPr>
        <w:pStyle w:val="FirstParagraph"/>
      </w:pPr>
      <w:r>
        <w:t xml:space="preserve">The Main Electrical Bus shall provide 16VAC on the black and white wires. Individual modules may use this power source for optional accessories such as lighting, animation and switch machines. Each module is limited to 500 mA current draw, continuous.</w:t>
      </w:r>
      <w:r>
        <w:rPr>
          <w:rStyle w:val="FootnoteReference"/>
        </w:rPr>
        <w:footnoteReference w:id="64"/>
      </w:r>
    </w:p>
    <w:p>
      <w:pPr>
        <w:pStyle w:val="BodyText"/>
      </w:pPr>
      <w:r>
        <w:rPr>
          <w:rStyle w:val="FootnoteReference"/>
        </w:rPr>
        <w:footnoteReference w:id="65"/>
      </w:r>
      <w:r>
        <w:t xml:space="preserve"> </w:t>
      </w:r>
      <w:r>
        <w:t xml:space="preserve">Exceptions to this limit may be made by the layout coordinator.</w:t>
      </w:r>
    </w:p>
    <w:p>
      <w:pPr>
        <w:pStyle w:val="Heading1"/>
      </w:pPr>
      <w:bookmarkStart w:id="66" w:name="framework"/>
      <w:bookmarkEnd w:id="66"/>
      <w:r>
        <w:t xml:space="preserve">Framework</w:t>
      </w:r>
    </w:p>
    <w:p>
      <w:pPr>
        <w:pStyle w:val="Heading2"/>
      </w:pPr>
      <w:bookmarkStart w:id="67" w:name="framework-general"/>
      <w:bookmarkEnd w:id="67"/>
      <w:r>
        <w:t xml:space="preserve">Framework: General</w:t>
      </w:r>
    </w:p>
    <w:p>
      <w:pPr>
        <w:pStyle w:val="FirstParagraph"/>
      </w:pPr>
      <w:r>
        <w:t xml:space="preserve">The specifications for module sizes are relatively strict. The following describes the minimum requirements and recommended practices for module framework construction. Modules will be checked annually to ensure conformance to specifications following the</w:t>
      </w:r>
      <w:r>
        <w:t xml:space="preserve"> </w:t>
      </w:r>
      <w:r>
        <w:rPr>
          <w:b/>
        </w:rPr>
        <w:t xml:space="preserve">NGM</w:t>
      </w:r>
      <w:r>
        <w:t xml:space="preserve"> </w:t>
      </w:r>
      <w:r>
        <w:t xml:space="preserve">Module Compliance Audit Form. Conforming modules will display a dated sticker which will</w:t>
      </w:r>
      <w:r>
        <w:t xml:space="preserve"> </w:t>
      </w:r>
      <w:r>
        <w:t xml:space="preserve">provide sufficient proof of compliance.</w:t>
      </w:r>
    </w:p>
    <w:p>
      <w:pPr>
        <w:pStyle w:val="BodyText"/>
      </w:pPr>
      <w:r>
        <w:t xml:space="preserve">As of this revision, the</w:t>
      </w:r>
      <w:r>
        <w:t xml:space="preserve"> </w:t>
      </w:r>
      <w:r>
        <w:rPr>
          <w:b/>
        </w:rPr>
        <w:t xml:space="preserve">NGM</w:t>
      </w:r>
      <w:r>
        <w:t xml:space="preserve"> </w:t>
      </w:r>
      <w:r>
        <w:t xml:space="preserve">standards committee has not approved the use of transition modules to allow for the inclusion of non-conforming modules.</w:t>
      </w:r>
    </w:p>
    <w:p>
      <w:pPr>
        <w:pStyle w:val="Heading2"/>
      </w:pPr>
      <w:bookmarkStart w:id="68" w:name="framework-requirements"/>
      <w:bookmarkEnd w:id="68"/>
      <w:r>
        <w:t xml:space="preserve">Framework: Requirements</w:t>
      </w:r>
    </w:p>
    <w:p>
      <w:pPr>
        <w:pStyle w:val="FirstParagraph"/>
      </w:pPr>
      <w:r>
        <w:t xml:space="preserve">For consistency with existing modules, it is recommended the module frame sides and ends will be made with 1" x 4" (3/4" x 3 1/2" finished</w:t>
      </w:r>
      <w:r>
        <w:rPr>
          <w:rStyle w:val="FootnoteReference"/>
        </w:rPr>
        <w:footnoteReference w:id="69"/>
      </w:r>
      <w:r>
        <w:t xml:space="preserve">) lumber such as common pine. It shall be straight, solid and free of knots. It shall be sanded smooth prior to finishing and painting. All visible framework must be painted with Ace Hardware Forest Green</w:t>
      </w:r>
      <w:r>
        <w:t xml:space="preserve"> </w:t>
      </w:r>
      <w:r>
        <w:t xml:space="preserve">interior latex paint (or equivalent.) Some provision must be provided for hanging NGM provided decorative curtain or skirting.</w:t>
      </w:r>
      <w:r>
        <w:rPr>
          <w:rStyle w:val="FootnoteReference"/>
        </w:rPr>
        <w:footnoteReference w:id="70"/>
      </w:r>
    </w:p>
    <w:p>
      <w:pPr>
        <w:pStyle w:val="BodyText"/>
      </w:pPr>
      <w:r>
        <w:t xml:space="preserve">Modules are joined by 3" C-clamps. Provision must be made to clamp to any other module whose side frame is a standard 1" x 4". Two clamps are required for each module end and are typically provided by the club. Two clamps are required to allow front to back track alignment.</w:t>
      </w:r>
    </w:p>
    <w:p>
      <w:pPr>
        <w:pStyle w:val="Heading3"/>
      </w:pPr>
      <w:bookmarkStart w:id="71" w:name="frame-dimensions"/>
      <w:bookmarkEnd w:id="71"/>
      <w:r>
        <w:t xml:space="preserve">Frame Dimensions</w:t>
      </w:r>
    </w:p>
    <w:tbl>
      <w:tblPr>
        <w:tblStyle w:val="TableNormal"/>
        <w:tblW w:type="pct" w:w="1180.5555555555554"/>
        <w:tblLook w:firstRow="1"/>
      </w:tblPr>
      <w:tblGrid>
        <w:gridCol w:w="550"/>
        <w:gridCol w:w="660"/>
        <w:gridCol w:w="660"/>
      </w:tblGrid>
      <w:tr>
        <w:trPr>
          <w:cnfStyle w:firstRow="1"/>
        </w:trPr>
        <w:tc>
          <w:tcPr>
            <w:tcBorders>
              <w:bottom w:val="single"/>
            </w:tcBorders>
            <w:vAlign w:val="bottom"/>
          </w:tcPr>
          <w:p>
            <w:pPr>
              <w:pStyle w:val="Compact"/>
              <w:jc w:val="left"/>
            </w:pPr>
            <w:r>
              <w:t xml:space="preserve">Dimension</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Max.</w:t>
            </w:r>
          </w:p>
        </w:tc>
      </w:tr>
      <w:tr>
        <w:tc>
          <w:p>
            <w:pPr>
              <w:pStyle w:val="Compact"/>
              <w:jc w:val="left"/>
            </w:pPr>
            <w:r>
              <w:rPr>
                <w:b/>
              </w:rPr>
              <w:t xml:space="preserve">Leg Height</w:t>
            </w:r>
          </w:p>
        </w:tc>
        <w:tc>
          <w:p>
            <w:pPr>
              <w:pStyle w:val="Compact"/>
              <w:jc w:val="center"/>
            </w:pPr>
            <w:r>
              <w:t xml:space="preserve">N/A</w:t>
            </w:r>
          </w:p>
        </w:tc>
        <w:tc>
          <w:p>
            <w:pPr>
              <w:pStyle w:val="Compact"/>
              <w:jc w:val="center"/>
            </w:pPr>
            <w:r>
              <w:t xml:space="preserve">Adjust with eye bolt to reach 40" at rail</w:t>
            </w:r>
            <w:r>
              <w:t xml:space="preserve"> </w:t>
            </w:r>
            <w:r>
              <w:rPr>
                <w:rStyle w:val="FootnoteReference"/>
              </w:rPr>
              <w:footnoteReference w:id="72"/>
            </w:r>
            <w:r>
              <w:t xml:space="preserve"> </w:t>
            </w:r>
            <w:r>
              <w:rPr>
                <w:i/>
              </w:rPr>
              <w:t xml:space="preserve">See Diagram</w:t>
            </w:r>
            <w:r>
              <w:rPr>
                <w:i/>
              </w:rPr>
              <w:t xml:space="preserve"> </w:t>
            </w:r>
            <w:r>
              <w:rPr>
                <w:b/>
                <w:i/>
              </w:rPr>
              <w:t xml:space="preserve">D-2</w:t>
            </w:r>
            <w:r>
              <w:rPr>
                <w:i/>
              </w:rPr>
              <w:t xml:space="preserve"> </w:t>
            </w:r>
            <w:r>
              <w:rPr>
                <w:i/>
              </w:rPr>
              <w:t xml:space="preserve">(Leg Construction)</w:t>
            </w:r>
          </w:p>
        </w:tc>
      </w:tr>
      <w:tr>
        <w:tc>
          <w:p>
            <w:pPr>
              <w:pStyle w:val="Compact"/>
              <w:jc w:val="left"/>
            </w:pPr>
            <w:r>
              <w:rPr>
                <w:b/>
              </w:rPr>
              <w:t xml:space="preserve">Length</w:t>
            </w:r>
          </w:p>
        </w:tc>
        <w:tc>
          <w:p>
            <w:pPr>
              <w:pStyle w:val="Compact"/>
              <w:jc w:val="center"/>
            </w:pPr>
            <w:r>
              <w:t xml:space="preserve">24"</w:t>
            </w:r>
          </w:p>
        </w:tc>
        <w:tc>
          <w:p>
            <w:pPr>
              <w:pStyle w:val="Compact"/>
              <w:jc w:val="center"/>
            </w:pPr>
            <w:r>
              <w:t xml:space="preserve">96" (in 24" increments)</w:t>
            </w:r>
          </w:p>
        </w:tc>
      </w:tr>
      <w:tr>
        <w:tc>
          <w:p>
            <w:pPr>
              <w:pStyle w:val="Compact"/>
              <w:jc w:val="left"/>
            </w:pPr>
            <w:r>
              <w:rPr>
                <w:b/>
              </w:rPr>
              <w:t xml:space="preserve">Depth</w:t>
            </w:r>
          </w:p>
        </w:tc>
        <w:tc>
          <w:p>
            <w:pPr>
              <w:pStyle w:val="Compact"/>
              <w:jc w:val="center"/>
            </w:pPr>
            <w:r>
              <w:t xml:space="preserve">18"</w:t>
            </w:r>
          </w:p>
        </w:tc>
        <w:tc>
          <w:p>
            <w:pPr>
              <w:pStyle w:val="Compact"/>
              <w:jc w:val="center"/>
            </w:pPr>
            <w:r>
              <w:t xml:space="preserve">36"</w:t>
            </w:r>
          </w:p>
        </w:tc>
      </w:tr>
      <w:tr>
        <w:tc>
          <w:p>
            <w:pPr>
              <w:pStyle w:val="Compact"/>
              <w:jc w:val="left"/>
            </w:pPr>
            <w:r>
              <w:rPr>
                <w:b/>
              </w:rPr>
              <w:t xml:space="preserve">Height</w:t>
            </w:r>
          </w:p>
        </w:tc>
        <w:tc>
          <w:p>
            <w:pPr>
              <w:pStyle w:val="Compact"/>
              <w:jc w:val="center"/>
            </w:pPr>
            <w:r>
              <w:t xml:space="preserve">3 ½"</w:t>
            </w:r>
          </w:p>
        </w:tc>
        <w:tc>
          <w:p>
            <w:pPr>
              <w:pStyle w:val="Compact"/>
              <w:jc w:val="center"/>
            </w:pPr>
            <w:r>
              <w:t xml:space="preserve">N/A</w:t>
            </w:r>
          </w:p>
        </w:tc>
      </w:tr>
    </w:tbl>
    <w:p>
      <w:pPr>
        <w:pStyle w:val="BodyText"/>
      </w:pPr>
      <w:r>
        <w:t xml:space="preserve">Frame corners must be square</w:t>
      </w:r>
    </w:p>
    <w:p>
      <w:pPr>
        <w:pStyle w:val="Heading3"/>
      </w:pPr>
      <w:bookmarkStart w:id="73" w:name="framework-recommended-practices"/>
      <w:bookmarkEnd w:id="73"/>
      <w:r>
        <w:t xml:space="preserve">Framework: Recommended Practices</w:t>
      </w:r>
    </w:p>
    <w:p>
      <w:pPr>
        <w:pStyle w:val="FirstParagraph"/>
      </w:pPr>
      <w:r>
        <w:t xml:space="preserve">It is recommended that the frame pieces be joined with screws and glue. It is also recommended that the gluing be done on the inside of the framework to eliminate glue residue from marring the appearance of the frame exterior.</w:t>
      </w:r>
    </w:p>
    <w:p>
      <w:pPr>
        <w:pStyle w:val="BodyText"/>
      </w:pPr>
      <w:r>
        <w:t xml:space="preserve">If a handle is attached to the module, it should be done on the north side so that it is not seen during shows. The legs should be removable and have a T-nut or threaded insert and eye bolt installed on the floor side to allow for rail height adjustments.</w:t>
      </w:r>
    </w:p>
    <w:p>
      <w:pPr>
        <w:pStyle w:val="Heading1"/>
      </w:pPr>
      <w:bookmarkStart w:id="74" w:name="scenery"/>
      <w:bookmarkEnd w:id="74"/>
      <w:r>
        <w:t xml:space="preserve">Scenery</w:t>
      </w:r>
    </w:p>
    <w:p>
      <w:pPr>
        <w:pStyle w:val="Heading2"/>
      </w:pPr>
      <w:bookmarkStart w:id="75" w:name="general"/>
      <w:bookmarkEnd w:id="75"/>
      <w:r>
        <w:t xml:space="preserve">General</w:t>
      </w:r>
    </w:p>
    <w:p>
      <w:pPr>
        <w:pStyle w:val="FirstParagraph"/>
      </w:pPr>
      <w:r>
        <w:t xml:space="preserve">The scenery design, style, colors and details are all optional. Each module has the option of being a stand alone diorama or belonging to a set of modules that make up a mated set. The club will not mandate scenery styles nor scenery contents. As a general guideline, a clear majority of</w:t>
      </w:r>
      <w:r>
        <w:t xml:space="preserve"> </w:t>
      </w:r>
      <w:r>
        <w:rPr>
          <w:b/>
        </w:rPr>
        <w:t xml:space="preserve">NGM</w:t>
      </w:r>
      <w:r>
        <w:t xml:space="preserve"> </w:t>
      </w:r>
      <w:r>
        <w:t xml:space="preserve">modelers have followed a modern, late 1960's to 90's theme.</w:t>
      </w:r>
    </w:p>
    <w:p>
      <w:pPr>
        <w:pStyle w:val="Heading2"/>
      </w:pPr>
      <w:bookmarkStart w:id="76" w:name="sky-board"/>
      <w:bookmarkEnd w:id="76"/>
      <w:r>
        <w:t xml:space="preserve">Sky Board</w:t>
      </w:r>
    </w:p>
    <w:p>
      <w:pPr>
        <w:pStyle w:val="FirstParagraph"/>
      </w:pPr>
      <w:r>
        <w:t xml:space="preserve">Each module will have a sky board or backboard that extends 14" above the rear side rail. It should be 1/8" shorter than the module on each end to avoid interference with adjoining modules. The sky board may be permanently attached but it is recommended that it be removable for ease of transportation.</w:t>
      </w:r>
      <w:r>
        <w:t xml:space="preserve"> </w:t>
      </w:r>
      <w:r>
        <w:rPr>
          <w:i/>
        </w:rPr>
        <w:t xml:space="preserve">(See diagram</w:t>
      </w:r>
      <w:r>
        <w:rPr>
          <w:i/>
        </w:rPr>
        <w:t xml:space="preserve"> </w:t>
      </w:r>
      <w:r>
        <w:rPr>
          <w:b/>
          <w:i/>
        </w:rPr>
        <w:t xml:space="preserve">D-3</w:t>
      </w:r>
      <w:r>
        <w:rPr>
          <w:i/>
        </w:rPr>
        <w:t xml:space="preserve"> </w:t>
      </w:r>
      <w:r>
        <w:rPr>
          <w:i/>
        </w:rPr>
        <w:t xml:space="preserve">for placement.)</w:t>
      </w:r>
      <w:r>
        <w:t xml:space="preserve"> </w:t>
      </w:r>
      <w:r>
        <w:t xml:space="preserve">The sky board must be painted on both sides.</w:t>
      </w:r>
      <w:r>
        <w:t xml:space="preserve"> </w:t>
      </w:r>
      <w:r>
        <w:rPr>
          <w:b/>
        </w:rPr>
        <w:t xml:space="preserve">NGM</w:t>
      </w:r>
      <w:r>
        <w:t xml:space="preserve"> </w:t>
      </w:r>
      <w:r>
        <w:t xml:space="preserve">recommends the use of Sherwin Williams Universe Blue (or equivalent) for the front of the sky board. Paint the back of the sky board with the same green paint used for the frame</w:t>
      </w:r>
      <w:r>
        <w:t xml:space="preserve"> </w:t>
      </w:r>
      <w:r>
        <w:rPr>
          <w:i/>
        </w:rPr>
        <w:t xml:space="preserve">(refer to section</w:t>
      </w:r>
      <w:r>
        <w:rPr>
          <w:i/>
        </w:rPr>
        <w:t xml:space="preserve"> </w:t>
      </w:r>
      <w:r>
        <w:rPr>
          <w:b/>
          <w:i/>
        </w:rPr>
        <w:t xml:space="preserve">3.1</w:t>
      </w:r>
      <w:r>
        <w:rPr>
          <w:i/>
        </w:rPr>
        <w:t xml:space="preserve">.)</w:t>
      </w:r>
    </w:p>
    <w:p>
      <w:pPr>
        <w:pStyle w:val="Heading1"/>
      </w:pPr>
      <w:bookmarkStart w:id="77" w:name="definitions"/>
      <w:bookmarkEnd w:id="77"/>
      <w:r>
        <w:t xml:space="preserve">Definitions</w:t>
      </w:r>
    </w:p>
    <w:p>
      <w:pPr>
        <w:pStyle w:val="Heading2"/>
      </w:pPr>
      <w:bookmarkStart w:id="78" w:name="awg"/>
      <w:bookmarkEnd w:id="78"/>
      <w:r>
        <w:t xml:space="preserve">AWG</w:t>
      </w:r>
    </w:p>
    <w:p>
      <w:pPr>
        <w:pStyle w:val="FirstParagraph"/>
      </w:pPr>
      <w:r>
        <w:t xml:space="preserve">AWG refers to "American Wire Gauge". It is a standard that defines</w:t>
      </w:r>
      <w:r>
        <w:t xml:space="preserve"> </w:t>
      </w:r>
      <w:r>
        <w:t xml:space="preserve">electrical wire sizes by a numerical value. The word "</w:t>
      </w:r>
      <w:r>
        <w:rPr>
          <w:i/>
          <w:b/>
        </w:rPr>
        <w:t xml:space="preserve">gauge</w:t>
      </w:r>
      <w:r>
        <w:t xml:space="preserve">" is</w:t>
      </w:r>
      <w:r>
        <w:t xml:space="preserve"> </w:t>
      </w:r>
      <w:r>
        <w:t xml:space="preserve">commonly used when referring to a wire size.</w:t>
      </w:r>
    </w:p>
    <w:p>
      <w:pPr>
        <w:pStyle w:val="BodyText"/>
      </w:pPr>
      <w:r>
        <w:rPr>
          <w:b/>
        </w:rPr>
        <w:t xml:space="preserve">For the technical types:</w:t>
      </w:r>
      <w:r>
        <w:t xml:space="preserve">, 14 gauge wire is 1.628 mm in diameter and</w:t>
      </w:r>
      <w:r>
        <w:t xml:space="preserve"> </w:t>
      </w:r>
      <w:r>
        <w:t xml:space="preserve">has the ability to conduct 17 amps of electrical current while only</w:t>
      </w:r>
      <w:r>
        <w:t xml:space="preserve"> </w:t>
      </w:r>
      <w:r>
        <w:t xml:space="preserve">having 2 ohms or resistance per 1000 feet.</w:t>
      </w:r>
    </w:p>
    <w:p>
      <w:pPr>
        <w:pStyle w:val="Heading2"/>
      </w:pPr>
      <w:bookmarkStart w:id="79" w:name="auxiliary-track"/>
      <w:bookmarkEnd w:id="79"/>
      <w:r>
        <w:t xml:space="preserve">Auxiliary Track</w:t>
      </w:r>
    </w:p>
    <w:p>
      <w:pPr>
        <w:pStyle w:val="FirstParagraph"/>
      </w:pPr>
      <w:r>
        <w:t xml:space="preserve">Auxiliary lines serve as an optional third mainline when possible. When</w:t>
      </w:r>
      <w:r>
        <w:t xml:space="preserve"> </w:t>
      </w:r>
      <w:r>
        <w:t xml:space="preserve">used as a mainline, it must be installed with the same standards as the</w:t>
      </w:r>
      <w:r>
        <w:t xml:space="preserve"> </w:t>
      </w:r>
      <w:r>
        <w:t xml:space="preserve">other mainlines. An auxiliary track is always parallel to the mainline</w:t>
      </w:r>
      <w:r>
        <w:t xml:space="preserve"> </w:t>
      </w:r>
      <w:r>
        <w:t xml:space="preserve">at a 2 ½" center from mainline #2 and is also called Mainline #3. When</w:t>
      </w:r>
      <w:r>
        <w:t xml:space="preserve"> </w:t>
      </w:r>
      <w:r>
        <w:t xml:space="preserve">used as a siding, branch line standards apply and it may not be</w:t>
      </w:r>
      <w:r>
        <w:t xml:space="preserve"> </w:t>
      </w:r>
      <w:r>
        <w:t xml:space="preserve">considered as a third mainline if it deviates from the mainline</w:t>
      </w:r>
      <w:r>
        <w:t xml:space="preserve"> </w:t>
      </w:r>
      <w:r>
        <w:t xml:space="preserve">standard.</w:t>
      </w:r>
    </w:p>
    <w:p>
      <w:pPr>
        <w:pStyle w:val="Heading2"/>
      </w:pPr>
      <w:bookmarkStart w:id="80" w:name="branch-lines"/>
      <w:bookmarkEnd w:id="80"/>
      <w:r>
        <w:t xml:space="preserve">Branch Lines</w:t>
      </w:r>
    </w:p>
    <w:p>
      <w:pPr>
        <w:pStyle w:val="FirstParagraph"/>
      </w:pPr>
      <w:r>
        <w:t xml:space="preserve">These lines are optional on all modules. They must conform to all</w:t>
      </w:r>
      <w:r>
        <w:t xml:space="preserve"> </w:t>
      </w:r>
      <w:r>
        <w:rPr>
          <w:b/>
        </w:rPr>
        <w:t xml:space="preserve">NGM</w:t>
      </w:r>
      <w:r>
        <w:t xml:space="preserve"> </w:t>
      </w:r>
      <w:r>
        <w:t xml:space="preserve">electrical and interface standards. They must also be insulated</w:t>
      </w:r>
      <w:r>
        <w:t xml:space="preserve"> </w:t>
      </w:r>
      <w:r>
        <w:t xml:space="preserve">from the mainline if a local analog throttle is to be used while the</w:t>
      </w:r>
      <w:r>
        <w:t xml:space="preserve"> </w:t>
      </w:r>
      <w:r>
        <w:t xml:space="preserve">mainline is active.</w:t>
      </w:r>
    </w:p>
    <w:p>
      <w:pPr>
        <w:pStyle w:val="Heading2"/>
      </w:pPr>
      <w:bookmarkStart w:id="81" w:name="bridge-track"/>
      <w:bookmarkEnd w:id="81"/>
      <w:r>
        <w:t xml:space="preserve">Bridge Track</w:t>
      </w:r>
    </w:p>
    <w:p>
      <w:pPr>
        <w:pStyle w:val="FirstParagraph"/>
      </w:pPr>
      <w:r>
        <w:t xml:space="preserve">A connecting, removable track section used to join the tracks between</w:t>
      </w:r>
      <w:r>
        <w:t xml:space="preserve"> </w:t>
      </w:r>
      <w:r>
        <w:t xml:space="preserve">modules. The interface area has been sized to allow standard sectional</w:t>
      </w:r>
      <w:r>
        <w:t xml:space="preserve"> </w:t>
      </w:r>
      <w:r>
        <w:t xml:space="preserve">track parts to be inserted between modules.</w:t>
      </w:r>
      <w:r>
        <w:t xml:space="preserve"> </w:t>
      </w:r>
      <w:r>
        <w:rPr>
          <w:i/>
        </w:rPr>
        <w:t xml:space="preserve">(Also known as an Interface</w:t>
      </w:r>
      <w:r>
        <w:rPr>
          <w:i/>
        </w:rPr>
        <w:t xml:space="preserve"> </w:t>
      </w:r>
      <w:r>
        <w:rPr>
          <w:i/>
        </w:rPr>
        <w:t xml:space="preserve">Track.)</w:t>
      </w:r>
    </w:p>
    <w:p>
      <w:pPr>
        <w:pStyle w:val="Heading2"/>
      </w:pPr>
      <w:bookmarkStart w:id="82" w:name="center-spacing"/>
      <w:bookmarkEnd w:id="82"/>
      <w:r>
        <w:t xml:space="preserve">Center Spacing</w:t>
      </w:r>
    </w:p>
    <w:p>
      <w:pPr>
        <w:pStyle w:val="FirstParagraph"/>
      </w:pPr>
      <w:r>
        <w:t xml:space="preserve">The distance between the centerlines of parallel tracks.</w:t>
      </w:r>
    </w:p>
    <w:p>
      <w:pPr>
        <w:pStyle w:val="Heading2"/>
      </w:pPr>
      <w:bookmarkStart w:id="83" w:name="conforming-modules"/>
      <w:bookmarkEnd w:id="83"/>
      <w:r>
        <w:t xml:space="preserve">Conforming Modules</w:t>
      </w:r>
    </w:p>
    <w:p>
      <w:pPr>
        <w:pStyle w:val="FirstParagraph"/>
      </w:pPr>
      <w:r>
        <w:t xml:space="preserve">Modules that are freely interchangeable in every way with all other</w:t>
      </w:r>
      <w:r>
        <w:t xml:space="preserve"> </w:t>
      </w:r>
      <w:r>
        <w:t xml:space="preserve">conforming modules built to these standards. Conformity shall be</w:t>
      </w:r>
      <w:r>
        <w:t xml:space="preserve"> </w:t>
      </w:r>
      <w:r>
        <w:t xml:space="preserve">determined by the</w:t>
      </w:r>
      <w:r>
        <w:t xml:space="preserve"> </w:t>
      </w:r>
      <w:r>
        <w:rPr>
          <w:b/>
        </w:rPr>
        <w:t xml:space="preserve">NGM</w:t>
      </w:r>
      <w:r>
        <w:t xml:space="preserve"> </w:t>
      </w:r>
      <w:r>
        <w:t xml:space="preserve">Conformance Committee.</w:t>
      </w:r>
    </w:p>
    <w:p>
      <w:pPr>
        <w:pStyle w:val="Heading2"/>
      </w:pPr>
      <w:bookmarkStart w:id="84" w:name="dcc"/>
      <w:bookmarkEnd w:id="84"/>
      <w:r>
        <w:t xml:space="preserve">DCC</w:t>
      </w:r>
    </w:p>
    <w:p>
      <w:pPr>
        <w:pStyle w:val="FirstParagraph"/>
      </w:pPr>
      <w:r>
        <w:rPr>
          <w:b/>
        </w:rPr>
        <w:t xml:space="preserve">Digital Command Control (DCC)</w:t>
      </w:r>
      <w:r>
        <w:t xml:space="preserve">. The</w:t>
      </w:r>
      <w:r>
        <w:t xml:space="preserve"> </w:t>
      </w:r>
      <w:r>
        <w:rPr>
          <w:b/>
        </w:rPr>
        <w:t xml:space="preserve">NGM</w:t>
      </w:r>
      <w:r>
        <w:t xml:space="preserve"> </w:t>
      </w:r>
      <w:r>
        <w:t xml:space="preserve">standard incorporates</w:t>
      </w:r>
      <w:r>
        <w:t xml:space="preserve"> </w:t>
      </w:r>
      <w:r>
        <w:rPr>
          <w:b/>
        </w:rPr>
        <w:t xml:space="preserve">NMRA</w:t>
      </w:r>
      <w:r>
        <w:t xml:space="preserve"> </w:t>
      </w:r>
      <w:r>
        <w:t xml:space="preserve">approved standards for</w:t>
      </w:r>
      <w:r>
        <w:t xml:space="preserve"> </w:t>
      </w:r>
      <w:r>
        <w:rPr>
          <w:b/>
        </w:rPr>
        <w:t xml:space="preserve">DCC</w:t>
      </w:r>
      <w:r>
        <w:t xml:space="preserve"> </w:t>
      </w:r>
      <w:r>
        <w:t xml:space="preserve">operation .</w:t>
      </w:r>
      <w:r>
        <w:t xml:space="preserve"> </w:t>
      </w:r>
      <w:r>
        <w:rPr>
          <w:b/>
        </w:rPr>
        <w:t xml:space="preserve">DCC</w:t>
      </w:r>
      <w:r>
        <w:t xml:space="preserve"> </w:t>
      </w:r>
      <w:r>
        <w:t xml:space="preserve">allows for</w:t>
      </w:r>
      <w:r>
        <w:t xml:space="preserve"> </w:t>
      </w:r>
      <w:r>
        <w:t xml:space="preserve">independent selection and control of engines by sending commands over</w:t>
      </w:r>
      <w:r>
        <w:t xml:space="preserve"> </w:t>
      </w:r>
      <w:r>
        <w:t xml:space="preserve">the rails to miniature microprocessors installed in the engine bodies.</w:t>
      </w:r>
      <w:r>
        <w:t xml:space="preserve"> </w:t>
      </w:r>
      <w:r>
        <w:t xml:space="preserve">The</w:t>
      </w:r>
      <w:r>
        <w:t xml:space="preserve"> </w:t>
      </w:r>
      <w:r>
        <w:rPr>
          <w:b/>
        </w:rPr>
        <w:t xml:space="preserve">NGM</w:t>
      </w:r>
      <w:r>
        <w:t xml:space="preserve"> </w:t>
      </w:r>
      <w:r>
        <w:t xml:space="preserve">electrical standard requires a telephone style jack to</w:t>
      </w:r>
      <w:r>
        <w:t xml:space="preserve"> </w:t>
      </w:r>
      <w:r>
        <w:t xml:space="preserve">connect the hand-held controller.</w:t>
      </w:r>
    </w:p>
    <w:p>
      <w:pPr>
        <w:pStyle w:val="Heading2"/>
      </w:pPr>
      <w:bookmarkStart w:id="85" w:name="east-end"/>
      <w:bookmarkEnd w:id="85"/>
      <w:r>
        <w:t xml:space="preserve">East End</w:t>
      </w:r>
    </w:p>
    <w:p>
      <w:pPr>
        <w:pStyle w:val="FirstParagraph"/>
      </w:pPr>
      <w:r>
        <w:t xml:space="preserve">This is the right-hand end of the module as seen from the front (the</w:t>
      </w:r>
      <w:r>
        <w:t xml:space="preserve"> </w:t>
      </w:r>
      <w:r>
        <w:t xml:space="preserve">normal viewing side)</w:t>
      </w:r>
    </w:p>
    <w:p>
      <w:pPr>
        <w:pStyle w:val="Heading2"/>
      </w:pPr>
      <w:bookmarkStart w:id="86" w:name="west-end"/>
      <w:bookmarkEnd w:id="86"/>
      <w:r>
        <w:t xml:space="preserve">West End</w:t>
      </w:r>
    </w:p>
    <w:p>
      <w:pPr>
        <w:pStyle w:val="FirstParagraph"/>
      </w:pPr>
      <w:r>
        <w:t xml:space="preserve">This is the left-hand end of the module as seen from the front (the</w:t>
      </w:r>
      <w:r>
        <w:t xml:space="preserve"> </w:t>
      </w:r>
      <w:r>
        <w:t xml:space="preserve">normal viewing side.)</w:t>
      </w:r>
    </w:p>
    <w:p>
      <w:pPr>
        <w:pStyle w:val="Heading2"/>
      </w:pPr>
      <w:bookmarkStart w:id="87" w:name="interface-area"/>
      <w:bookmarkEnd w:id="87"/>
      <w:r>
        <w:t xml:space="preserve">Interface Area</w:t>
      </w:r>
    </w:p>
    <w:p>
      <w:pPr>
        <w:pStyle w:val="FirstParagraph"/>
      </w:pPr>
      <w:r>
        <w:t xml:space="preserve">Any portion of the module within 3" from the East and West ends of the</w:t>
      </w:r>
      <w:r>
        <w:t xml:space="preserve"> </w:t>
      </w:r>
      <w:r>
        <w:t xml:space="preserve">module.</w:t>
      </w:r>
      <w:r>
        <w:t xml:space="preserve"> </w:t>
      </w:r>
      <w:r>
        <w:rPr>
          <w:i/>
        </w:rPr>
        <w:t xml:space="preserve">(See the Interface Area diagram.)</w:t>
      </w:r>
      <w:r>
        <w:t xml:space="preserve"> </w:t>
      </w:r>
      <w:r>
        <w:t xml:space="preserve">The Interface Area is</w:t>
      </w:r>
      <w:r>
        <w:t xml:space="preserve"> </w:t>
      </w:r>
      <w:r>
        <w:t xml:space="preserve">considerably restricted by the</w:t>
      </w:r>
      <w:r>
        <w:t xml:space="preserve"> </w:t>
      </w:r>
      <w:r>
        <w:rPr>
          <w:b/>
        </w:rPr>
        <w:t xml:space="preserve">NMRA</w:t>
      </w:r>
      <w:r>
        <w:t xml:space="preserve"> </w:t>
      </w:r>
      <w:r>
        <w:t xml:space="preserve">and</w:t>
      </w:r>
      <w:r>
        <w:t xml:space="preserve"> </w:t>
      </w:r>
      <w:r>
        <w:rPr>
          <w:b/>
        </w:rPr>
        <w:t xml:space="preserve">NGM</w:t>
      </w:r>
      <w:r>
        <w:t xml:space="preserve"> </w:t>
      </w:r>
      <w:r>
        <w:t xml:space="preserve">standards to ensure</w:t>
      </w:r>
      <w:r>
        <w:t xml:space="preserve"> </w:t>
      </w:r>
      <w:r>
        <w:t xml:space="preserve">that modules are interchangeable and operations are smooth. The</w:t>
      </w:r>
      <w:r>
        <w:t xml:space="preserve"> </w:t>
      </w:r>
      <w:r>
        <w:rPr>
          <w:b/>
        </w:rPr>
        <w:t xml:space="preserve">NMRA</w:t>
      </w:r>
      <w:r>
        <w:t xml:space="preserve"> </w:t>
      </w:r>
      <w:r>
        <w:t xml:space="preserve">standard defines the Interface Area to be 4½" vs. the 3" adopted by</w:t>
      </w:r>
      <w:r>
        <w:t xml:space="preserve"> </w:t>
      </w:r>
      <w:r>
        <w:rPr>
          <w:b/>
        </w:rPr>
        <w:t xml:space="preserve">NGM</w:t>
      </w:r>
      <w:r>
        <w:t xml:space="preserve">.</w:t>
      </w:r>
    </w:p>
    <w:p>
      <w:pPr>
        <w:pStyle w:val="Heading2"/>
      </w:pPr>
      <w:bookmarkStart w:id="88" w:name="mainline-track"/>
      <w:bookmarkEnd w:id="88"/>
      <w:r>
        <w:t xml:space="preserve">Mainline Track</w:t>
      </w:r>
    </w:p>
    <w:p>
      <w:pPr>
        <w:pStyle w:val="FirstParagraph"/>
      </w:pPr>
      <w:r>
        <w:t xml:space="preserve">The standard defines the mainline as two tracks running the length of</w:t>
      </w:r>
      <w:r>
        <w:t xml:space="preserve"> </w:t>
      </w:r>
      <w:r>
        <w:t xml:space="preserve">the module, not including the interface area, that provide eastbound and</w:t>
      </w:r>
      <w:r>
        <w:t xml:space="preserve"> </w:t>
      </w:r>
      <w:r>
        <w:t xml:space="preserve">westbound operation of trains. The mainline is restricted to 5" and 7"</w:t>
      </w:r>
      <w:r>
        <w:t xml:space="preserve"> </w:t>
      </w:r>
      <w:r>
        <w:t xml:space="preserve">centerlines from the front of the module (in the interface area) with</w:t>
      </w:r>
      <w:r>
        <w:t xml:space="preserve"> </w:t>
      </w:r>
      <w:r>
        <w:t xml:space="preserve">some optional variations. The mainline also has strict radius, grade and</w:t>
      </w:r>
      <w:r>
        <w:t xml:space="preserve"> </w:t>
      </w:r>
      <w:r>
        <w:t xml:space="preserve">turnout restrictions to ensure smooth operation.</w:t>
      </w:r>
    </w:p>
    <w:p>
      <w:pPr>
        <w:pStyle w:val="Heading2"/>
      </w:pPr>
      <w:bookmarkStart w:id="89" w:name="mated-set"/>
      <w:bookmarkEnd w:id="89"/>
      <w:r>
        <w:t xml:space="preserve">Mated Set</w:t>
      </w:r>
    </w:p>
    <w:p>
      <w:pPr>
        <w:pStyle w:val="FirstParagraph"/>
      </w:pPr>
      <w:r>
        <w:t xml:space="preserve">Any group of modules in which the individual modules</w:t>
      </w:r>
      <w:r>
        <w:t xml:space="preserve"> </w:t>
      </w:r>
      <w:r>
        <w:rPr>
          <w:i/>
        </w:rPr>
        <w:t xml:space="preserve">cannot</w:t>
      </w:r>
      <w:r>
        <w:t xml:space="preserve"> </w:t>
      </w:r>
      <w:r>
        <w:t xml:space="preserve">be used</w:t>
      </w:r>
      <w:r>
        <w:t xml:space="preserve"> </w:t>
      </w:r>
      <w:r>
        <w:t xml:space="preserve">separately for some reason. Mated Sets typically consist of modules that</w:t>
      </w:r>
      <w:r>
        <w:t xml:space="preserve"> </w:t>
      </w:r>
      <w:r>
        <w:t xml:space="preserve">do not conform to our interface standards between themselves, but</w:t>
      </w:r>
      <w:r>
        <w:t xml:space="preserve"> </w:t>
      </w:r>
      <w:r>
        <w:t xml:space="preserve">conform to the interface standards at both ends of the set.</w:t>
      </w:r>
    </w:p>
    <w:p>
      <w:pPr>
        <w:pStyle w:val="BodyText"/>
      </w:pPr>
      <w:r>
        <w:t xml:space="preserve">A variation of a mated set is a group of modules that fully conform to</w:t>
      </w:r>
      <w:r>
        <w:t xml:space="preserve"> </w:t>
      </w:r>
      <w:r>
        <w:t xml:space="preserve">our interface standards but are designed to be joined together due to</w:t>
      </w:r>
      <w:r>
        <w:t xml:space="preserve"> </w:t>
      </w:r>
      <w:r>
        <w:t xml:space="preserve">scene continuity or optional interface area track connections that</w:t>
      </w:r>
      <w:r>
        <w:t xml:space="preserve"> </w:t>
      </w:r>
      <w:r>
        <w:t xml:space="preserve">provide multi module continuity.</w:t>
      </w:r>
      <w:r>
        <w:t xml:space="preserve"> </w:t>
      </w:r>
      <w:r>
        <w:rPr>
          <w:i/>
        </w:rPr>
        <w:t xml:space="preserve">(Commonly seen in intermodal yard</w:t>
      </w:r>
      <w:r>
        <w:rPr>
          <w:i/>
        </w:rPr>
        <w:t xml:space="preserve"> </w:t>
      </w:r>
      <w:r>
        <w:rPr>
          <w:i/>
        </w:rPr>
        <w:t xml:space="preserve">modules.)</w:t>
      </w:r>
    </w:p>
    <w:p>
      <w:pPr>
        <w:pStyle w:val="Heading2"/>
      </w:pPr>
      <w:bookmarkStart w:id="90" w:name="module"/>
      <w:bookmarkEnd w:id="90"/>
      <w:r>
        <w:t xml:space="preserve">Module</w:t>
      </w:r>
    </w:p>
    <w:p>
      <w:pPr>
        <w:pStyle w:val="FirstParagraph"/>
      </w:pPr>
      <w:r>
        <w:t xml:space="preserve">A module is a portable section of a table-like frame work which is one</w:t>
      </w:r>
      <w:r>
        <w:t xml:space="preserve"> </w:t>
      </w:r>
      <w:r>
        <w:t xml:space="preserve">part of a large group of similar modules that when assembled together</w:t>
      </w:r>
      <w:r>
        <w:t xml:space="preserve"> </w:t>
      </w:r>
      <w:r>
        <w:t xml:space="preserve">forms a large and fully operating model railroad. They are built by</w:t>
      </w:r>
      <w:r>
        <w:t xml:space="preserve"> </w:t>
      </w:r>
      <w:r>
        <w:t xml:space="preserve">individuals as part of a home layout or specifically for interfacing</w:t>
      </w:r>
      <w:r>
        <w:t xml:space="preserve"> </w:t>
      </w:r>
      <w:r>
        <w:t xml:space="preserve">with others in a large setup. All are built to a set of standards that</w:t>
      </w:r>
      <w:r>
        <w:t xml:space="preserve"> </w:t>
      </w:r>
      <w:r>
        <w:t xml:space="preserve">allow each unit to interface exactly with other units anywhere in the</w:t>
      </w:r>
      <w:r>
        <w:t xml:space="preserve"> </w:t>
      </w:r>
      <w:r>
        <w:t xml:space="preserve">overall system. A module may be a single frame or a set of frames that</w:t>
      </w:r>
      <w:r>
        <w:t xml:space="preserve"> </w:t>
      </w:r>
      <w:r>
        <w:t xml:space="preserve">interface with other modules in a standard manner but that may deviate</w:t>
      </w:r>
      <w:r>
        <w:t xml:space="preserve"> </w:t>
      </w:r>
      <w:r>
        <w:t xml:space="preserve">from the interface standard between ends (</w:t>
      </w:r>
      <w:r>
        <w:rPr>
          <w:i/>
        </w:rPr>
        <w:t xml:space="preserve">see Interface Area.</w:t>
      </w:r>
      <w:r>
        <w:t xml:space="preserve">) By</w:t>
      </w:r>
      <w:r>
        <w:t xml:space="preserve"> </w:t>
      </w:r>
      <w:r>
        <w:t xml:space="preserve">being portable, they may be disassembled-assembled for transporting to</w:t>
      </w:r>
      <w:r>
        <w:t xml:space="preserve"> </w:t>
      </w:r>
      <w:r>
        <w:t xml:space="preserve">conventions or public displays. Many clubs are formed for the specific</w:t>
      </w:r>
      <w:r>
        <w:t xml:space="preserve"> </w:t>
      </w:r>
      <w:r>
        <w:t xml:space="preserve">purpose of building module layouts as space for permanent layouts is</w:t>
      </w:r>
      <w:r>
        <w:t xml:space="preserve"> </w:t>
      </w:r>
      <w:r>
        <w:t xml:space="preserve">hard to find and very expensive when available.</w:t>
      </w:r>
      <w:r>
        <w:t xml:space="preserve"> </w:t>
      </w:r>
      <w:r>
        <w:rPr>
          <w:b/>
        </w:rPr>
        <w:t xml:space="preserve">NGM</w:t>
      </w:r>
      <w:r>
        <w:t xml:space="preserve"> </w:t>
      </w:r>
      <w:r>
        <w:t xml:space="preserve">is such a club.</w:t>
      </w:r>
    </w:p>
    <w:p>
      <w:pPr>
        <w:pStyle w:val="Heading2"/>
      </w:pPr>
      <w:bookmarkStart w:id="91" w:name="non-conforming-module"/>
      <w:bookmarkEnd w:id="91"/>
      <w:r>
        <w:t xml:space="preserve">Non-Conforming Module</w:t>
      </w:r>
    </w:p>
    <w:p>
      <w:pPr>
        <w:pStyle w:val="FirstParagraph"/>
      </w:pPr>
      <w:r>
        <w:t xml:space="preserve">Modules that are not built to these standards (in either track</w:t>
      </w:r>
      <w:r>
        <w:t xml:space="preserve"> </w:t>
      </w:r>
      <w:r>
        <w:t xml:space="preserve">arrangement or electrical wiring methods) and therefore not directly</w:t>
      </w:r>
      <w:r>
        <w:t xml:space="preserve"> </w:t>
      </w:r>
      <w:r>
        <w:t xml:space="preserve">compatible with the system as outlined here.</w:t>
      </w:r>
    </w:p>
    <w:p>
      <w:pPr>
        <w:pStyle w:val="Heading2"/>
      </w:pPr>
      <w:bookmarkStart w:id="92" w:name="non-interface-area"/>
      <w:bookmarkEnd w:id="92"/>
      <w:r>
        <w:t xml:space="preserve">Non-Interface Area</w:t>
      </w:r>
    </w:p>
    <w:p>
      <w:pPr>
        <w:pStyle w:val="FirstParagraph"/>
      </w:pPr>
      <w:r>
        <w:t xml:space="preserve">Any portion of the module not within the interface area. Restrictions</w:t>
      </w:r>
      <w:r>
        <w:t xml:space="preserve"> </w:t>
      </w:r>
      <w:r>
        <w:t xml:space="preserve">within the non-interface area are minimal, although extreme variations</w:t>
      </w:r>
      <w:r>
        <w:t xml:space="preserve"> </w:t>
      </w:r>
      <w:r>
        <w:t xml:space="preserve">in grade, turn radius, and track gauge could render the module</w:t>
      </w:r>
      <w:r>
        <w:t xml:space="preserve"> </w:t>
      </w:r>
      <w:r>
        <w:t xml:space="preserve">undesirable.</w:t>
      </w:r>
    </w:p>
    <w:p>
      <w:pPr>
        <w:pStyle w:val="Heading2"/>
      </w:pPr>
      <w:bookmarkStart w:id="93" w:name="route-convention"/>
      <w:bookmarkEnd w:id="93"/>
      <w:r>
        <w:t xml:space="preserve">Route Convention</w:t>
      </w:r>
    </w:p>
    <w:p>
      <w:pPr>
        <w:pStyle w:val="FirstParagraph"/>
      </w:pPr>
      <w:r>
        <w:t xml:space="preserve">The southern most mainline (mainline #1) runs eastward and the next</w:t>
      </w:r>
      <w:r>
        <w:t xml:space="preserve"> </w:t>
      </w:r>
      <w:r>
        <w:t xml:space="preserve">parallel mainline runs westward. The auxiliary mainline direction is not</w:t>
      </w:r>
      <w:r>
        <w:t xml:space="preserve"> </w:t>
      </w:r>
      <w:r>
        <w:t xml:space="preserve">defined.</w:t>
      </w:r>
      <w:r>
        <w:t xml:space="preserve"> </w:t>
      </w:r>
      <w:r>
        <w:rPr>
          <w:b/>
        </w:rPr>
        <w:t xml:space="preserve">NOTE:</w:t>
      </w:r>
      <w:r>
        <w:t xml:space="preserve"> </w:t>
      </w:r>
      <w:r>
        <w:t xml:space="preserve">The viewing side of the module is the south side.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Adjustable from 39" to 41"</w:t>
      </w:r>
    </w:p>
  </w:footnote>
  <w:footnote w:id="36">
    <w:p>
      <w:pPr>
        <w:pStyle w:val="FootnoteText"/>
      </w:pPr>
      <w:r>
        <w:rPr>
          <w:rStyle w:val="FootnoteReference"/>
        </w:rPr>
        <w:footnoteRef/>
      </w:r>
      <w:r>
        <w:t xml:space="preserve"> </w:t>
      </w:r>
      <w:r>
        <w:t xml:space="preserve">Horizontal clearances are from track center.</w:t>
      </w:r>
    </w:p>
  </w:footnote>
  <w:footnote w:id="37">
    <w:p>
      <w:pPr>
        <w:pStyle w:val="FootnoteText"/>
      </w:pPr>
      <w:r>
        <w:rPr>
          <w:rStyle w:val="FootnoteReference"/>
        </w:rPr>
        <w:footnoteRef/>
      </w:r>
      <w:r>
        <w:t xml:space="preserve"> </w:t>
      </w:r>
      <w:r>
        <w:t xml:space="preserve">Refer to</w:t>
      </w:r>
      <w:r>
        <w:t xml:space="preserve"> </w:t>
      </w:r>
      <w:r>
        <w:rPr>
          <w:b/>
        </w:rPr>
        <w:t xml:space="preserve">S-8</w:t>
      </w:r>
      <w:r>
        <w:t xml:space="preserve">, Class Ia for track radius of 32".</w:t>
      </w:r>
    </w:p>
  </w:footnote>
  <w:footnote w:id="38">
    <w:p>
      <w:pPr>
        <w:pStyle w:val="FootnoteText"/>
      </w:pPr>
      <w:r>
        <w:rPr>
          <w:rStyle w:val="FootnoteReference"/>
        </w:rPr>
        <w:footnoteRef/>
      </w:r>
      <w:r>
        <w:t xml:space="preserve"> </w:t>
      </w:r>
      <w:r>
        <w:t xml:space="preserve">Refer to</w:t>
      </w:r>
      <w:r>
        <w:t xml:space="preserve"> </w:t>
      </w:r>
      <w:r>
        <w:rPr>
          <w:b/>
        </w:rPr>
        <w:t xml:space="preserve">S-8</w:t>
      </w:r>
      <w:r>
        <w:t xml:space="preserve">, Class Ia for track radius of 32".</w:t>
      </w:r>
    </w:p>
  </w:footnote>
  <w:footnote w:id="54">
    <w:p>
      <w:pPr>
        <w:pStyle w:val="FootnoteText"/>
      </w:pPr>
      <w:r>
        <w:rPr>
          <w:rStyle w:val="FootnoteReference"/>
        </w:rPr>
        <w:footnoteRef/>
      </w:r>
      <w:r>
        <w:t xml:space="preserve"> </w:t>
      </w:r>
      <w:r>
        <w:t xml:space="preserve">Maximum current available to any one module is subject to total current capacity provided by the power district. See layout coordinator for details or exceptions.</w:t>
      </w:r>
    </w:p>
  </w:footnote>
  <w:footnote w:id="64">
    <w:p>
      <w:pPr>
        <w:pStyle w:val="FootnoteText"/>
      </w:pPr>
      <w:r>
        <w:rPr>
          <w:rStyle w:val="FootnoteReference"/>
        </w:rPr>
        <w:footnoteRef/>
      </w:r>
      <w:r>
        <w:t xml:space="preserve"> </w:t>
      </w:r>
      <w:r>
        <w:t xml:space="preserve">Maximum current available to any one module is subject to total current capacity provided by the power district. See layout coordinator for details or exceptions.</w:t>
      </w:r>
    </w:p>
  </w:footnote>
  <w:footnote w:id="65">
    <w:p>
      <w:pPr>
        <w:pStyle w:val="FootnoteText"/>
      </w:pPr>
      <w:r>
        <w:rPr>
          <w:rStyle w:val="FootnoteReference"/>
        </w:rPr>
        <w:footnoteRef/>
      </w:r>
      <w:r>
        <w:t xml:space="preserve"> </w:t>
      </w:r>
      <w:r>
        <w:t xml:space="preserve">Maximum current available to any one module is subject to total current capacity provided by the power district. See layout coordinator for details or exceptions.</w:t>
      </w:r>
    </w:p>
  </w:footnote>
  <w:footnote w:id="69">
    <w:p>
      <w:pPr>
        <w:pStyle w:val="FootnoteText"/>
      </w:pPr>
      <w:r>
        <w:rPr>
          <w:rStyle w:val="FootnoteReference"/>
        </w:rPr>
        <w:footnoteRef/>
      </w:r>
      <w:r>
        <w:t xml:space="preserve"> </w:t>
      </w:r>
      <w:r>
        <w:t xml:space="preserve">Note that if Tortoise© switch machines are to be installed standard 1" x 4" lumber will not provide adequate depth to protect them from damage.</w:t>
      </w:r>
    </w:p>
  </w:footnote>
  <w:footnote w:id="70">
    <w:p>
      <w:pPr>
        <w:pStyle w:val="FootnoteText"/>
      </w:pPr>
      <w:r>
        <w:rPr>
          <w:rStyle w:val="FootnoteReference"/>
        </w:rPr>
        <w:footnoteRef/>
      </w:r>
      <w:r>
        <w:t xml:space="preserve"> </w:t>
      </w:r>
      <w:r>
        <w:t xml:space="preserve">A 3/4" Velcro© strip (hook side) is recommended.</w:t>
      </w:r>
    </w:p>
  </w:footnote>
  <w:footnote w:id="72">
    <w:p>
      <w:pPr>
        <w:pStyle w:val="FootnoteText"/>
      </w:pPr>
      <w:r>
        <w:rPr>
          <w:rStyle w:val="FootnoteReference"/>
        </w:rPr>
        <w:footnoteRef/>
      </w:r>
      <w:r>
        <w:t xml:space="preserve"> </w:t>
      </w:r>
      <w:r>
        <w:t xml:space="preserve">Must be adjustable from 39" to 41".</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5dee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db2286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2018-02-25T20:57:12Z</dcterms:created>
  <dcterms:modified xsi:type="dcterms:W3CDTF">2018-02-25T20:57:12Z</dcterms:modified>
</cp:coreProperties>
</file>