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962762" w14:textId="77777777" w:rsidR="00000000" w:rsidRDefault="00000000" w:rsidP="005603DD">
      <w:pPr>
        <w:pStyle w:val="Heading1"/>
        <w:jc w:val="center"/>
        <w:divId w:val="367418694"/>
        <w:rPr>
          <w:rFonts w:asciiTheme="majorBidi" w:eastAsia="Times New Roman" w:hAnsiTheme="majorBidi" w:cstheme="majorBidi"/>
          <w:sz w:val="48"/>
          <w:szCs w:val="48"/>
          <w:lang w:val="en"/>
        </w:rPr>
      </w:pPr>
      <w:r w:rsidRPr="005603DD">
        <w:rPr>
          <w:rFonts w:asciiTheme="majorBidi" w:eastAsia="Times New Roman" w:hAnsiTheme="majorBidi" w:cstheme="majorBidi"/>
          <w:sz w:val="48"/>
          <w:szCs w:val="48"/>
          <w:lang w:val="en"/>
        </w:rPr>
        <w:t>High-Value Conversion Funnels — Data Foundation</w:t>
      </w:r>
    </w:p>
    <w:p w14:paraId="1985E046" w14:textId="77777777" w:rsidR="005603DD" w:rsidRPr="005603DD" w:rsidRDefault="005603DD" w:rsidP="005603DD">
      <w:pPr>
        <w:pStyle w:val="Heading1"/>
        <w:jc w:val="center"/>
        <w:divId w:val="367418694"/>
        <w:rPr>
          <w:rFonts w:asciiTheme="majorBidi" w:eastAsia="Times New Roman" w:hAnsiTheme="majorBidi" w:cstheme="majorBidi"/>
          <w:sz w:val="48"/>
          <w:szCs w:val="48"/>
          <w:lang w:val="en"/>
        </w:rPr>
      </w:pPr>
    </w:p>
    <w:p w14:paraId="0B71AD40" w14:textId="77777777" w:rsidR="00000000" w:rsidRPr="005603DD" w:rsidRDefault="00000000">
      <w:pPr>
        <w:pStyle w:val="NormalWeb"/>
        <w:divId w:val="367418694"/>
        <w:rPr>
          <w:rFonts w:asciiTheme="majorBidi" w:hAnsiTheme="majorBidi" w:cstheme="majorBidi"/>
          <w:sz w:val="26"/>
          <w:szCs w:val="26"/>
          <w:lang w:val="en"/>
        </w:rPr>
      </w:pPr>
      <w:r w:rsidRPr="005603DD">
        <w:rPr>
          <w:rStyle w:val="Strong"/>
          <w:rFonts w:asciiTheme="majorBidi" w:hAnsiTheme="majorBidi" w:cstheme="majorBidi"/>
          <w:sz w:val="26"/>
          <w:szCs w:val="26"/>
          <w:lang w:val="en"/>
        </w:rPr>
        <w:t>Section purpose:</w:t>
      </w:r>
      <w:r w:rsidRPr="005603DD">
        <w:rPr>
          <w:rFonts w:asciiTheme="majorBidi" w:hAnsiTheme="majorBidi" w:cstheme="majorBidi"/>
          <w:sz w:val="26"/>
          <w:szCs w:val="26"/>
          <w:lang w:val="en"/>
        </w:rPr>
        <w:t xml:space="preserve"> document the data and reasoning that produced the funnel conclusions: awareness → consideration → conversion → retention → advocacy. This file explains what led to each number, how we collected and validated the inputs, what the client originally targeted, and how we reformed the funnel to achieve higher performance.</w:t>
      </w:r>
    </w:p>
    <w:p w14:paraId="23103124" w14:textId="77777777" w:rsidR="00000000" w:rsidRPr="005603DD" w:rsidRDefault="00000000">
      <w:pPr>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pict w14:anchorId="1ACB12B6">
          <v:rect id="_x0000_i1025" style="width:0;height:1.5pt" o:hralign="center" o:hrstd="t" o:hr="t" fillcolor="#a0a0a0" stroked="f"/>
        </w:pict>
      </w:r>
    </w:p>
    <w:p w14:paraId="3F39F118" w14:textId="77777777"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1. Client’s Original Funnel Goals &amp; Constraints</w:t>
      </w:r>
    </w:p>
    <w:p w14:paraId="2CE2F658"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 xml:space="preserve">When the client briefed the </w:t>
      </w:r>
      <w:proofErr w:type="gramStart"/>
      <w:r w:rsidRPr="005603DD">
        <w:rPr>
          <w:rFonts w:asciiTheme="majorBidi" w:hAnsiTheme="majorBidi" w:cstheme="majorBidi"/>
          <w:sz w:val="26"/>
          <w:szCs w:val="26"/>
          <w:lang w:val="en"/>
        </w:rPr>
        <w:t>project</w:t>
      </w:r>
      <w:proofErr w:type="gramEnd"/>
      <w:r w:rsidRPr="005603DD">
        <w:rPr>
          <w:rFonts w:asciiTheme="majorBidi" w:hAnsiTheme="majorBidi" w:cstheme="majorBidi"/>
          <w:sz w:val="26"/>
          <w:szCs w:val="26"/>
          <w:lang w:val="en"/>
        </w:rPr>
        <w:t xml:space="preserve"> they conveyed a broad, brand-led objective: increase foot traffic, launch a loyalty program, and elevate Haksoss as a premium morning destination in Alexandria. Their implicit funnel assumptions were simple — more reach would create more sign-ups and revenue — but there were practical constraints:</w:t>
      </w:r>
    </w:p>
    <w:p w14:paraId="1A115288" w14:textId="77777777" w:rsidR="00000000" w:rsidRPr="005603DD" w:rsidRDefault="00000000">
      <w:pPr>
        <w:numPr>
          <w:ilvl w:val="0"/>
          <w:numId w:val="1"/>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No prior multi-channel attribution model was available.</w:t>
      </w:r>
    </w:p>
    <w:p w14:paraId="2597E69A" w14:textId="77777777" w:rsidR="00000000" w:rsidRPr="005603DD" w:rsidRDefault="00000000">
      <w:pPr>
        <w:numPr>
          <w:ilvl w:val="0"/>
          <w:numId w:val="1"/>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Client budget was modest and required visible brand creatives (hero photography) as well as measurable performance.</w:t>
      </w:r>
    </w:p>
    <w:p w14:paraId="4F766874" w14:textId="77777777" w:rsidR="00000000" w:rsidRPr="005603DD" w:rsidRDefault="00000000">
      <w:pPr>
        <w:numPr>
          <w:ilvl w:val="0"/>
          <w:numId w:val="1"/>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Historic sign-up rates and POS mapping were incomplete — the client had QR sign-ups but inconsistent UTM tagging.</w:t>
      </w:r>
    </w:p>
    <w:p w14:paraId="0C920110"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Original rough targets shared by the client (pre-reformulation):</w:t>
      </w:r>
    </w:p>
    <w:tbl>
      <w:tblPr>
        <w:tblW w:w="5000" w:type="pct"/>
        <w:tblCellMar>
          <w:top w:w="15" w:type="dxa"/>
          <w:left w:w="15" w:type="dxa"/>
          <w:bottom w:w="15" w:type="dxa"/>
          <w:right w:w="15" w:type="dxa"/>
        </w:tblCellMar>
        <w:tblLook w:val="04A0" w:firstRow="1" w:lastRow="0" w:firstColumn="1" w:lastColumn="0" w:noHBand="0" w:noVBand="1"/>
      </w:tblPr>
      <w:tblGrid>
        <w:gridCol w:w="5301"/>
        <w:gridCol w:w="4043"/>
      </w:tblGrid>
      <w:tr w:rsidR="00000000" w:rsidRPr="005603DD" w14:paraId="33642F98" w14:textId="77777777">
        <w:trPr>
          <w:divId w:val="36741869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83F6AE6"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3F4DA37"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Client’s Original Target</w:t>
            </w:r>
          </w:p>
        </w:tc>
      </w:tr>
      <w:tr w:rsidR="00000000" w:rsidRPr="005603DD" w14:paraId="5E8F15BB"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582BC3A"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Reach (90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37BC707"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~70,000 unique users</w:t>
            </w:r>
          </w:p>
        </w:tc>
      </w:tr>
      <w:tr w:rsidR="00000000" w:rsidRPr="005603DD" w14:paraId="185427B2"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2419DFF"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Loyalty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A570B2B"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1,000 members</w:t>
            </w:r>
          </w:p>
        </w:tc>
      </w:tr>
      <w:tr w:rsidR="00000000" w:rsidRPr="005603DD" w14:paraId="16EF81E6"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F839E8B"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lastRenderedPageBreak/>
              <w:t>Conversion Rate (visit → sign-up)</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7663442"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~5%</w:t>
            </w:r>
          </w:p>
        </w:tc>
      </w:tr>
      <w:tr w:rsidR="00000000" w:rsidRPr="005603DD" w14:paraId="2D8C3661"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D5717B0"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Retention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134B18D"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~12%</w:t>
            </w:r>
          </w:p>
        </w:tc>
      </w:tr>
    </w:tbl>
    <w:p w14:paraId="63756EBF" w14:textId="77777777" w:rsidR="005603DD" w:rsidRDefault="005603DD">
      <w:pPr>
        <w:pStyle w:val="Heading2"/>
        <w:divId w:val="367418694"/>
        <w:rPr>
          <w:rFonts w:asciiTheme="majorBidi" w:eastAsia="Times New Roman" w:hAnsiTheme="majorBidi" w:cstheme="majorBidi"/>
          <w:sz w:val="26"/>
          <w:szCs w:val="26"/>
          <w:lang w:val="en"/>
        </w:rPr>
      </w:pPr>
    </w:p>
    <w:p w14:paraId="770EFE01" w14:textId="3FF98BD0"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2. Data Collected — sources &amp; methods (what led to these funnel numbers)</w:t>
      </w:r>
    </w:p>
    <w:p w14:paraId="1533533E"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We established a rigorous data collection plan to replace assumptions with verifiable inputs. The following sources and methods were used to build the funnel model and measure outcomes:</w:t>
      </w:r>
    </w:p>
    <w:p w14:paraId="6D0D3422" w14:textId="77777777" w:rsidR="00000000" w:rsidRPr="005603DD" w:rsidRDefault="00000000">
      <w:pPr>
        <w:pStyle w:val="Heading3"/>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Primary sources</w:t>
      </w:r>
    </w:p>
    <w:p w14:paraId="2E95E88D" w14:textId="77777777" w:rsidR="00000000" w:rsidRPr="005603DD" w:rsidRDefault="00000000">
      <w:pPr>
        <w:numPr>
          <w:ilvl w:val="0"/>
          <w:numId w:val="2"/>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Ad Platforms:</w:t>
      </w:r>
      <w:r w:rsidRPr="005603DD">
        <w:rPr>
          <w:rFonts w:asciiTheme="majorBidi" w:eastAsia="Times New Roman" w:hAnsiTheme="majorBidi" w:cstheme="majorBidi"/>
          <w:color w:val="3E2D23"/>
          <w:sz w:val="26"/>
          <w:szCs w:val="26"/>
          <w:lang w:val="en"/>
        </w:rPr>
        <w:t xml:space="preserve"> Meta Ads Manager (Instagram + Facebook) and TikTok Ads — raw impressions, reach, clicks, CPM, CPC and attributed conversions via UTMs.</w:t>
      </w:r>
    </w:p>
    <w:p w14:paraId="480727CA" w14:textId="77777777" w:rsidR="00000000" w:rsidRPr="005603DD" w:rsidRDefault="00000000">
      <w:pPr>
        <w:numPr>
          <w:ilvl w:val="0"/>
          <w:numId w:val="2"/>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Search &amp; Display:</w:t>
      </w:r>
      <w:r w:rsidRPr="005603DD">
        <w:rPr>
          <w:rFonts w:asciiTheme="majorBidi" w:eastAsia="Times New Roman" w:hAnsiTheme="majorBidi" w:cstheme="majorBidi"/>
          <w:color w:val="3E2D23"/>
          <w:sz w:val="26"/>
          <w:szCs w:val="26"/>
          <w:lang w:val="en"/>
        </w:rPr>
        <w:t xml:space="preserve"> Google Ads + Google Analytics 4 — search queries, click-through behavior, landing page sessions and assisted conversions.</w:t>
      </w:r>
    </w:p>
    <w:p w14:paraId="558E3D8F" w14:textId="77777777" w:rsidR="00000000" w:rsidRPr="005603DD" w:rsidRDefault="00000000">
      <w:pPr>
        <w:numPr>
          <w:ilvl w:val="0"/>
          <w:numId w:val="2"/>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Landing pages &amp; CRM:</w:t>
      </w:r>
      <w:r w:rsidRPr="005603DD">
        <w:rPr>
          <w:rFonts w:asciiTheme="majorBidi" w:eastAsia="Times New Roman" w:hAnsiTheme="majorBidi" w:cstheme="majorBidi"/>
          <w:color w:val="3E2D23"/>
          <w:sz w:val="26"/>
          <w:szCs w:val="26"/>
          <w:lang w:val="en"/>
        </w:rPr>
        <w:t xml:space="preserve"> UTM-tagged landing pages captured via GA4 and CRM exports (email opt-ins / loyalty sign-up events).</w:t>
      </w:r>
    </w:p>
    <w:p w14:paraId="4CDC743C" w14:textId="77777777" w:rsidR="00000000" w:rsidRPr="005603DD" w:rsidRDefault="00000000">
      <w:pPr>
        <w:numPr>
          <w:ilvl w:val="0"/>
          <w:numId w:val="2"/>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POS &amp; In-store mapping:</w:t>
      </w:r>
      <w:r w:rsidRPr="005603DD">
        <w:rPr>
          <w:rFonts w:asciiTheme="majorBidi" w:eastAsia="Times New Roman" w:hAnsiTheme="majorBidi" w:cstheme="majorBidi"/>
          <w:color w:val="3E2D23"/>
          <w:sz w:val="26"/>
          <w:szCs w:val="26"/>
          <w:lang w:val="en"/>
        </w:rPr>
        <w:t xml:space="preserve"> Promo codes and loyalty IDs were mapped to POS transactions to validate revenue attribution for offline purchases.</w:t>
      </w:r>
    </w:p>
    <w:p w14:paraId="4064011B" w14:textId="77777777" w:rsidR="00000000" w:rsidRPr="005603DD" w:rsidRDefault="00000000">
      <w:pPr>
        <w:numPr>
          <w:ilvl w:val="0"/>
          <w:numId w:val="2"/>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Qualitative research:</w:t>
      </w:r>
      <w:r w:rsidRPr="005603DD">
        <w:rPr>
          <w:rFonts w:asciiTheme="majorBidi" w:eastAsia="Times New Roman" w:hAnsiTheme="majorBidi" w:cstheme="majorBidi"/>
          <w:color w:val="3E2D23"/>
          <w:sz w:val="26"/>
          <w:szCs w:val="26"/>
          <w:lang w:val="en"/>
        </w:rPr>
        <w:t xml:space="preserve"> Surveys (n=400) and 25 in-depth interviews with high-value customers to capture motivations, pain points and channel preferences.</w:t>
      </w:r>
    </w:p>
    <w:p w14:paraId="578B4472" w14:textId="77777777" w:rsidR="00000000" w:rsidRPr="005603DD" w:rsidRDefault="00000000">
      <w:pPr>
        <w:numPr>
          <w:ilvl w:val="0"/>
          <w:numId w:val="2"/>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Field observation:</w:t>
      </w:r>
      <w:r w:rsidRPr="005603DD">
        <w:rPr>
          <w:rFonts w:asciiTheme="majorBidi" w:eastAsia="Times New Roman" w:hAnsiTheme="majorBidi" w:cstheme="majorBidi"/>
          <w:color w:val="3E2D23"/>
          <w:sz w:val="26"/>
          <w:szCs w:val="26"/>
          <w:lang w:val="en"/>
        </w:rPr>
        <w:t xml:space="preserve"> In-store visits to observe peak hours, service flow, and the sign-up process for form friction analysis.</w:t>
      </w:r>
    </w:p>
    <w:p w14:paraId="14CDA8E0" w14:textId="77777777" w:rsidR="00000000" w:rsidRPr="005603DD" w:rsidRDefault="00000000">
      <w:pPr>
        <w:pStyle w:val="Heading3"/>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Data validation &amp; integrity checks</w:t>
      </w:r>
    </w:p>
    <w:p w14:paraId="30D45C96"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To ensure the funnel numbers were reliable we executed these checks before using the data for anything strategic:</w:t>
      </w:r>
    </w:p>
    <w:p w14:paraId="5DF0BDB5" w14:textId="77777777" w:rsidR="00000000" w:rsidRPr="005603DD" w:rsidRDefault="00000000">
      <w:pPr>
        <w:numPr>
          <w:ilvl w:val="0"/>
          <w:numId w:val="3"/>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lastRenderedPageBreak/>
        <w:t>Cross-checked UTM sources across GA4 and CRM to remove duplicate sign-ups and correct attribution mismatches.</w:t>
      </w:r>
    </w:p>
    <w:p w14:paraId="77AAB313" w14:textId="77777777" w:rsidR="00000000" w:rsidRPr="005603DD" w:rsidRDefault="00000000">
      <w:pPr>
        <w:numPr>
          <w:ilvl w:val="0"/>
          <w:numId w:val="3"/>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Ran a 7-day micro-test (5% of media spend) to validate creative CTR/CPL baselines and refine CPM/CPC assumptions.</w:t>
      </w:r>
    </w:p>
    <w:p w14:paraId="6AA4D670" w14:textId="77777777" w:rsidR="00000000" w:rsidRPr="005603DD" w:rsidRDefault="00000000">
      <w:pPr>
        <w:numPr>
          <w:ilvl w:val="0"/>
          <w:numId w:val="3"/>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Reconciled POS revenue mapped to campaign promo codes against ad-led revenue to minimize attribution leakage.</w:t>
      </w:r>
    </w:p>
    <w:p w14:paraId="50C36E50" w14:textId="77777777" w:rsidR="00000000" w:rsidRDefault="00000000">
      <w:pPr>
        <w:numPr>
          <w:ilvl w:val="0"/>
          <w:numId w:val="3"/>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Applied deduplication heuristics for reach across platforms to estimate unique users.</w:t>
      </w:r>
    </w:p>
    <w:p w14:paraId="7E350257" w14:textId="77777777" w:rsidR="005603DD" w:rsidRDefault="005603DD" w:rsidP="005603DD">
      <w:pPr>
        <w:pBdr>
          <w:bottom w:val="single" w:sz="6" w:space="1" w:color="auto"/>
        </w:pBdr>
        <w:spacing w:before="100" w:beforeAutospacing="1" w:after="100" w:afterAutospacing="1"/>
        <w:divId w:val="367418694"/>
        <w:rPr>
          <w:rFonts w:asciiTheme="majorBidi" w:eastAsia="Times New Roman" w:hAnsiTheme="majorBidi" w:cstheme="majorBidi"/>
          <w:color w:val="3E2D23"/>
          <w:sz w:val="26"/>
          <w:szCs w:val="26"/>
          <w:lang w:val="en"/>
        </w:rPr>
      </w:pPr>
    </w:p>
    <w:p w14:paraId="746BD4EA" w14:textId="77777777"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3. Funnel metrics — targets, actuals, and how each figure was produced</w:t>
      </w:r>
    </w:p>
    <w:p w14:paraId="67D41DC0"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 xml:space="preserve">Below </w:t>
      </w:r>
      <w:proofErr w:type="gramStart"/>
      <w:r w:rsidRPr="005603DD">
        <w:rPr>
          <w:rFonts w:asciiTheme="majorBidi" w:hAnsiTheme="majorBidi" w:cstheme="majorBidi"/>
          <w:sz w:val="26"/>
          <w:szCs w:val="26"/>
          <w:lang w:val="en"/>
        </w:rPr>
        <w:t>are</w:t>
      </w:r>
      <w:proofErr w:type="gramEnd"/>
      <w:r w:rsidRPr="005603DD">
        <w:rPr>
          <w:rFonts w:asciiTheme="majorBidi" w:hAnsiTheme="majorBidi" w:cstheme="majorBidi"/>
          <w:sz w:val="26"/>
          <w:szCs w:val="26"/>
          <w:lang w:val="en"/>
        </w:rPr>
        <w:t xml:space="preserve"> the funnel metrics reported in the section, with a clear trace from the raw data to the final figure used in reporting.</w:t>
      </w:r>
    </w:p>
    <w:tbl>
      <w:tblPr>
        <w:tblW w:w="5000" w:type="pct"/>
        <w:tblCellMar>
          <w:top w:w="15" w:type="dxa"/>
          <w:left w:w="15" w:type="dxa"/>
          <w:bottom w:w="15" w:type="dxa"/>
          <w:right w:w="15" w:type="dxa"/>
        </w:tblCellMar>
        <w:tblLook w:val="04A0" w:firstRow="1" w:lastRow="0" w:firstColumn="1" w:lastColumn="0" w:noHBand="0" w:noVBand="1"/>
      </w:tblPr>
      <w:tblGrid>
        <w:gridCol w:w="1870"/>
        <w:gridCol w:w="2605"/>
        <w:gridCol w:w="4869"/>
      </w:tblGrid>
      <w:tr w:rsidR="00000000" w:rsidRPr="005603DD" w14:paraId="01AE9222" w14:textId="77777777">
        <w:trPr>
          <w:divId w:val="36741869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F863B9F"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Funnel Stage</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BAA19AD"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Reported Metric (Actual)</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77A7F6A8"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How the Number Was Built (Data lineage)</w:t>
            </w:r>
          </w:p>
        </w:tc>
      </w:tr>
      <w:tr w:rsidR="00000000" w:rsidRPr="005603DD" w14:paraId="458DC057"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128C2A6"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Awareness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3C018CC"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80,800 unique users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B842751" w14:textId="77777777" w:rsidR="00000000" w:rsidRPr="005603DD" w:rsidRDefault="00000000">
            <w:pPr>
              <w:numPr>
                <w:ilvl w:val="0"/>
                <w:numId w:val="4"/>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Platform reach reported by Meta &amp; TikTok combined (sum of unique reach per platform).</w:t>
            </w:r>
          </w:p>
          <w:p w14:paraId="47E54D21" w14:textId="77777777" w:rsidR="00000000" w:rsidRPr="005603DD" w:rsidRDefault="00000000">
            <w:pPr>
              <w:numPr>
                <w:ilvl w:val="0"/>
                <w:numId w:val="4"/>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Deduplication applied using overlap estimates from Meta and TikTok audiences (5% overlap correction).</w:t>
            </w:r>
          </w:p>
          <w:p w14:paraId="42CCCAD2" w14:textId="77777777" w:rsidR="00000000" w:rsidRPr="005603DD" w:rsidRDefault="00000000">
            <w:pPr>
              <w:numPr>
                <w:ilvl w:val="0"/>
                <w:numId w:val="4"/>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Micro-test uplift from influencer seeding added (~3,800 incremental unique users verified by UTMs).</w:t>
            </w:r>
          </w:p>
        </w:tc>
      </w:tr>
      <w:tr w:rsidR="00000000" w:rsidRPr="005603DD" w14:paraId="585FC8A5"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A18B294" w14:textId="77777777" w:rsidR="00000000" w:rsidRPr="005603DD" w:rsidRDefault="00000000">
            <w:pPr>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Consideration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087C3F6" w14:textId="77777777" w:rsidR="00000000" w:rsidRPr="005603DD" w:rsidRDefault="00000000">
            <w:pPr>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Engagement rate 11.3%</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375994D" w14:textId="77777777" w:rsidR="00000000" w:rsidRPr="005603DD" w:rsidRDefault="00000000">
            <w:pPr>
              <w:numPr>
                <w:ilvl w:val="0"/>
                <w:numId w:val="5"/>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Engagement (likes, comments, saves, shares) aggregated across posts and short-form content.</w:t>
            </w:r>
          </w:p>
          <w:p w14:paraId="5186C5C9" w14:textId="77777777" w:rsidR="00000000" w:rsidRPr="005603DD" w:rsidRDefault="00000000">
            <w:pPr>
              <w:numPr>
                <w:ilvl w:val="0"/>
                <w:numId w:val="5"/>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Engagement rate = engaged users / total impressions (platform-native calculation), averaged across channels and weighted by reach.</w:t>
            </w:r>
          </w:p>
          <w:p w14:paraId="3A5E8D4E" w14:textId="77777777" w:rsidR="00000000" w:rsidRPr="005603DD" w:rsidRDefault="00000000">
            <w:pPr>
              <w:numPr>
                <w:ilvl w:val="0"/>
                <w:numId w:val="5"/>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 xml:space="preserve">Short-form video content tested during preflight showed a 27% </w:t>
            </w:r>
            <w:r w:rsidRPr="005603DD">
              <w:rPr>
                <w:rFonts w:asciiTheme="majorBidi" w:eastAsia="Times New Roman" w:hAnsiTheme="majorBidi" w:cstheme="majorBidi"/>
                <w:color w:val="3E2D23"/>
                <w:sz w:val="26"/>
                <w:szCs w:val="26"/>
              </w:rPr>
              <w:lastRenderedPageBreak/>
              <w:t>higher engagement; we weighted results to reflect this uplift.</w:t>
            </w:r>
          </w:p>
        </w:tc>
      </w:tr>
      <w:tr w:rsidR="00000000" w:rsidRPr="005603DD" w14:paraId="67401138"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DA13D94" w14:textId="77777777" w:rsidR="00000000" w:rsidRPr="005603DD" w:rsidRDefault="00000000">
            <w:pPr>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lastRenderedPageBreak/>
              <w:t>Conversion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DC43639" w14:textId="77777777" w:rsidR="00000000" w:rsidRPr="005603DD" w:rsidRDefault="00000000">
            <w:pPr>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Conversion rate 6.2% (from targeted traffic) • 1,070 loyalty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B61126E" w14:textId="77777777" w:rsidR="00000000" w:rsidRPr="005603DD" w:rsidRDefault="00000000">
            <w:pPr>
              <w:numPr>
                <w:ilvl w:val="0"/>
                <w:numId w:val="6"/>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Conversion tracked as completed loyalty form event on landing page (UTM present) OR in-store sign-up matched to campaign promo codes.</w:t>
            </w:r>
          </w:p>
          <w:p w14:paraId="660CEB1D" w14:textId="77777777" w:rsidR="00000000" w:rsidRPr="005603DD" w:rsidRDefault="00000000">
            <w:pPr>
              <w:numPr>
                <w:ilvl w:val="0"/>
                <w:numId w:val="6"/>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We removed ~4% bot/duplicate entries after CRM deduplication to ensure accuracy.</w:t>
            </w:r>
          </w:p>
          <w:p w14:paraId="18A4999E" w14:textId="77777777" w:rsidR="00000000" w:rsidRPr="005603DD" w:rsidRDefault="00000000">
            <w:pPr>
              <w:numPr>
                <w:ilvl w:val="0"/>
                <w:numId w:val="6"/>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Conversion rate = sign-ups / qualified sessions; sessions were filtered for campaign traffic only.</w:t>
            </w:r>
          </w:p>
          <w:p w14:paraId="7DA61351" w14:textId="77777777" w:rsidR="00000000" w:rsidRPr="005603DD" w:rsidRDefault="00000000">
            <w:pPr>
              <w:numPr>
                <w:ilvl w:val="0"/>
                <w:numId w:val="6"/>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Sign-ups count includes online (UTM-tagged) + validated in-store sign-ups using the promo code reconciliation table.</w:t>
            </w:r>
          </w:p>
        </w:tc>
      </w:tr>
      <w:tr w:rsidR="00000000" w:rsidRPr="005603DD" w14:paraId="32E43278"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FE188DB" w14:textId="77777777" w:rsidR="00000000" w:rsidRPr="005603DD" w:rsidRDefault="00000000">
            <w:pPr>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Retention &amp; Advocacy</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A4C0889" w14:textId="77777777" w:rsidR="00000000" w:rsidRPr="005603DD" w:rsidRDefault="00000000">
            <w:pPr>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Retention rate 15% • Referral uplift 15%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1F0347B" w14:textId="77777777" w:rsidR="00000000" w:rsidRPr="005603DD" w:rsidRDefault="00000000">
            <w:pPr>
              <w:numPr>
                <w:ilvl w:val="0"/>
                <w:numId w:val="7"/>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Retention defined as members who made at least one purchase within 30–60 days after sign-up (tracked via loyalty ID in POS).</w:t>
            </w:r>
          </w:p>
          <w:p w14:paraId="371A1BD1" w14:textId="77777777" w:rsidR="00000000" w:rsidRPr="005603DD" w:rsidRDefault="00000000">
            <w:pPr>
              <w:numPr>
                <w:ilvl w:val="0"/>
                <w:numId w:val="7"/>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Referral uplift measured via referral codes and tracked new sign-ups that used those codes.</w:t>
            </w:r>
          </w:p>
          <w:p w14:paraId="7FA9DF30" w14:textId="77777777" w:rsidR="00000000" w:rsidRPr="005603DD" w:rsidRDefault="00000000">
            <w:pPr>
              <w:numPr>
                <w:ilvl w:val="0"/>
                <w:numId w:val="7"/>
              </w:numPr>
              <w:spacing w:before="100" w:beforeAutospacing="1" w:after="100" w:afterAutospacing="1"/>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Re-engagement sequences (email &amp; SMS) effect isolated by A/B testing a control group (no re-engagement) and measuring incremental visits.</w:t>
            </w:r>
          </w:p>
        </w:tc>
      </w:tr>
    </w:tbl>
    <w:p w14:paraId="7770ED26" w14:textId="77777777" w:rsidR="00000000" w:rsidRPr="005603DD" w:rsidRDefault="00000000">
      <w:pPr>
        <w:pStyle w:val="small"/>
        <w:spacing w:before="120" w:beforeAutospacing="0" w:after="120" w:afterAutospacing="0"/>
        <w:divId w:val="367418694"/>
        <w:rPr>
          <w:rFonts w:asciiTheme="majorBidi" w:hAnsiTheme="majorBidi" w:cstheme="majorBidi"/>
          <w:sz w:val="26"/>
          <w:szCs w:val="26"/>
          <w:lang w:val="en"/>
        </w:rPr>
      </w:pPr>
      <w:r w:rsidRPr="005603DD">
        <w:rPr>
          <w:rFonts w:asciiTheme="majorBidi" w:hAnsiTheme="majorBidi" w:cstheme="majorBidi"/>
          <w:sz w:val="26"/>
          <w:szCs w:val="26"/>
          <w:lang w:val="en"/>
        </w:rPr>
        <w:t>Notes: conversion and retention were confirmed with both analytics and POS records to mitigate over-attribution. Where online-only attribution could not be reconciled cleanly to POS, we applied conservative holdback factors (5–10%).</w:t>
      </w:r>
    </w:p>
    <w:p w14:paraId="4E90CB78" w14:textId="77777777" w:rsidR="005603DD" w:rsidRDefault="005603DD">
      <w:pPr>
        <w:pStyle w:val="Heading2"/>
        <w:divId w:val="367418694"/>
        <w:rPr>
          <w:rFonts w:asciiTheme="majorBidi" w:eastAsia="Times New Roman" w:hAnsiTheme="majorBidi" w:cstheme="majorBidi"/>
          <w:sz w:val="26"/>
          <w:szCs w:val="26"/>
          <w:lang w:val="en"/>
        </w:rPr>
      </w:pPr>
    </w:p>
    <w:p w14:paraId="4246B68D" w14:textId="2CC9A377"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lastRenderedPageBreak/>
        <w:t>4. What the data told us about user behavior (insights that shaped funnel design)</w:t>
      </w:r>
    </w:p>
    <w:p w14:paraId="2DD620DB"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This is the actionable intelligence extracted from the raw data that directly informed funnel decisions:</w:t>
      </w:r>
    </w:p>
    <w:p w14:paraId="0AB73F0A" w14:textId="77777777" w:rsidR="00000000" w:rsidRPr="005603DD" w:rsidRDefault="00000000">
      <w:pPr>
        <w:numPr>
          <w:ilvl w:val="0"/>
          <w:numId w:val="8"/>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Visual-first discovery:</w:t>
      </w:r>
      <w:r w:rsidRPr="005603DD">
        <w:rPr>
          <w:rFonts w:asciiTheme="majorBidi" w:eastAsia="Times New Roman" w:hAnsiTheme="majorBidi" w:cstheme="majorBidi"/>
          <w:color w:val="3E2D23"/>
          <w:sz w:val="26"/>
          <w:szCs w:val="26"/>
          <w:lang w:val="en"/>
        </w:rPr>
        <w:t xml:space="preserve"> Short-form videos and hero visuals drove discovery among ages 20–35; reels were responsible for the majority of the awareness-to-consideration jump.</w:t>
      </w:r>
    </w:p>
    <w:p w14:paraId="32FA0F11" w14:textId="77777777" w:rsidR="00000000" w:rsidRPr="005603DD" w:rsidRDefault="00000000">
      <w:pPr>
        <w:numPr>
          <w:ilvl w:val="0"/>
          <w:numId w:val="8"/>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High-intent search:</w:t>
      </w:r>
      <w:r w:rsidRPr="005603DD">
        <w:rPr>
          <w:rFonts w:asciiTheme="majorBidi" w:eastAsia="Times New Roman" w:hAnsiTheme="majorBidi" w:cstheme="majorBidi"/>
          <w:color w:val="3E2D23"/>
          <w:sz w:val="26"/>
          <w:szCs w:val="26"/>
          <w:lang w:val="en"/>
        </w:rPr>
        <w:t xml:space="preserve"> Google search performed best for immediate conversion (users searching "best coffee near me" had &gt;2x conversion likelihood vs display audiences).</w:t>
      </w:r>
    </w:p>
    <w:p w14:paraId="3E20CE00" w14:textId="77777777" w:rsidR="00000000" w:rsidRPr="005603DD" w:rsidRDefault="00000000">
      <w:pPr>
        <w:numPr>
          <w:ilvl w:val="0"/>
          <w:numId w:val="8"/>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Form friction matters:</w:t>
      </w:r>
      <w:r w:rsidRPr="005603DD">
        <w:rPr>
          <w:rFonts w:asciiTheme="majorBidi" w:eastAsia="Times New Roman" w:hAnsiTheme="majorBidi" w:cstheme="majorBidi"/>
          <w:color w:val="3E2D23"/>
          <w:sz w:val="26"/>
          <w:szCs w:val="26"/>
          <w:lang w:val="en"/>
        </w:rPr>
        <w:t xml:space="preserve"> reducing sign-up fields from five to three (tested via A/B) increased completion by 19% — a major lift for conversion funnel performance.</w:t>
      </w:r>
    </w:p>
    <w:p w14:paraId="0B8BB324" w14:textId="77777777" w:rsidR="00000000" w:rsidRPr="005603DD" w:rsidRDefault="00000000">
      <w:pPr>
        <w:numPr>
          <w:ilvl w:val="0"/>
          <w:numId w:val="8"/>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VIP incentives increase retention:</w:t>
      </w:r>
      <w:r w:rsidRPr="005603DD">
        <w:rPr>
          <w:rFonts w:asciiTheme="majorBidi" w:eastAsia="Times New Roman" w:hAnsiTheme="majorBidi" w:cstheme="majorBidi"/>
          <w:color w:val="3E2D23"/>
          <w:sz w:val="26"/>
          <w:szCs w:val="26"/>
          <w:lang w:val="en"/>
        </w:rPr>
        <w:t xml:space="preserve"> members who received a VIP welcome offer (first purchase discount + exclusive event invite) had 28% higher repeat purchases in the following 30 days.</w:t>
      </w:r>
    </w:p>
    <w:p w14:paraId="09641717" w14:textId="77777777" w:rsidR="00000000" w:rsidRDefault="00000000">
      <w:pPr>
        <w:numPr>
          <w:ilvl w:val="0"/>
          <w:numId w:val="8"/>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Time-of-day effects:</w:t>
      </w:r>
      <w:r w:rsidRPr="005603DD">
        <w:rPr>
          <w:rFonts w:asciiTheme="majorBidi" w:eastAsia="Times New Roman" w:hAnsiTheme="majorBidi" w:cstheme="majorBidi"/>
          <w:color w:val="3E2D23"/>
          <w:sz w:val="26"/>
          <w:szCs w:val="26"/>
          <w:lang w:val="en"/>
        </w:rPr>
        <w:t xml:space="preserve"> morning-targeted ads (6:00–10:30) produced lower CPA and higher conversion for the premium morning audience than evening pushes — aligning the creative and cadence to morning rituals was critical.</w:t>
      </w:r>
    </w:p>
    <w:p w14:paraId="153DA3D3" w14:textId="77777777" w:rsidR="005603DD" w:rsidRDefault="005603DD" w:rsidP="005603DD">
      <w:pPr>
        <w:pBdr>
          <w:bottom w:val="single" w:sz="6" w:space="1" w:color="auto"/>
        </w:pBdr>
        <w:spacing w:before="100" w:beforeAutospacing="1" w:after="100" w:afterAutospacing="1"/>
        <w:divId w:val="367418694"/>
        <w:rPr>
          <w:rFonts w:asciiTheme="majorBidi" w:eastAsia="Times New Roman" w:hAnsiTheme="majorBidi" w:cstheme="majorBidi"/>
          <w:color w:val="3E2D23"/>
          <w:sz w:val="26"/>
          <w:szCs w:val="26"/>
          <w:lang w:val="en"/>
        </w:rPr>
      </w:pPr>
    </w:p>
    <w:p w14:paraId="5FD68ADF" w14:textId="77777777"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5. How we reformed the funnel (strategic changes and tactical implementation)</w:t>
      </w:r>
    </w:p>
    <w:p w14:paraId="449A6BB9"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Based on the data above, the funnel was restructured from a simple reach-focused plan to a deliberately staged, data-driven set of tactics designed to maximize high-value conversions and lifetime value. The reforms included:</w:t>
      </w:r>
    </w:p>
    <w:p w14:paraId="73236275" w14:textId="77777777" w:rsidR="00000000" w:rsidRPr="005603DD" w:rsidRDefault="00000000">
      <w:pPr>
        <w:pStyle w:val="Heading3"/>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Segmentation &amp; messaging</w:t>
      </w:r>
    </w:p>
    <w:p w14:paraId="2F8522EF"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 xml:space="preserve">We split the audience into two priority segments: </w:t>
      </w:r>
      <w:r w:rsidRPr="005603DD">
        <w:rPr>
          <w:rStyle w:val="Emphasis"/>
          <w:rFonts w:asciiTheme="majorBidi" w:hAnsiTheme="majorBidi" w:cstheme="majorBidi"/>
          <w:sz w:val="26"/>
          <w:szCs w:val="26"/>
          <w:lang w:val="en"/>
        </w:rPr>
        <w:t>Young Urban Trendsetters (20–35)</w:t>
      </w:r>
      <w:r w:rsidRPr="005603DD">
        <w:rPr>
          <w:rFonts w:asciiTheme="majorBidi" w:hAnsiTheme="majorBidi" w:cstheme="majorBidi"/>
          <w:sz w:val="26"/>
          <w:szCs w:val="26"/>
          <w:lang w:val="en"/>
        </w:rPr>
        <w:t xml:space="preserve"> and </w:t>
      </w:r>
      <w:r w:rsidRPr="005603DD">
        <w:rPr>
          <w:rStyle w:val="Emphasis"/>
          <w:rFonts w:asciiTheme="majorBidi" w:hAnsiTheme="majorBidi" w:cstheme="majorBidi"/>
          <w:sz w:val="26"/>
          <w:szCs w:val="26"/>
          <w:lang w:val="en"/>
        </w:rPr>
        <w:t>Urban Professional Elite (35–50)</w:t>
      </w:r>
      <w:r w:rsidRPr="005603DD">
        <w:rPr>
          <w:rFonts w:asciiTheme="majorBidi" w:hAnsiTheme="majorBidi" w:cstheme="majorBidi"/>
          <w:sz w:val="26"/>
          <w:szCs w:val="26"/>
          <w:lang w:val="en"/>
        </w:rPr>
        <w:t>. Messaging and creative were tailored per segment: trendsetters received visually rich, sharable assets and social proof creatives; professional elites received premium ritual messaging emphasizing convenience, consistency, and VIP benefits.</w:t>
      </w:r>
    </w:p>
    <w:p w14:paraId="2199EB31" w14:textId="77777777" w:rsidR="00000000" w:rsidRPr="005603DD" w:rsidRDefault="00000000">
      <w:pPr>
        <w:pStyle w:val="Heading3"/>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Channel &amp; flighting optimization</w:t>
      </w:r>
    </w:p>
    <w:p w14:paraId="28E06B67"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 xml:space="preserve">Flighting moved from </w:t>
      </w:r>
      <w:proofErr w:type="gramStart"/>
      <w:r w:rsidRPr="005603DD">
        <w:rPr>
          <w:rFonts w:asciiTheme="majorBidi" w:hAnsiTheme="majorBidi" w:cstheme="majorBidi"/>
          <w:sz w:val="26"/>
          <w:szCs w:val="26"/>
          <w:lang w:val="en"/>
        </w:rPr>
        <w:t>broad,</w:t>
      </w:r>
      <w:proofErr w:type="gramEnd"/>
      <w:r w:rsidRPr="005603DD">
        <w:rPr>
          <w:rFonts w:asciiTheme="majorBidi" w:hAnsiTheme="majorBidi" w:cstheme="majorBidi"/>
          <w:sz w:val="26"/>
          <w:szCs w:val="26"/>
          <w:lang w:val="en"/>
        </w:rPr>
        <w:t xml:space="preserve"> steady spend toward an adaptive sequence: preflight micro-tests → awareness push (short-form + influencers) → consideration (search &amp; retargeting) → conversion (landing page + SEM bid increases) → </w:t>
      </w:r>
      <w:r w:rsidRPr="005603DD">
        <w:rPr>
          <w:rFonts w:asciiTheme="majorBidi" w:hAnsiTheme="majorBidi" w:cstheme="majorBidi"/>
          <w:sz w:val="26"/>
          <w:szCs w:val="26"/>
          <w:lang w:val="en"/>
        </w:rPr>
        <w:lastRenderedPageBreak/>
        <w:t>retention (email/SMS + VIP event). Budget allocation and day/time scheduling were adjusted weekly per performance data.</w:t>
      </w:r>
    </w:p>
    <w:p w14:paraId="44851586" w14:textId="77777777" w:rsidR="00000000" w:rsidRPr="005603DD" w:rsidRDefault="00000000">
      <w:pPr>
        <w:pStyle w:val="Heading3"/>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Conversion streamlining</w:t>
      </w:r>
    </w:p>
    <w:p w14:paraId="40979DFB"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 xml:space="preserve">Form fields reduced, landing page copy tightened, hero images optimized for mobile, and the loyalty CTA shifted to a clear "First Coffee </w:t>
      </w:r>
      <w:proofErr w:type="gramStart"/>
      <w:r w:rsidRPr="005603DD">
        <w:rPr>
          <w:rFonts w:asciiTheme="majorBidi" w:hAnsiTheme="majorBidi" w:cstheme="majorBidi"/>
          <w:sz w:val="26"/>
          <w:szCs w:val="26"/>
          <w:lang w:val="en"/>
        </w:rPr>
        <w:t>On</w:t>
      </w:r>
      <w:proofErr w:type="gramEnd"/>
      <w:r w:rsidRPr="005603DD">
        <w:rPr>
          <w:rFonts w:asciiTheme="majorBidi" w:hAnsiTheme="majorBidi" w:cstheme="majorBidi"/>
          <w:sz w:val="26"/>
          <w:szCs w:val="26"/>
          <w:lang w:val="en"/>
        </w:rPr>
        <w:t xml:space="preserve"> Us" value proposition. These changes were validated via A/B testing and improved conversion from 5.0% baseline to 6.2% on campaign traffic.</w:t>
      </w:r>
    </w:p>
    <w:p w14:paraId="13947A08" w14:textId="77777777" w:rsidR="00000000" w:rsidRPr="005603DD" w:rsidRDefault="00000000">
      <w:pPr>
        <w:pStyle w:val="Heading3"/>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Retention &amp; advocacy mechanics</w:t>
      </w:r>
    </w:p>
    <w:p w14:paraId="421A4233" w14:textId="77777777" w:rsidR="00000000"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We implemented a 10-step email nurture for new members, VIP event invitations for high-LTV prospects, and a referral incentive for active members. A control/test framework measured uplift: re-engagement emails lifted repeat purchase frequency by ~22% (vs control) and referral codes produced measurable incremental sign-ups and tracked revenue.</w:t>
      </w:r>
    </w:p>
    <w:p w14:paraId="6A64A631" w14:textId="77777777" w:rsidR="005603DD" w:rsidRDefault="005603DD">
      <w:pPr>
        <w:pStyle w:val="NormalWeb"/>
        <w:pBdr>
          <w:bottom w:val="single" w:sz="6" w:space="1" w:color="auto"/>
        </w:pBdr>
        <w:divId w:val="367418694"/>
        <w:rPr>
          <w:rFonts w:asciiTheme="majorBidi" w:hAnsiTheme="majorBidi" w:cstheme="majorBidi"/>
          <w:sz w:val="26"/>
          <w:szCs w:val="26"/>
          <w:lang w:val="en"/>
        </w:rPr>
      </w:pPr>
    </w:p>
    <w:p w14:paraId="046A6856" w14:textId="77777777"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t>6. Narrative of cause → effect: how data led to results</w:t>
      </w:r>
    </w:p>
    <w:p w14:paraId="69CCE700" w14:textId="0DB001C6" w:rsidR="005603DD" w:rsidRDefault="00000000" w:rsidP="005603DD">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Short story: early micro-tests showed Reels + influencer seeding drove awareness efficiently and attracted the younger segment, but these users needed a clear, low-friction path to convert. By using data to (1) tighten the landing funnel, (2) prioritize morning-hour delivery, and (3) layer VIP incentives at conversion, we converted more of the awareness pool into high-LTV members. Each tactical change was tested and measured, and the documented improvements (reach, engagement, conversion, retention) are traceable to specific experiments and data sources described above</w:t>
      </w:r>
    </w:p>
    <w:p w14:paraId="336329A0" w14:textId="77777777" w:rsidR="005603DD" w:rsidRDefault="005603DD" w:rsidP="005603DD">
      <w:pPr>
        <w:pStyle w:val="NormalWeb"/>
        <w:pBdr>
          <w:bottom w:val="single" w:sz="6" w:space="1" w:color="auto"/>
        </w:pBdr>
        <w:divId w:val="367418694"/>
        <w:rPr>
          <w:rFonts w:asciiTheme="majorBidi" w:hAnsiTheme="majorBidi" w:cstheme="majorBidi"/>
          <w:sz w:val="26"/>
          <w:szCs w:val="26"/>
          <w:lang w:val="en"/>
        </w:rPr>
      </w:pPr>
    </w:p>
    <w:p w14:paraId="1705B5F6" w14:textId="77777777" w:rsidR="005603DD" w:rsidRDefault="005603DD">
      <w:pPr>
        <w:pStyle w:val="Heading2"/>
        <w:divId w:val="367418694"/>
        <w:rPr>
          <w:rFonts w:asciiTheme="majorBidi" w:eastAsia="Times New Roman" w:hAnsiTheme="majorBidi" w:cstheme="majorBidi"/>
          <w:sz w:val="26"/>
          <w:szCs w:val="26"/>
          <w:lang w:val="en"/>
        </w:rPr>
      </w:pPr>
    </w:p>
    <w:p w14:paraId="305C5298" w14:textId="77777777" w:rsidR="005603DD" w:rsidRDefault="005603DD">
      <w:pPr>
        <w:pStyle w:val="Heading2"/>
        <w:divId w:val="367418694"/>
        <w:rPr>
          <w:rFonts w:asciiTheme="majorBidi" w:eastAsia="Times New Roman" w:hAnsiTheme="majorBidi" w:cstheme="majorBidi"/>
          <w:sz w:val="26"/>
          <w:szCs w:val="26"/>
          <w:lang w:val="en"/>
        </w:rPr>
      </w:pPr>
    </w:p>
    <w:p w14:paraId="0DE4A788" w14:textId="77777777" w:rsidR="005603DD" w:rsidRDefault="005603DD">
      <w:pPr>
        <w:pStyle w:val="Heading2"/>
        <w:divId w:val="367418694"/>
        <w:rPr>
          <w:rFonts w:asciiTheme="majorBidi" w:eastAsia="Times New Roman" w:hAnsiTheme="majorBidi" w:cstheme="majorBidi"/>
          <w:sz w:val="26"/>
          <w:szCs w:val="26"/>
          <w:lang w:val="en"/>
        </w:rPr>
      </w:pPr>
    </w:p>
    <w:p w14:paraId="32785632" w14:textId="77777777" w:rsidR="005603DD" w:rsidRDefault="005603DD">
      <w:pPr>
        <w:pStyle w:val="Heading2"/>
        <w:divId w:val="367418694"/>
        <w:rPr>
          <w:rFonts w:asciiTheme="majorBidi" w:eastAsia="Times New Roman" w:hAnsiTheme="majorBidi" w:cstheme="majorBidi"/>
          <w:sz w:val="26"/>
          <w:szCs w:val="26"/>
          <w:lang w:val="en"/>
        </w:rPr>
      </w:pPr>
    </w:p>
    <w:p w14:paraId="1427C7D4" w14:textId="77777777" w:rsidR="005603DD" w:rsidRDefault="005603DD">
      <w:pPr>
        <w:pStyle w:val="Heading2"/>
        <w:divId w:val="367418694"/>
        <w:rPr>
          <w:rFonts w:asciiTheme="majorBidi" w:eastAsia="Times New Roman" w:hAnsiTheme="majorBidi" w:cstheme="majorBidi"/>
          <w:sz w:val="26"/>
          <w:szCs w:val="26"/>
          <w:lang w:val="en"/>
        </w:rPr>
      </w:pPr>
    </w:p>
    <w:p w14:paraId="403A538E" w14:textId="77777777" w:rsidR="005603DD" w:rsidRDefault="005603DD">
      <w:pPr>
        <w:pStyle w:val="Heading2"/>
        <w:divId w:val="367418694"/>
        <w:rPr>
          <w:rFonts w:asciiTheme="majorBidi" w:eastAsia="Times New Roman" w:hAnsiTheme="majorBidi" w:cstheme="majorBidi"/>
          <w:sz w:val="26"/>
          <w:szCs w:val="26"/>
          <w:lang w:val="en"/>
        </w:rPr>
      </w:pPr>
    </w:p>
    <w:p w14:paraId="7155F0F3" w14:textId="77777777" w:rsidR="005603DD" w:rsidRDefault="005603DD">
      <w:pPr>
        <w:pStyle w:val="Heading2"/>
        <w:divId w:val="367418694"/>
        <w:rPr>
          <w:rFonts w:asciiTheme="majorBidi" w:eastAsia="Times New Roman" w:hAnsiTheme="majorBidi" w:cstheme="majorBidi"/>
          <w:sz w:val="26"/>
          <w:szCs w:val="26"/>
          <w:lang w:val="en"/>
        </w:rPr>
      </w:pPr>
    </w:p>
    <w:p w14:paraId="5D8FF013" w14:textId="18A44774"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lastRenderedPageBreak/>
        <w:t>7. Key funnel metrics (compact reference)</w:t>
      </w:r>
    </w:p>
    <w:tbl>
      <w:tblPr>
        <w:tblW w:w="5000" w:type="pct"/>
        <w:tblCellMar>
          <w:top w:w="15" w:type="dxa"/>
          <w:left w:w="15" w:type="dxa"/>
          <w:bottom w:w="15" w:type="dxa"/>
          <w:right w:w="15" w:type="dxa"/>
        </w:tblCellMar>
        <w:tblLook w:val="04A0" w:firstRow="1" w:lastRow="0" w:firstColumn="1" w:lastColumn="0" w:noHBand="0" w:noVBand="1"/>
      </w:tblPr>
      <w:tblGrid>
        <w:gridCol w:w="2064"/>
        <w:gridCol w:w="991"/>
        <w:gridCol w:w="977"/>
        <w:gridCol w:w="5312"/>
      </w:tblGrid>
      <w:tr w:rsidR="00000000" w:rsidRPr="005603DD" w14:paraId="64DF4460" w14:textId="77777777">
        <w:trPr>
          <w:divId w:val="36741869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75F9FA0B"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1FA67F1"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Target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E724A6A"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Actual</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19D9163" w14:textId="77777777" w:rsidR="00000000" w:rsidRPr="005603DD" w:rsidRDefault="00000000">
            <w:pPr>
              <w:spacing w:before="240" w:after="240"/>
              <w:rPr>
                <w:rFonts w:asciiTheme="majorBidi" w:eastAsia="Times New Roman" w:hAnsiTheme="majorBidi" w:cstheme="majorBidi"/>
                <w:b/>
                <w:bCs/>
                <w:color w:val="5A3E36"/>
                <w:sz w:val="26"/>
                <w:szCs w:val="26"/>
              </w:rPr>
            </w:pPr>
            <w:r w:rsidRPr="005603DD">
              <w:rPr>
                <w:rFonts w:asciiTheme="majorBidi" w:eastAsia="Times New Roman" w:hAnsiTheme="majorBidi" w:cstheme="majorBidi"/>
                <w:b/>
                <w:bCs/>
                <w:color w:val="5A3E36"/>
                <w:sz w:val="26"/>
                <w:szCs w:val="26"/>
              </w:rPr>
              <w:t>Data Source / Notes</w:t>
            </w:r>
          </w:p>
        </w:tc>
      </w:tr>
      <w:tr w:rsidR="00000000" w:rsidRPr="005603DD" w14:paraId="7816F436"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44F06AB"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Unique Reach</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6BFA842"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75,000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1A6D986"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80,800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8F3B296"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Meta + TikTok deduped reach; influencer UTMs</w:t>
            </w:r>
          </w:p>
        </w:tc>
      </w:tr>
      <w:tr w:rsidR="00000000" w:rsidRPr="005603DD" w14:paraId="3590DD88"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3A3C603"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Engagement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CF02772"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4262FC3"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11.3%</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802FC2B"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Platform engagement metrics; weighted by reach</w:t>
            </w:r>
          </w:p>
        </w:tc>
      </w:tr>
      <w:tr w:rsidR="00000000" w:rsidRPr="005603DD" w14:paraId="233D40AC"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18F7111"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CTR</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6F157AA"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3%</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3BD0154"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3.8%</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4E8D4EB"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Ad network click data; micro-test validated CTAs</w:t>
            </w:r>
          </w:p>
        </w:tc>
      </w:tr>
      <w:tr w:rsidR="00000000" w:rsidRPr="005603DD" w14:paraId="640D80E2"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E6BF5A"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Conversion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247DABA"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99EF54D"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6.2%</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2355BBF"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GA4 + CRM sign-up events (deduped)</w:t>
            </w:r>
          </w:p>
        </w:tc>
      </w:tr>
      <w:tr w:rsidR="00000000" w:rsidRPr="005603DD" w14:paraId="767D57A1"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516376A"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Loyalty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058CB20"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97580F1"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1,070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BE049D5"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CRM export; in-store validated via promo codes</w:t>
            </w:r>
          </w:p>
        </w:tc>
      </w:tr>
      <w:tr w:rsidR="00000000" w:rsidRPr="005603DD" w14:paraId="5EB7E34D" w14:textId="77777777">
        <w:trPr>
          <w:divId w:val="36741869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197A0DE"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Retention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1033558"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12%</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32262DD"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15%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9376F5B" w14:textId="77777777" w:rsidR="00000000" w:rsidRPr="005603DD" w:rsidRDefault="00000000">
            <w:pPr>
              <w:spacing w:before="240" w:after="240"/>
              <w:rPr>
                <w:rFonts w:asciiTheme="majorBidi" w:eastAsia="Times New Roman" w:hAnsiTheme="majorBidi" w:cstheme="majorBidi"/>
                <w:color w:val="3E2D23"/>
                <w:sz w:val="26"/>
                <w:szCs w:val="26"/>
              </w:rPr>
            </w:pPr>
            <w:r w:rsidRPr="005603DD">
              <w:rPr>
                <w:rFonts w:asciiTheme="majorBidi" w:eastAsia="Times New Roman" w:hAnsiTheme="majorBidi" w:cstheme="majorBidi"/>
                <w:color w:val="3E2D23"/>
                <w:sz w:val="26"/>
                <w:szCs w:val="26"/>
              </w:rPr>
              <w:t>POS + loyalty ID visit mapping</w:t>
            </w:r>
          </w:p>
        </w:tc>
      </w:tr>
    </w:tbl>
    <w:p w14:paraId="4CEEBB18" w14:textId="77777777" w:rsidR="005603DD" w:rsidRDefault="005603DD">
      <w:pPr>
        <w:pStyle w:val="Heading2"/>
        <w:divId w:val="367418694"/>
        <w:rPr>
          <w:rFonts w:asciiTheme="majorBidi" w:eastAsia="Times New Roman" w:hAnsiTheme="majorBidi" w:cstheme="majorBidi"/>
          <w:sz w:val="26"/>
          <w:szCs w:val="26"/>
          <w:lang w:val="en"/>
        </w:rPr>
      </w:pPr>
    </w:p>
    <w:p w14:paraId="0C87A822" w14:textId="77777777" w:rsidR="005603DD" w:rsidRDefault="005603DD">
      <w:pPr>
        <w:pStyle w:val="Heading2"/>
        <w:divId w:val="367418694"/>
        <w:rPr>
          <w:rFonts w:asciiTheme="majorBidi" w:eastAsia="Times New Roman" w:hAnsiTheme="majorBidi" w:cstheme="majorBidi"/>
          <w:sz w:val="26"/>
          <w:szCs w:val="26"/>
          <w:lang w:val="en"/>
        </w:rPr>
      </w:pPr>
    </w:p>
    <w:p w14:paraId="6D7AD937" w14:textId="77777777" w:rsidR="005603DD" w:rsidRDefault="005603DD">
      <w:pPr>
        <w:pStyle w:val="Heading2"/>
        <w:divId w:val="367418694"/>
        <w:rPr>
          <w:rFonts w:asciiTheme="majorBidi" w:eastAsia="Times New Roman" w:hAnsiTheme="majorBidi" w:cstheme="majorBidi"/>
          <w:sz w:val="26"/>
          <w:szCs w:val="26"/>
          <w:lang w:val="en"/>
        </w:rPr>
      </w:pPr>
    </w:p>
    <w:p w14:paraId="25E857FF" w14:textId="77777777" w:rsidR="005603DD" w:rsidRDefault="005603DD">
      <w:pPr>
        <w:pStyle w:val="Heading2"/>
        <w:divId w:val="367418694"/>
        <w:rPr>
          <w:rFonts w:asciiTheme="majorBidi" w:eastAsia="Times New Roman" w:hAnsiTheme="majorBidi" w:cstheme="majorBidi"/>
          <w:sz w:val="26"/>
          <w:szCs w:val="26"/>
          <w:lang w:val="en"/>
        </w:rPr>
      </w:pPr>
    </w:p>
    <w:p w14:paraId="4548DDC7" w14:textId="77777777" w:rsidR="005603DD" w:rsidRDefault="005603DD">
      <w:pPr>
        <w:pStyle w:val="Heading2"/>
        <w:divId w:val="367418694"/>
        <w:rPr>
          <w:rFonts w:asciiTheme="majorBidi" w:eastAsia="Times New Roman" w:hAnsiTheme="majorBidi" w:cstheme="majorBidi"/>
          <w:sz w:val="26"/>
          <w:szCs w:val="26"/>
          <w:lang w:val="en"/>
        </w:rPr>
      </w:pPr>
    </w:p>
    <w:p w14:paraId="63424D7B" w14:textId="77777777" w:rsidR="005603DD" w:rsidRDefault="005603DD">
      <w:pPr>
        <w:pStyle w:val="Heading2"/>
        <w:divId w:val="367418694"/>
        <w:rPr>
          <w:rFonts w:asciiTheme="majorBidi" w:eastAsia="Times New Roman" w:hAnsiTheme="majorBidi" w:cstheme="majorBidi"/>
          <w:sz w:val="26"/>
          <w:szCs w:val="26"/>
          <w:lang w:val="en"/>
        </w:rPr>
      </w:pPr>
    </w:p>
    <w:p w14:paraId="4F97FAE1" w14:textId="1770F3B6" w:rsidR="00000000" w:rsidRPr="005603DD" w:rsidRDefault="00000000">
      <w:pPr>
        <w:pStyle w:val="Heading2"/>
        <w:divId w:val="367418694"/>
        <w:rPr>
          <w:rFonts w:asciiTheme="majorBidi" w:eastAsia="Times New Roman" w:hAnsiTheme="majorBidi" w:cstheme="majorBidi"/>
          <w:sz w:val="26"/>
          <w:szCs w:val="26"/>
          <w:lang w:val="en"/>
        </w:rPr>
      </w:pPr>
      <w:r w:rsidRPr="005603DD">
        <w:rPr>
          <w:rFonts w:asciiTheme="majorBidi" w:eastAsia="Times New Roman" w:hAnsiTheme="majorBidi" w:cstheme="majorBidi"/>
          <w:sz w:val="26"/>
          <w:szCs w:val="26"/>
          <w:lang w:val="en"/>
        </w:rPr>
        <w:lastRenderedPageBreak/>
        <w:t>8. Professional recommendations &amp; next steps</w:t>
      </w:r>
    </w:p>
    <w:p w14:paraId="148077E3" w14:textId="77777777" w:rsidR="00000000" w:rsidRPr="005603DD" w:rsidRDefault="00000000">
      <w:pPr>
        <w:pStyle w:val="NormalWeb"/>
        <w:divId w:val="367418694"/>
        <w:rPr>
          <w:rFonts w:asciiTheme="majorBidi" w:hAnsiTheme="majorBidi" w:cstheme="majorBidi"/>
          <w:sz w:val="26"/>
          <w:szCs w:val="26"/>
          <w:lang w:val="en"/>
        </w:rPr>
      </w:pPr>
      <w:r w:rsidRPr="005603DD">
        <w:rPr>
          <w:rFonts w:asciiTheme="majorBidi" w:hAnsiTheme="majorBidi" w:cstheme="majorBidi"/>
          <w:sz w:val="26"/>
          <w:szCs w:val="26"/>
          <w:lang w:val="en"/>
        </w:rPr>
        <w:t>Based on the funnel outcomes and the data lineage, the recommended next steps (to scale and protect performance) are:</w:t>
      </w:r>
    </w:p>
    <w:p w14:paraId="1F83F364" w14:textId="77777777" w:rsidR="00000000" w:rsidRPr="005603DD" w:rsidRDefault="00000000">
      <w:pPr>
        <w:numPr>
          <w:ilvl w:val="0"/>
          <w:numId w:val="9"/>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Institutionalize weekly micro-tests (creative and CTA) and keep 5% of budget for validation before major flighting shifts.</w:t>
      </w:r>
    </w:p>
    <w:p w14:paraId="241D1873" w14:textId="77777777" w:rsidR="00000000" w:rsidRPr="005603DD" w:rsidRDefault="00000000">
      <w:pPr>
        <w:numPr>
          <w:ilvl w:val="0"/>
          <w:numId w:val="9"/>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Automate more of the POS → CRM reconciliation (so offline purchases can be more cleanly attributed to campaigns).</w:t>
      </w:r>
    </w:p>
    <w:p w14:paraId="0B3FB472" w14:textId="77777777" w:rsidR="00000000" w:rsidRPr="005603DD" w:rsidRDefault="00000000">
      <w:pPr>
        <w:numPr>
          <w:ilvl w:val="0"/>
          <w:numId w:val="9"/>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Expand retention mechanics: add tiered VIP benefits and quarterly VIP events to deepen LTV.</w:t>
      </w:r>
    </w:p>
    <w:p w14:paraId="25FA2387" w14:textId="77777777" w:rsidR="00000000" w:rsidRPr="005603DD" w:rsidRDefault="00000000">
      <w:pPr>
        <w:numPr>
          <w:ilvl w:val="0"/>
          <w:numId w:val="9"/>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Maintain creative refresh cadence for Reels and hero visuals every 21 days to avoid fatigue.</w:t>
      </w:r>
    </w:p>
    <w:p w14:paraId="0831A8AB" w14:textId="77777777" w:rsidR="00000000" w:rsidRPr="005603DD" w:rsidRDefault="00000000">
      <w:pPr>
        <w:numPr>
          <w:ilvl w:val="0"/>
          <w:numId w:val="9"/>
        </w:numPr>
        <w:spacing w:before="100" w:beforeAutospacing="1" w:after="100" w:afterAutospacing="1"/>
        <w:ind w:left="1020"/>
        <w:divId w:val="367418694"/>
        <w:rPr>
          <w:rFonts w:asciiTheme="majorBidi" w:eastAsia="Times New Roman" w:hAnsiTheme="majorBidi" w:cstheme="majorBidi"/>
          <w:color w:val="3E2D23"/>
          <w:sz w:val="26"/>
          <w:szCs w:val="26"/>
          <w:lang w:val="en"/>
        </w:rPr>
      </w:pPr>
      <w:r w:rsidRPr="005603DD">
        <w:rPr>
          <w:rFonts w:asciiTheme="majorBidi" w:eastAsia="Times New Roman" w:hAnsiTheme="majorBidi" w:cstheme="majorBidi"/>
          <w:color w:val="3E2D23"/>
          <w:sz w:val="26"/>
          <w:szCs w:val="26"/>
          <w:lang w:val="en"/>
        </w:rPr>
        <w:t>Quarterly cohort LTV analysis to update the conservative LTV assumptions used in budgeting.</w:t>
      </w:r>
    </w:p>
    <w:p w14:paraId="74206B8E" w14:textId="77777777" w:rsidR="00760C2E" w:rsidRPr="005603DD" w:rsidRDefault="00000000">
      <w:pPr>
        <w:shd w:val="clear" w:color="auto" w:fill="F9F5F2"/>
        <w:divId w:val="1165972927"/>
        <w:rPr>
          <w:rFonts w:asciiTheme="majorBidi" w:eastAsia="Times New Roman" w:hAnsiTheme="majorBidi" w:cstheme="majorBidi"/>
          <w:color w:val="3E2D23"/>
          <w:sz w:val="26"/>
          <w:szCs w:val="26"/>
          <w:lang w:val="en"/>
        </w:rPr>
      </w:pPr>
      <w:r w:rsidRPr="005603DD">
        <w:rPr>
          <w:rStyle w:val="Strong"/>
          <w:rFonts w:asciiTheme="majorBidi" w:eastAsia="Times New Roman" w:hAnsiTheme="majorBidi" w:cstheme="majorBidi"/>
          <w:color w:val="3E2D23"/>
          <w:sz w:val="26"/>
          <w:szCs w:val="26"/>
          <w:lang w:val="en"/>
        </w:rPr>
        <w:t>Final note:</w:t>
      </w:r>
      <w:r w:rsidRPr="005603DD">
        <w:rPr>
          <w:rFonts w:asciiTheme="majorBidi" w:eastAsia="Times New Roman" w:hAnsiTheme="majorBidi" w:cstheme="majorBidi"/>
          <w:color w:val="3E2D23"/>
          <w:sz w:val="26"/>
          <w:szCs w:val="26"/>
          <w:lang w:val="en"/>
        </w:rPr>
        <w:t xml:space="preserve"> every funnel metric in this document is traceable to a primary or validated secondary source (platform analytics, GA4, CRM, POS). Where direct reconciliation was impossible, conservative adjustment factors were applied and documented in the campaign appendix (refer to CRM exports, UTM logs, and POS mapping files). </w:t>
      </w:r>
    </w:p>
    <w:sectPr w:rsidR="00760C2E" w:rsidRPr="005603DD" w:rsidSect="005603D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4557B"/>
    <w:multiLevelType w:val="multilevel"/>
    <w:tmpl w:val="2E1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16F86"/>
    <w:multiLevelType w:val="multilevel"/>
    <w:tmpl w:val="7E0A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B7BE0"/>
    <w:multiLevelType w:val="multilevel"/>
    <w:tmpl w:val="364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63F11"/>
    <w:multiLevelType w:val="multilevel"/>
    <w:tmpl w:val="6416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641A8"/>
    <w:multiLevelType w:val="multilevel"/>
    <w:tmpl w:val="F1E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C113B"/>
    <w:multiLevelType w:val="multilevel"/>
    <w:tmpl w:val="13A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D2907"/>
    <w:multiLevelType w:val="multilevel"/>
    <w:tmpl w:val="511E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835E3"/>
    <w:multiLevelType w:val="multilevel"/>
    <w:tmpl w:val="1314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5259"/>
    <w:multiLevelType w:val="multilevel"/>
    <w:tmpl w:val="EA3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518001">
    <w:abstractNumId w:val="5"/>
  </w:num>
  <w:num w:numId="2" w16cid:durableId="2080013332">
    <w:abstractNumId w:val="8"/>
  </w:num>
  <w:num w:numId="3" w16cid:durableId="147864100">
    <w:abstractNumId w:val="4"/>
  </w:num>
  <w:num w:numId="4" w16cid:durableId="2094230847">
    <w:abstractNumId w:val="1"/>
  </w:num>
  <w:num w:numId="5" w16cid:durableId="481167014">
    <w:abstractNumId w:val="7"/>
  </w:num>
  <w:num w:numId="6" w16cid:durableId="589003739">
    <w:abstractNumId w:val="3"/>
  </w:num>
  <w:num w:numId="7" w16cid:durableId="7024630">
    <w:abstractNumId w:val="6"/>
  </w:num>
  <w:num w:numId="8" w16cid:durableId="1622105518">
    <w:abstractNumId w:val="2"/>
  </w:num>
  <w:num w:numId="9" w16cid:durableId="135897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03DD"/>
    <w:rsid w:val="005603DD"/>
    <w:rsid w:val="00760C2E"/>
    <w:rsid w:val="00B5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AD8A9"/>
  <w15:chartTrackingRefBased/>
  <w15:docId w15:val="{B6D05D2C-4B62-45E3-B3BA-7E43C722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90"/>
      <w:outlineLvl w:val="0"/>
    </w:pPr>
    <w:rPr>
      <w:b/>
      <w:bCs/>
      <w:color w:val="5A3E36"/>
      <w:kern w:val="36"/>
      <w:sz w:val="45"/>
      <w:szCs w:val="45"/>
    </w:rPr>
  </w:style>
  <w:style w:type="paragraph" w:styleId="Heading2">
    <w:name w:val="heading 2"/>
    <w:basedOn w:val="Normal"/>
    <w:link w:val="Heading2Char"/>
    <w:uiPriority w:val="9"/>
    <w:qFormat/>
    <w:pPr>
      <w:spacing w:before="300" w:after="120"/>
      <w:outlineLvl w:val="1"/>
    </w:pPr>
    <w:rPr>
      <w:b/>
      <w:bCs/>
      <w:color w:val="5A3E36"/>
      <w:sz w:val="33"/>
      <w:szCs w:val="33"/>
    </w:rPr>
  </w:style>
  <w:style w:type="paragraph" w:styleId="Heading3">
    <w:name w:val="heading 3"/>
    <w:basedOn w:val="Normal"/>
    <w:link w:val="Heading3Char"/>
    <w:uiPriority w:val="9"/>
    <w:qFormat/>
    <w:pPr>
      <w:spacing w:before="240" w:after="120"/>
      <w:outlineLvl w:val="2"/>
    </w:pPr>
    <w:rPr>
      <w:b/>
      <w:bCs/>
      <w:color w:val="4A342C"/>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20" w:after="120"/>
    </w:pPr>
    <w:rPr>
      <w:color w:val="3E2D23"/>
      <w:sz w:val="21"/>
      <w:szCs w:val="21"/>
    </w:rPr>
  </w:style>
  <w:style w:type="paragraph" w:styleId="NormalWeb">
    <w:name w:val="Normal (Web)"/>
    <w:basedOn w:val="Normal"/>
    <w:uiPriority w:val="99"/>
    <w:semiHidden/>
    <w:unhideWhenUsed/>
    <w:pPr>
      <w:spacing w:before="120" w:after="120"/>
    </w:pPr>
    <w:rPr>
      <w:color w:val="3E2D23"/>
      <w:sz w:val="21"/>
      <w:szCs w:val="21"/>
    </w:rPr>
  </w:style>
  <w:style w:type="paragraph" w:customStyle="1" w:styleId="muted">
    <w:name w:val="muted"/>
    <w:basedOn w:val="Normal"/>
    <w:pPr>
      <w:spacing w:before="100" w:beforeAutospacing="1" w:after="100" w:afterAutospacing="1"/>
    </w:pPr>
    <w:rPr>
      <w:color w:val="6B4F44"/>
      <w:sz w:val="20"/>
      <w:szCs w:val="20"/>
    </w:rPr>
  </w:style>
  <w:style w:type="paragraph" w:customStyle="1" w:styleId="note">
    <w:name w:val="note"/>
    <w:basedOn w:val="Normal"/>
    <w:pPr>
      <w:pBdr>
        <w:top w:val="single" w:sz="6" w:space="8" w:color="EFE0D0"/>
        <w:left w:val="single" w:sz="6" w:space="8" w:color="EFE0D0"/>
        <w:bottom w:val="single" w:sz="6" w:space="8" w:color="EFE0D0"/>
        <w:right w:val="single" w:sz="6" w:space="8" w:color="EFE0D0"/>
      </w:pBdr>
      <w:shd w:val="clear" w:color="auto" w:fill="F9F5F2"/>
      <w:spacing w:before="150" w:after="150"/>
    </w:pPr>
  </w:style>
  <w:style w:type="paragraph" w:customStyle="1" w:styleId="small">
    <w:name w:val="small"/>
    <w:basedOn w:val="Normal"/>
    <w:pPr>
      <w:spacing w:before="100" w:beforeAutospacing="1" w:after="100" w:afterAutospacing="1"/>
    </w:pPr>
    <w:rPr>
      <w:color w:val="6B4F44"/>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8694">
      <w:bodyDiv w:val="1"/>
      <w:marLeft w:val="420"/>
      <w:marRight w:val="420"/>
      <w:marTop w:val="420"/>
      <w:marBottom w:val="420"/>
      <w:divBdr>
        <w:top w:val="none" w:sz="0" w:space="0" w:color="auto"/>
        <w:left w:val="none" w:sz="0" w:space="0" w:color="auto"/>
        <w:bottom w:val="none" w:sz="0" w:space="0" w:color="auto"/>
        <w:right w:val="none" w:sz="0" w:space="0" w:color="auto"/>
      </w:divBdr>
      <w:divsChild>
        <w:div w:id="1165972927">
          <w:marLeft w:val="0"/>
          <w:marRight w:val="0"/>
          <w:marTop w:val="150"/>
          <w:marBottom w:val="150"/>
          <w:divBdr>
            <w:top w:val="single" w:sz="6" w:space="8" w:color="EFE0D0"/>
            <w:left w:val="single" w:sz="6" w:space="8" w:color="EFE0D0"/>
            <w:bottom w:val="single" w:sz="6" w:space="8" w:color="EFE0D0"/>
            <w:right w:val="single" w:sz="6" w:space="8" w:color="EFE0D0"/>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Haksoss Café — High-Value Conversion Funnels (Data Foundation)</dc:title>
  <dc:subject/>
  <dc:creator>Moe AbdelRazek</dc:creator>
  <cp:keywords/>
  <dc:description/>
  <cp:lastModifiedBy>Moe AbdelRazek</cp:lastModifiedBy>
  <cp:revision>2</cp:revision>
  <dcterms:created xsi:type="dcterms:W3CDTF">2025-10-14T23:49:00Z</dcterms:created>
  <dcterms:modified xsi:type="dcterms:W3CDTF">2025-10-14T23:49:00Z</dcterms:modified>
</cp:coreProperties>
</file>