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CCE29" w14:textId="358DE19F" w:rsidR="006A3F97" w:rsidRPr="006A3F97" w:rsidRDefault="00000000" w:rsidP="006A3F97">
      <w:pPr>
        <w:pStyle w:val="Heading1"/>
        <w:divId w:val="2034112311"/>
        <w:rPr>
          <w:rFonts w:asciiTheme="majorBidi" w:eastAsia="Times New Roman" w:hAnsiTheme="majorBidi" w:cstheme="majorBidi"/>
          <w:color w:val="5A3E36"/>
          <w:lang w:val="en"/>
        </w:rPr>
      </w:pPr>
      <w:r w:rsidRPr="006A3F97">
        <w:rPr>
          <w:rFonts w:asciiTheme="majorBidi" w:eastAsia="Times New Roman" w:hAnsiTheme="majorBidi" w:cstheme="majorBidi"/>
          <w:color w:val="5A3E36"/>
          <w:lang w:val="en"/>
        </w:rPr>
        <w:t>Email Marketing Campaign — Full Foundation &amp; Data Analysis</w:t>
      </w:r>
    </w:p>
    <w:p w14:paraId="70574F4A" w14:textId="77777777" w:rsidR="00000000" w:rsidRDefault="00000000">
      <w:pPr>
        <w:pStyle w:val="NormalWeb"/>
        <w:divId w:val="2034112311"/>
        <w:rPr>
          <w:rFonts w:asciiTheme="majorBidi" w:hAnsiTheme="majorBidi" w:cstheme="majorBidi"/>
          <w:color w:val="5A3E36"/>
          <w:sz w:val="26"/>
          <w:szCs w:val="26"/>
          <w:lang w:val="en"/>
        </w:rPr>
      </w:pPr>
      <w:r w:rsidRPr="006A3F97">
        <w:rPr>
          <w:rFonts w:asciiTheme="majorBidi" w:hAnsiTheme="majorBidi" w:cstheme="majorBidi"/>
          <w:color w:val="5A3E36"/>
          <w:sz w:val="26"/>
          <w:szCs w:val="26"/>
          <w:lang w:val="en"/>
        </w:rPr>
        <w:t xml:space="preserve">As the campaign’s lead digital strategist and email automation specialist, my objective was to architect a conversion-driven, brand-loyalty sequence that built anticipation, nurtured high-value relationships, and delivered tangible ROI. Below is a comprehensive foundation of how this campaign was structured, the data that guided each step, and how the results exceeded client expectations. </w:t>
      </w:r>
    </w:p>
    <w:p w14:paraId="1D7A050B" w14:textId="77777777" w:rsidR="006A3F97" w:rsidRDefault="006A3F97">
      <w:pPr>
        <w:pStyle w:val="NormalWeb"/>
        <w:pBdr>
          <w:bottom w:val="single" w:sz="6" w:space="1" w:color="auto"/>
        </w:pBdr>
        <w:divId w:val="2034112311"/>
        <w:rPr>
          <w:rFonts w:asciiTheme="majorBidi" w:hAnsiTheme="majorBidi" w:cstheme="majorBidi"/>
          <w:color w:val="5A3E36"/>
          <w:sz w:val="26"/>
          <w:szCs w:val="26"/>
          <w:lang w:val="en"/>
        </w:rPr>
      </w:pPr>
    </w:p>
    <w:p w14:paraId="6089AF2F" w14:textId="77777777" w:rsidR="00000000" w:rsidRPr="006A3F97" w:rsidRDefault="00000000">
      <w:pPr>
        <w:pStyle w:val="Heading2"/>
        <w:divId w:val="2034112311"/>
        <w:rPr>
          <w:rFonts w:asciiTheme="majorBidi" w:eastAsia="Times New Roman" w:hAnsiTheme="majorBidi" w:cstheme="majorBidi"/>
          <w:sz w:val="26"/>
          <w:szCs w:val="26"/>
          <w:lang w:val="en"/>
        </w:rPr>
      </w:pPr>
      <w:r w:rsidRPr="006A3F97">
        <w:rPr>
          <w:rFonts w:asciiTheme="majorBidi" w:eastAsia="Times New Roman" w:hAnsiTheme="majorBidi" w:cstheme="majorBidi"/>
          <w:sz w:val="26"/>
          <w:szCs w:val="26"/>
          <w:lang w:val="en"/>
        </w:rPr>
        <w:t>Client’s Original Target &amp; Strategic Challenge</w:t>
      </w:r>
    </w:p>
    <w:p w14:paraId="1D128E18" w14:textId="77777777" w:rsidR="00000000" w:rsidRPr="006A3F97" w:rsidRDefault="00000000">
      <w:pPr>
        <w:pStyle w:val="NormalWeb"/>
        <w:divId w:val="2034112311"/>
        <w:rPr>
          <w:rFonts w:asciiTheme="majorBidi" w:hAnsiTheme="majorBidi" w:cstheme="majorBidi"/>
          <w:color w:val="5A3E36"/>
          <w:sz w:val="26"/>
          <w:szCs w:val="26"/>
          <w:lang w:val="en"/>
        </w:rPr>
      </w:pPr>
      <w:r w:rsidRPr="006A3F97">
        <w:rPr>
          <w:rFonts w:asciiTheme="majorBidi" w:hAnsiTheme="majorBidi" w:cstheme="majorBidi"/>
          <w:color w:val="5A3E36"/>
          <w:sz w:val="26"/>
          <w:szCs w:val="26"/>
          <w:lang w:val="en"/>
        </w:rPr>
        <w:t xml:space="preserve">Haksoss Café sought to introduce its new “Hero Latte” line while reinforcing its positioning as Alexandria’s luxury morning experience. Their initial brief focused on three KPIs: </w:t>
      </w:r>
    </w:p>
    <w:tbl>
      <w:tblPr>
        <w:tblW w:w="5000" w:type="pct"/>
        <w:shd w:val="clear" w:color="auto" w:fill="FFFAF3"/>
        <w:tblCellMar>
          <w:top w:w="15" w:type="dxa"/>
          <w:left w:w="15" w:type="dxa"/>
          <w:bottom w:w="15" w:type="dxa"/>
          <w:right w:w="15" w:type="dxa"/>
        </w:tblCellMar>
        <w:tblLook w:val="04A0" w:firstRow="1" w:lastRow="0" w:firstColumn="1" w:lastColumn="0" w:noHBand="0" w:noVBand="1"/>
      </w:tblPr>
      <w:tblGrid>
        <w:gridCol w:w="2086"/>
        <w:gridCol w:w="3499"/>
        <w:gridCol w:w="3759"/>
      </w:tblGrid>
      <w:tr w:rsidR="00000000" w:rsidRPr="006A3F97" w14:paraId="56E33FD4"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6BE1F766"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Client Target</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56DCE53C"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Original Goal</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73531F43"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Challenge Identified</w:t>
            </w:r>
          </w:p>
        </w:tc>
      </w:tr>
      <w:tr w:rsidR="00000000" w:rsidRPr="006A3F97" w14:paraId="45FF95A7"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71496D5"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Awareness &amp; Anticipation</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1BEB5C06"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Generate 25,000+ impressions across social and email channels pre-launch</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F360236"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Audience had low previous engagement with email (average open rate below 20%)</w:t>
            </w:r>
          </w:p>
        </w:tc>
      </w:tr>
      <w:tr w:rsidR="00000000" w:rsidRPr="006A3F97" w14:paraId="3C5C4B95"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791CFECE"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lastRenderedPageBreak/>
              <w:t>Conversion</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8682E8D"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Achieve at least 5% CTR and 1,000 loyalty sign-ups</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7FCED207"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Email list quality was mixed; only 62% active contacts with verified opt-ins</w:t>
            </w:r>
          </w:p>
        </w:tc>
      </w:tr>
      <w:tr w:rsidR="00000000" w:rsidRPr="006A3F97" w14:paraId="58F9400E"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BCC627B"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Retention</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AEAC9DF"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Encourage repeat visits within 4 weeks of launch</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0C4F4AE7"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No existing lifecycle automation or re-engagement workflow</w:t>
            </w:r>
          </w:p>
        </w:tc>
      </w:tr>
    </w:tbl>
    <w:p w14:paraId="6D1B4581" w14:textId="77777777" w:rsidR="00000000" w:rsidRPr="006A3F97" w:rsidRDefault="00000000">
      <w:pPr>
        <w:pStyle w:val="Heading2"/>
        <w:divId w:val="2034112311"/>
        <w:rPr>
          <w:rFonts w:asciiTheme="majorBidi" w:eastAsia="Times New Roman" w:hAnsiTheme="majorBidi" w:cstheme="majorBidi"/>
          <w:sz w:val="26"/>
          <w:szCs w:val="26"/>
          <w:lang w:val="en"/>
        </w:rPr>
      </w:pPr>
      <w:r w:rsidRPr="006A3F97">
        <w:rPr>
          <w:rFonts w:asciiTheme="majorBidi" w:eastAsia="Times New Roman" w:hAnsiTheme="majorBidi" w:cstheme="majorBidi"/>
          <w:sz w:val="26"/>
          <w:szCs w:val="26"/>
          <w:lang w:val="en"/>
        </w:rPr>
        <w:t>Data Collection &amp; Validation Methodology</w:t>
      </w:r>
    </w:p>
    <w:p w14:paraId="4A465FB2" w14:textId="77777777" w:rsidR="00000000" w:rsidRPr="006A3F97" w:rsidRDefault="00000000">
      <w:pPr>
        <w:pStyle w:val="NormalWeb"/>
        <w:divId w:val="2034112311"/>
        <w:rPr>
          <w:rFonts w:asciiTheme="majorBidi" w:hAnsiTheme="majorBidi" w:cstheme="majorBidi"/>
          <w:color w:val="5A3E36"/>
          <w:sz w:val="26"/>
          <w:szCs w:val="26"/>
          <w:lang w:val="en"/>
        </w:rPr>
      </w:pPr>
      <w:r w:rsidRPr="006A3F97">
        <w:rPr>
          <w:rFonts w:asciiTheme="majorBidi" w:hAnsiTheme="majorBidi" w:cstheme="majorBidi"/>
          <w:color w:val="5A3E36"/>
          <w:sz w:val="26"/>
          <w:szCs w:val="26"/>
          <w:lang w:val="en"/>
        </w:rPr>
        <w:t xml:space="preserve">To design a data-led email strategy, I conducted a three-stage validation process: </w:t>
      </w:r>
    </w:p>
    <w:p w14:paraId="08D216FE" w14:textId="77777777" w:rsidR="00000000" w:rsidRPr="006A3F97" w:rsidRDefault="00000000">
      <w:pPr>
        <w:numPr>
          <w:ilvl w:val="0"/>
          <w:numId w:val="1"/>
        </w:numPr>
        <w:spacing w:before="100" w:beforeAutospacing="1" w:after="100" w:afterAutospacing="1"/>
        <w:divId w:val="2034112311"/>
        <w:rPr>
          <w:rFonts w:asciiTheme="majorBidi" w:eastAsia="Times New Roman" w:hAnsiTheme="majorBidi" w:cstheme="majorBidi"/>
          <w:color w:val="5A3E36"/>
          <w:sz w:val="26"/>
          <w:szCs w:val="26"/>
          <w:lang w:val="en"/>
        </w:rPr>
      </w:pPr>
      <w:r w:rsidRPr="006A3F97">
        <w:rPr>
          <w:rStyle w:val="Strong"/>
          <w:rFonts w:asciiTheme="majorBidi" w:eastAsia="Times New Roman" w:hAnsiTheme="majorBidi" w:cstheme="majorBidi"/>
          <w:color w:val="5A3E36"/>
          <w:sz w:val="26"/>
          <w:szCs w:val="26"/>
          <w:lang w:val="en"/>
        </w:rPr>
        <w:t>List Audit:</w:t>
      </w:r>
      <w:r w:rsidRPr="006A3F97">
        <w:rPr>
          <w:rFonts w:asciiTheme="majorBidi" w:eastAsia="Times New Roman" w:hAnsiTheme="majorBidi" w:cstheme="majorBidi"/>
          <w:color w:val="5A3E36"/>
          <w:sz w:val="26"/>
          <w:szCs w:val="26"/>
          <w:lang w:val="en"/>
        </w:rPr>
        <w:t xml:space="preserve"> Used </w:t>
      </w:r>
      <w:r w:rsidRPr="006A3F97">
        <w:rPr>
          <w:rStyle w:val="Emphasis"/>
          <w:rFonts w:asciiTheme="majorBidi" w:eastAsia="Times New Roman" w:hAnsiTheme="majorBidi" w:cstheme="majorBidi"/>
          <w:color w:val="5A3E36"/>
          <w:sz w:val="26"/>
          <w:szCs w:val="26"/>
          <w:lang w:val="en"/>
        </w:rPr>
        <w:t>NeverBounce</w:t>
      </w:r>
      <w:r w:rsidRPr="006A3F97">
        <w:rPr>
          <w:rFonts w:asciiTheme="majorBidi" w:eastAsia="Times New Roman" w:hAnsiTheme="majorBidi" w:cstheme="majorBidi"/>
          <w:color w:val="5A3E36"/>
          <w:sz w:val="26"/>
          <w:szCs w:val="26"/>
          <w:lang w:val="en"/>
        </w:rPr>
        <w:t xml:space="preserve"> to verify 8,420 contacts, removing 1,280 inactive or bounced addresses, leaving a clean segment of 7,140 verified users.</w:t>
      </w:r>
    </w:p>
    <w:p w14:paraId="7EC8D441" w14:textId="77777777" w:rsidR="00000000" w:rsidRPr="006A3F97" w:rsidRDefault="00000000">
      <w:pPr>
        <w:numPr>
          <w:ilvl w:val="0"/>
          <w:numId w:val="1"/>
        </w:numPr>
        <w:spacing w:before="100" w:beforeAutospacing="1" w:after="100" w:afterAutospacing="1"/>
        <w:divId w:val="2034112311"/>
        <w:rPr>
          <w:rFonts w:asciiTheme="majorBidi" w:eastAsia="Times New Roman" w:hAnsiTheme="majorBidi" w:cstheme="majorBidi"/>
          <w:color w:val="5A3E36"/>
          <w:sz w:val="26"/>
          <w:szCs w:val="26"/>
          <w:lang w:val="en"/>
        </w:rPr>
      </w:pPr>
      <w:r w:rsidRPr="006A3F97">
        <w:rPr>
          <w:rStyle w:val="Strong"/>
          <w:rFonts w:asciiTheme="majorBidi" w:eastAsia="Times New Roman" w:hAnsiTheme="majorBidi" w:cstheme="majorBidi"/>
          <w:color w:val="5A3E36"/>
          <w:sz w:val="26"/>
          <w:szCs w:val="26"/>
          <w:lang w:val="en"/>
        </w:rPr>
        <w:t>Behavioral Analysis:</w:t>
      </w:r>
      <w:r w:rsidRPr="006A3F97">
        <w:rPr>
          <w:rFonts w:asciiTheme="majorBidi" w:eastAsia="Times New Roman" w:hAnsiTheme="majorBidi" w:cstheme="majorBidi"/>
          <w:color w:val="5A3E36"/>
          <w:sz w:val="26"/>
          <w:szCs w:val="26"/>
          <w:lang w:val="en"/>
        </w:rPr>
        <w:t xml:space="preserve"> Extracted engagement metrics from the previous campaign (average open rate 19.7%, CTR 2.8%) using </w:t>
      </w:r>
      <w:r w:rsidRPr="006A3F97">
        <w:rPr>
          <w:rStyle w:val="Emphasis"/>
          <w:rFonts w:asciiTheme="majorBidi" w:eastAsia="Times New Roman" w:hAnsiTheme="majorBidi" w:cstheme="majorBidi"/>
          <w:color w:val="5A3E36"/>
          <w:sz w:val="26"/>
          <w:szCs w:val="26"/>
          <w:lang w:val="en"/>
        </w:rPr>
        <w:t>Mailchimp Reports</w:t>
      </w:r>
      <w:r w:rsidRPr="006A3F97">
        <w:rPr>
          <w:rFonts w:asciiTheme="majorBidi" w:eastAsia="Times New Roman" w:hAnsiTheme="majorBidi" w:cstheme="majorBidi"/>
          <w:color w:val="5A3E36"/>
          <w:sz w:val="26"/>
          <w:szCs w:val="26"/>
          <w:lang w:val="en"/>
        </w:rPr>
        <w:t xml:space="preserve"> to determine optimal send times and subject-line length (ideal: 34–38 characters).</w:t>
      </w:r>
    </w:p>
    <w:p w14:paraId="7983B47A" w14:textId="77777777" w:rsidR="00000000" w:rsidRPr="006A3F97" w:rsidRDefault="00000000">
      <w:pPr>
        <w:numPr>
          <w:ilvl w:val="0"/>
          <w:numId w:val="1"/>
        </w:numPr>
        <w:spacing w:before="100" w:beforeAutospacing="1" w:after="100" w:afterAutospacing="1"/>
        <w:divId w:val="2034112311"/>
        <w:rPr>
          <w:rFonts w:asciiTheme="majorBidi" w:eastAsia="Times New Roman" w:hAnsiTheme="majorBidi" w:cstheme="majorBidi"/>
          <w:color w:val="5A3E36"/>
          <w:sz w:val="26"/>
          <w:szCs w:val="26"/>
          <w:lang w:val="en"/>
        </w:rPr>
      </w:pPr>
      <w:r w:rsidRPr="006A3F97">
        <w:rPr>
          <w:rStyle w:val="Strong"/>
          <w:rFonts w:asciiTheme="majorBidi" w:eastAsia="Times New Roman" w:hAnsiTheme="majorBidi" w:cstheme="majorBidi"/>
          <w:color w:val="5A3E36"/>
          <w:sz w:val="26"/>
          <w:szCs w:val="26"/>
          <w:lang w:val="en"/>
        </w:rPr>
        <w:t>Segmentation:</w:t>
      </w:r>
      <w:r w:rsidRPr="006A3F97">
        <w:rPr>
          <w:rFonts w:asciiTheme="majorBidi" w:eastAsia="Times New Roman" w:hAnsiTheme="majorBidi" w:cstheme="majorBidi"/>
          <w:color w:val="5A3E36"/>
          <w:sz w:val="26"/>
          <w:szCs w:val="26"/>
          <w:lang w:val="en"/>
        </w:rPr>
        <w:t xml:space="preserve"> Created three dynamic groups: </w:t>
      </w:r>
    </w:p>
    <w:p w14:paraId="4CAF97B1" w14:textId="77777777" w:rsidR="00000000" w:rsidRPr="006A3F97" w:rsidRDefault="00000000">
      <w:pPr>
        <w:numPr>
          <w:ilvl w:val="1"/>
          <w:numId w:val="1"/>
        </w:numPr>
        <w:spacing w:before="100" w:beforeAutospacing="1" w:after="100" w:afterAutospacing="1"/>
        <w:divId w:val="2034112311"/>
        <w:rPr>
          <w:rFonts w:asciiTheme="majorBidi" w:eastAsia="Times New Roman" w:hAnsiTheme="majorBidi" w:cstheme="majorBidi"/>
          <w:color w:val="5A3E36"/>
          <w:sz w:val="26"/>
          <w:szCs w:val="26"/>
          <w:lang w:val="en"/>
        </w:rPr>
      </w:pPr>
      <w:r w:rsidRPr="006A3F97">
        <w:rPr>
          <w:rFonts w:asciiTheme="majorBidi" w:eastAsia="Times New Roman" w:hAnsiTheme="majorBidi" w:cstheme="majorBidi"/>
          <w:color w:val="5A3E36"/>
          <w:sz w:val="26"/>
          <w:szCs w:val="26"/>
          <w:lang w:val="en"/>
        </w:rPr>
        <w:t>“Luxury Seekers” – loyal premium buyers (34%)</w:t>
      </w:r>
    </w:p>
    <w:p w14:paraId="075B4662" w14:textId="77777777" w:rsidR="00000000" w:rsidRPr="006A3F97" w:rsidRDefault="00000000">
      <w:pPr>
        <w:numPr>
          <w:ilvl w:val="1"/>
          <w:numId w:val="1"/>
        </w:numPr>
        <w:spacing w:before="100" w:beforeAutospacing="1" w:after="100" w:afterAutospacing="1"/>
        <w:divId w:val="2034112311"/>
        <w:rPr>
          <w:rFonts w:asciiTheme="majorBidi" w:eastAsia="Times New Roman" w:hAnsiTheme="majorBidi" w:cstheme="majorBidi"/>
          <w:color w:val="5A3E36"/>
          <w:sz w:val="26"/>
          <w:szCs w:val="26"/>
          <w:lang w:val="en"/>
        </w:rPr>
      </w:pPr>
      <w:r w:rsidRPr="006A3F97">
        <w:rPr>
          <w:rFonts w:asciiTheme="majorBidi" w:eastAsia="Times New Roman" w:hAnsiTheme="majorBidi" w:cstheme="majorBidi"/>
          <w:color w:val="5A3E36"/>
          <w:sz w:val="26"/>
          <w:szCs w:val="26"/>
          <w:lang w:val="en"/>
        </w:rPr>
        <w:t>“Curious Locals” – openers but non-buyers (41%)</w:t>
      </w:r>
    </w:p>
    <w:p w14:paraId="53A7D25A" w14:textId="77777777" w:rsidR="00000000" w:rsidRPr="006A3F97" w:rsidRDefault="00000000">
      <w:pPr>
        <w:numPr>
          <w:ilvl w:val="1"/>
          <w:numId w:val="1"/>
        </w:numPr>
        <w:spacing w:before="100" w:beforeAutospacing="1" w:after="100" w:afterAutospacing="1"/>
        <w:divId w:val="2034112311"/>
        <w:rPr>
          <w:rFonts w:asciiTheme="majorBidi" w:eastAsia="Times New Roman" w:hAnsiTheme="majorBidi" w:cstheme="majorBidi"/>
          <w:color w:val="5A3E36"/>
          <w:sz w:val="26"/>
          <w:szCs w:val="26"/>
          <w:lang w:val="en"/>
        </w:rPr>
      </w:pPr>
      <w:r w:rsidRPr="006A3F97">
        <w:rPr>
          <w:rFonts w:asciiTheme="majorBidi" w:eastAsia="Times New Roman" w:hAnsiTheme="majorBidi" w:cstheme="majorBidi"/>
          <w:color w:val="5A3E36"/>
          <w:sz w:val="26"/>
          <w:szCs w:val="26"/>
          <w:lang w:val="en"/>
        </w:rPr>
        <w:t>“Dormant Subscribers” – inactive for &gt;90 days (25%)</w:t>
      </w:r>
    </w:p>
    <w:p w14:paraId="683D9BBD" w14:textId="77777777" w:rsidR="00000000" w:rsidRDefault="00000000">
      <w:pPr>
        <w:pStyle w:val="NormalWeb"/>
        <w:divId w:val="2034112311"/>
        <w:rPr>
          <w:rFonts w:asciiTheme="majorBidi" w:hAnsiTheme="majorBidi" w:cstheme="majorBidi"/>
          <w:color w:val="5A3E36"/>
          <w:sz w:val="26"/>
          <w:szCs w:val="26"/>
          <w:lang w:val="en"/>
        </w:rPr>
      </w:pPr>
      <w:r w:rsidRPr="006A3F97">
        <w:rPr>
          <w:rFonts w:asciiTheme="majorBidi" w:hAnsiTheme="majorBidi" w:cstheme="majorBidi"/>
          <w:color w:val="5A3E36"/>
          <w:sz w:val="26"/>
          <w:szCs w:val="26"/>
          <w:lang w:val="en"/>
        </w:rPr>
        <w:t xml:space="preserve">These insights directly shaped both the structure and tone of the 9-email sequence, allowing each message to target a specific behavioral intent rather than a generic announcement flow. </w:t>
      </w:r>
    </w:p>
    <w:p w14:paraId="70D5191A" w14:textId="77777777" w:rsidR="006A3F97" w:rsidRDefault="006A3F97">
      <w:pPr>
        <w:pStyle w:val="NormalWeb"/>
        <w:pBdr>
          <w:bottom w:val="single" w:sz="6" w:space="1" w:color="auto"/>
        </w:pBdr>
        <w:divId w:val="2034112311"/>
        <w:rPr>
          <w:rFonts w:asciiTheme="majorBidi" w:hAnsiTheme="majorBidi" w:cstheme="majorBidi"/>
          <w:color w:val="5A3E36"/>
          <w:sz w:val="26"/>
          <w:szCs w:val="26"/>
          <w:lang w:val="en"/>
        </w:rPr>
      </w:pPr>
    </w:p>
    <w:p w14:paraId="7A3B147B" w14:textId="77777777" w:rsidR="006A3F97" w:rsidRPr="006A3F97" w:rsidRDefault="006A3F97">
      <w:pPr>
        <w:pStyle w:val="NormalWeb"/>
        <w:divId w:val="2034112311"/>
        <w:rPr>
          <w:rFonts w:asciiTheme="majorBidi" w:hAnsiTheme="majorBidi" w:cstheme="majorBidi"/>
          <w:color w:val="5A3E36"/>
          <w:sz w:val="26"/>
          <w:szCs w:val="26"/>
          <w:lang w:val="en"/>
        </w:rPr>
      </w:pPr>
    </w:p>
    <w:p w14:paraId="22F1D62E" w14:textId="77777777" w:rsidR="006A3F97" w:rsidRDefault="006A3F97">
      <w:pPr>
        <w:pStyle w:val="Heading2"/>
        <w:divId w:val="2034112311"/>
        <w:rPr>
          <w:rFonts w:asciiTheme="majorBidi" w:eastAsia="Times New Roman" w:hAnsiTheme="majorBidi" w:cstheme="majorBidi"/>
          <w:sz w:val="26"/>
          <w:szCs w:val="26"/>
          <w:lang w:val="en"/>
        </w:rPr>
      </w:pPr>
    </w:p>
    <w:p w14:paraId="1E8C81B8" w14:textId="478DB8A8" w:rsidR="00000000" w:rsidRPr="006A3F97" w:rsidRDefault="00000000">
      <w:pPr>
        <w:pStyle w:val="Heading2"/>
        <w:divId w:val="2034112311"/>
        <w:rPr>
          <w:rFonts w:asciiTheme="majorBidi" w:eastAsia="Times New Roman" w:hAnsiTheme="majorBidi" w:cstheme="majorBidi"/>
          <w:sz w:val="26"/>
          <w:szCs w:val="26"/>
          <w:lang w:val="en"/>
        </w:rPr>
      </w:pPr>
      <w:r w:rsidRPr="006A3F97">
        <w:rPr>
          <w:rFonts w:asciiTheme="majorBidi" w:eastAsia="Times New Roman" w:hAnsiTheme="majorBidi" w:cstheme="majorBidi"/>
          <w:sz w:val="26"/>
          <w:szCs w:val="26"/>
          <w:lang w:val="en"/>
        </w:rPr>
        <w:lastRenderedPageBreak/>
        <w:t>Strategic Reformulation &amp; New SMART Framework</w:t>
      </w:r>
    </w:p>
    <w:p w14:paraId="0F594471" w14:textId="77777777" w:rsidR="00000000" w:rsidRPr="006A3F97" w:rsidRDefault="00000000">
      <w:pPr>
        <w:pStyle w:val="NormalWeb"/>
        <w:divId w:val="2034112311"/>
        <w:rPr>
          <w:rFonts w:asciiTheme="majorBidi" w:hAnsiTheme="majorBidi" w:cstheme="majorBidi"/>
          <w:color w:val="5A3E36"/>
          <w:sz w:val="26"/>
          <w:szCs w:val="26"/>
          <w:lang w:val="en"/>
        </w:rPr>
      </w:pPr>
      <w:r w:rsidRPr="006A3F97">
        <w:rPr>
          <w:rFonts w:asciiTheme="majorBidi" w:hAnsiTheme="majorBidi" w:cstheme="majorBidi"/>
          <w:color w:val="5A3E36"/>
          <w:sz w:val="26"/>
          <w:szCs w:val="26"/>
          <w:lang w:val="en"/>
        </w:rPr>
        <w:t xml:space="preserve">The original client brief emphasized awareness but neglected mid-funnel nurturing. I restructured the campaign under a </w:t>
      </w:r>
      <w:r w:rsidRPr="006A3F97">
        <w:rPr>
          <w:rStyle w:val="Strong"/>
          <w:rFonts w:asciiTheme="majorBidi" w:hAnsiTheme="majorBidi" w:cstheme="majorBidi"/>
          <w:color w:val="5A3E36"/>
          <w:sz w:val="26"/>
          <w:szCs w:val="26"/>
          <w:lang w:val="en"/>
        </w:rPr>
        <w:t>funnel-driven SMART framework</w:t>
      </w:r>
      <w:r w:rsidRPr="006A3F97">
        <w:rPr>
          <w:rFonts w:asciiTheme="majorBidi" w:hAnsiTheme="majorBidi" w:cstheme="majorBidi"/>
          <w:color w:val="5A3E36"/>
          <w:sz w:val="26"/>
          <w:szCs w:val="26"/>
          <w:lang w:val="en"/>
        </w:rPr>
        <w:t xml:space="preserve">: </w:t>
      </w:r>
    </w:p>
    <w:tbl>
      <w:tblPr>
        <w:tblW w:w="5000" w:type="pct"/>
        <w:shd w:val="clear" w:color="auto" w:fill="FFFAF3"/>
        <w:tblCellMar>
          <w:top w:w="15" w:type="dxa"/>
          <w:left w:w="15" w:type="dxa"/>
          <w:bottom w:w="15" w:type="dxa"/>
          <w:right w:w="15" w:type="dxa"/>
        </w:tblCellMar>
        <w:tblLook w:val="04A0" w:firstRow="1" w:lastRow="0" w:firstColumn="1" w:lastColumn="0" w:noHBand="0" w:noVBand="1"/>
      </w:tblPr>
      <w:tblGrid>
        <w:gridCol w:w="1589"/>
        <w:gridCol w:w="2215"/>
        <w:gridCol w:w="2983"/>
        <w:gridCol w:w="2557"/>
      </w:tblGrid>
      <w:tr w:rsidR="00000000" w:rsidRPr="006A3F97" w14:paraId="4B63CE9B"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6EA3594C"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Objective</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0BA5A5EF"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Target Metric</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6CDB75E6"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Revised Method</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3A46DB9C"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Result</w:t>
            </w:r>
          </w:p>
        </w:tc>
      </w:tr>
      <w:tr w:rsidR="00000000" w:rsidRPr="006A3F97" w14:paraId="65ED7CEB"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4EF9EF78"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Specific</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5649C4B"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Drive Hero Latte sign-ups via loyalty funnel</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5FCCD0F2"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Created personalized CTA tied to a reward (“Free First Latte”)</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4F78BCBD"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1,070 loyalty members acquired (7% above target)</w:t>
            </w:r>
          </w:p>
        </w:tc>
      </w:tr>
      <w:tr w:rsidR="00000000" w:rsidRPr="006A3F97" w14:paraId="3543FA86"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2DE308A"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Measurable</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00F910ED"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Achieve CTR ≥ 6%</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E0B1210"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Optimized subject line testing (A/B tested 6 variations)</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9C0D1F8"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Average CTR: 8.7%</w:t>
            </w:r>
          </w:p>
        </w:tc>
      </w:tr>
      <w:tr w:rsidR="00000000" w:rsidRPr="006A3F97" w14:paraId="36C4FA4B"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0BEEC1F2"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Achievable</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1931D88"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Maintain open rate ≥ 40%</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3E0C238"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Segmentation and emotional storytelling</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4087DA0D"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Average Open Rate: 52%</w:t>
            </w:r>
          </w:p>
        </w:tc>
      </w:tr>
      <w:tr w:rsidR="00000000" w:rsidRPr="006A3F97" w14:paraId="33CB5A86"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DC2D35B"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Relevant</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7633282A"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Align with luxury brand identity</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398D8DB"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Used high-end design templates and “gold hour” visuals</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9C41E4E"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Consistent engagement among premium users</w:t>
            </w:r>
          </w:p>
        </w:tc>
      </w:tr>
      <w:tr w:rsidR="00000000" w:rsidRPr="006A3F97" w14:paraId="273852B5"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1B5C8566"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lastRenderedPageBreak/>
              <w:t>Time-bound</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47764ECE"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Complete sequence in 30 days</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0BA09E2"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Automated delivery workflow (1 email every 3 days)</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1C19DCCD"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All 9 emails delivered in 27 days</w:t>
            </w:r>
          </w:p>
        </w:tc>
      </w:tr>
    </w:tbl>
    <w:p w14:paraId="02C031A7" w14:textId="77777777" w:rsidR="006A3F97" w:rsidRDefault="006A3F97">
      <w:pPr>
        <w:pStyle w:val="Heading2"/>
        <w:pBdr>
          <w:bottom w:val="single" w:sz="6" w:space="1" w:color="auto"/>
        </w:pBdr>
        <w:divId w:val="2034112311"/>
        <w:rPr>
          <w:rFonts w:asciiTheme="majorBidi" w:eastAsia="Times New Roman" w:hAnsiTheme="majorBidi" w:cstheme="majorBidi"/>
          <w:sz w:val="26"/>
          <w:szCs w:val="26"/>
          <w:lang w:val="en"/>
        </w:rPr>
      </w:pPr>
    </w:p>
    <w:p w14:paraId="36C9A001" w14:textId="223D7670" w:rsidR="00000000" w:rsidRPr="006A3F97" w:rsidRDefault="00000000">
      <w:pPr>
        <w:pStyle w:val="Heading2"/>
        <w:divId w:val="2034112311"/>
        <w:rPr>
          <w:rFonts w:asciiTheme="majorBidi" w:eastAsia="Times New Roman" w:hAnsiTheme="majorBidi" w:cstheme="majorBidi"/>
          <w:sz w:val="26"/>
          <w:szCs w:val="26"/>
          <w:lang w:val="en"/>
        </w:rPr>
      </w:pPr>
      <w:r w:rsidRPr="006A3F97">
        <w:rPr>
          <w:rFonts w:asciiTheme="majorBidi" w:eastAsia="Times New Roman" w:hAnsiTheme="majorBidi" w:cstheme="majorBidi"/>
          <w:sz w:val="26"/>
          <w:szCs w:val="26"/>
          <w:lang w:val="en"/>
        </w:rPr>
        <w:t>Email Sequence Data &amp; Insights</w:t>
      </w:r>
    </w:p>
    <w:p w14:paraId="700C0D51" w14:textId="77777777" w:rsidR="00000000" w:rsidRPr="006A3F97" w:rsidRDefault="00000000">
      <w:pPr>
        <w:pStyle w:val="NormalWeb"/>
        <w:divId w:val="2034112311"/>
        <w:rPr>
          <w:rFonts w:asciiTheme="majorBidi" w:hAnsiTheme="majorBidi" w:cstheme="majorBidi"/>
          <w:color w:val="5A3E36"/>
          <w:sz w:val="26"/>
          <w:szCs w:val="26"/>
          <w:lang w:val="en"/>
        </w:rPr>
      </w:pPr>
      <w:r w:rsidRPr="006A3F97">
        <w:rPr>
          <w:rFonts w:asciiTheme="majorBidi" w:hAnsiTheme="majorBidi" w:cstheme="majorBidi"/>
          <w:color w:val="5A3E36"/>
          <w:sz w:val="26"/>
          <w:szCs w:val="26"/>
          <w:lang w:val="en"/>
        </w:rPr>
        <w:t xml:space="preserve">Each email in the sequence was designed to fulfill a precise emotional and commercial function. The narrative moved from curiosity to belonging, supported by psychological triggers such as exclusivity, reciprocity, and scarcity. </w:t>
      </w:r>
    </w:p>
    <w:tbl>
      <w:tblPr>
        <w:tblW w:w="5000" w:type="pct"/>
        <w:shd w:val="clear" w:color="auto" w:fill="FFFAF3"/>
        <w:tblCellMar>
          <w:top w:w="15" w:type="dxa"/>
          <w:left w:w="15" w:type="dxa"/>
          <w:bottom w:w="15" w:type="dxa"/>
          <w:right w:w="15" w:type="dxa"/>
        </w:tblCellMar>
        <w:tblLook w:val="04A0" w:firstRow="1" w:lastRow="0" w:firstColumn="1" w:lastColumn="0" w:noHBand="0" w:noVBand="1"/>
      </w:tblPr>
      <w:tblGrid>
        <w:gridCol w:w="1892"/>
        <w:gridCol w:w="1903"/>
        <w:gridCol w:w="1050"/>
        <w:gridCol w:w="1032"/>
        <w:gridCol w:w="3467"/>
      </w:tblGrid>
      <w:tr w:rsidR="00000000" w:rsidRPr="006A3F97" w14:paraId="0704F524"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1967DD28"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Email #</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409BFD68"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Purpose</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3B554943"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Open Rate</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51E857F2"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CTR</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5982B920"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Optimization Notes</w:t>
            </w:r>
          </w:p>
        </w:tc>
      </w:tr>
      <w:tr w:rsidR="00000000" w:rsidRPr="006A3F97" w14:paraId="497E24B9"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43D2ADC"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1. Teaser Launch</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19A23063"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Curiosity &amp; brand tease</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7E27001B"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43%</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93C0A37"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6.4%</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4F60A3F1"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 xml:space="preserve">Used mystery subject line “Something New Is Brewing </w:t>
            </w:r>
            <w:r w:rsidRPr="006A3F97">
              <w:rPr>
                <w:rFonts w:ascii="Segoe UI Emoji" w:eastAsia="Times New Roman" w:hAnsi="Segoe UI Emoji" w:cs="Segoe UI Emoji"/>
                <w:color w:val="5A3E36"/>
                <w:sz w:val="26"/>
                <w:szCs w:val="26"/>
              </w:rPr>
              <w:t>☕</w:t>
            </w:r>
            <w:r w:rsidRPr="006A3F97">
              <w:rPr>
                <w:rFonts w:eastAsia="Times New Roman"/>
                <w:color w:val="5A3E36"/>
                <w:sz w:val="26"/>
                <w:szCs w:val="26"/>
              </w:rPr>
              <w:t>”</w:t>
            </w:r>
            <w:r w:rsidRPr="006A3F97">
              <w:rPr>
                <w:rFonts w:asciiTheme="majorBidi" w:eastAsia="Times New Roman" w:hAnsiTheme="majorBidi" w:cstheme="majorBidi"/>
                <w:color w:val="5A3E36"/>
                <w:sz w:val="26"/>
                <w:szCs w:val="26"/>
              </w:rPr>
              <w:t xml:space="preserve"> </w:t>
            </w:r>
            <w:r w:rsidRPr="006A3F97">
              <w:rPr>
                <w:rFonts w:eastAsia="Times New Roman"/>
                <w:color w:val="5A3E36"/>
                <w:sz w:val="26"/>
                <w:szCs w:val="26"/>
              </w:rPr>
              <w:t>—</w:t>
            </w:r>
            <w:r w:rsidRPr="006A3F97">
              <w:rPr>
                <w:rFonts w:asciiTheme="majorBidi" w:eastAsia="Times New Roman" w:hAnsiTheme="majorBidi" w:cstheme="majorBidi"/>
                <w:color w:val="5A3E36"/>
                <w:sz w:val="26"/>
                <w:szCs w:val="26"/>
              </w:rPr>
              <w:t xml:space="preserve"> short and emotive.</w:t>
            </w:r>
          </w:p>
        </w:tc>
      </w:tr>
      <w:tr w:rsidR="00000000" w:rsidRPr="006A3F97" w14:paraId="2355FC2A"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0753B4B0"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2. Grand Launch</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147717F"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Drive awareness &amp; first visits</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1CD9D966"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51%</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C75E3BC"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8.1%</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01AEA0A8"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Timing tested — highest open at 8:30AM send slot (A/B test).</w:t>
            </w:r>
          </w:p>
        </w:tc>
      </w:tr>
      <w:tr w:rsidR="00000000" w:rsidRPr="006A3F97" w14:paraId="6ED0CA6E"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4B79467"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lastRenderedPageBreak/>
              <w:t>3. VIP Invitation</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01C5064B"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Reward loyal members</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7E8F1AAC"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58%</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52FF37DD"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9.5%</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40F021D"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Leveraged exclusivity tone: “You’re on the list.”</w:t>
            </w:r>
          </w:p>
        </w:tc>
      </w:tr>
      <w:tr w:rsidR="00000000" w:rsidRPr="006A3F97" w14:paraId="4710EF05"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5AF2CB21"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4. Hero Product Showcase</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F67A3DB"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Deepen emotional connection</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605CD7E"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49%</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17A938D0"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7.8%</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51F53577"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Included behind-the-scenes video link; mobile clickers 72% of total CTR.</w:t>
            </w:r>
          </w:p>
        </w:tc>
      </w:tr>
      <w:tr w:rsidR="00000000" w:rsidRPr="006A3F97" w14:paraId="3912A7C9"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FAE7605"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5. Loyalty Program</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12F28A8A"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Increase retention</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7DB9992F"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56%</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5436A419"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10.2%</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4F422F05"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 xml:space="preserve">Highest conversion. “Earn Rewards Instantly </w:t>
            </w:r>
            <w:r w:rsidRPr="006A3F97">
              <w:rPr>
                <w:rFonts w:ascii="Segoe UI Emoji" w:eastAsia="Times New Roman" w:hAnsi="Segoe UI Emoji" w:cs="Segoe UI Emoji"/>
                <w:color w:val="5A3E36"/>
                <w:sz w:val="26"/>
                <w:szCs w:val="26"/>
              </w:rPr>
              <w:t>💎</w:t>
            </w:r>
            <w:r w:rsidRPr="006A3F97">
              <w:rPr>
                <w:rFonts w:asciiTheme="majorBidi" w:eastAsia="Times New Roman" w:hAnsiTheme="majorBidi" w:cstheme="majorBidi"/>
                <w:color w:val="5A3E36"/>
                <w:sz w:val="26"/>
                <w:szCs w:val="26"/>
              </w:rPr>
              <w:t>” performed 2.3× better than control subject.</w:t>
            </w:r>
          </w:p>
        </w:tc>
      </w:tr>
      <w:tr w:rsidR="00000000" w:rsidRPr="006A3F97" w14:paraId="3DF19A9D"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1BBBA31D"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6. Mid-Campaign Reminder</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086D41E4"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Re-engage mid-funnel users</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2857DB3"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39%</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6342CDF"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5.7%</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0AAA2F9F"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Shortened body copy by 23% for higher mobile readability.</w:t>
            </w:r>
          </w:p>
        </w:tc>
      </w:tr>
      <w:tr w:rsidR="00000000" w:rsidRPr="006A3F97" w14:paraId="316E0962"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78C5472F"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7. Last Chance Offer</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4348C139"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Urgency conversion</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592977F4"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64%</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6EBBA16"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12.5%</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C4EADCB"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Used countdown GIF; achieved peak sales day of campaign.</w:t>
            </w:r>
          </w:p>
        </w:tc>
      </w:tr>
      <w:tr w:rsidR="00000000" w:rsidRPr="006A3F97" w14:paraId="546B792F"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56AB6C3"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8. Thank You Recap</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49F23F97"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Brand appreciation</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D7E5B25"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60%</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37B8BBC"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7.2%</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55AC7759"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Highest engagement among repeat visitors.</w:t>
            </w:r>
          </w:p>
        </w:tc>
      </w:tr>
      <w:tr w:rsidR="00000000" w:rsidRPr="006A3F97" w14:paraId="57689C6D"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A14D079"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lastRenderedPageBreak/>
              <w:t>9. Re-Engagement</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4B8E87F9"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Win-back segment</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6034961"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47%</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722D39F"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6.8%</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4E1D5C3E"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20% off code “COMEHOME20” — regained 240 dormant users.</w:t>
            </w:r>
          </w:p>
        </w:tc>
      </w:tr>
    </w:tbl>
    <w:p w14:paraId="38C5472C" w14:textId="0BDC6B50" w:rsidR="006A3F97" w:rsidRDefault="006A3F97">
      <w:pPr>
        <w:pStyle w:val="Heading2"/>
        <w:pBdr>
          <w:bottom w:val="single" w:sz="6" w:space="1" w:color="auto"/>
        </w:pBdr>
        <w:divId w:val="2034112311"/>
        <w:rPr>
          <w:rFonts w:asciiTheme="majorBidi" w:eastAsia="Times New Roman" w:hAnsiTheme="majorBidi" w:cstheme="majorBidi"/>
          <w:sz w:val="26"/>
          <w:szCs w:val="26"/>
          <w:lang w:val="en"/>
        </w:rPr>
      </w:pPr>
    </w:p>
    <w:p w14:paraId="6345DCA2" w14:textId="6D999A67" w:rsidR="00000000" w:rsidRPr="006A3F97" w:rsidRDefault="00000000">
      <w:pPr>
        <w:pStyle w:val="Heading2"/>
        <w:divId w:val="2034112311"/>
        <w:rPr>
          <w:rFonts w:asciiTheme="majorBidi" w:eastAsia="Times New Roman" w:hAnsiTheme="majorBidi" w:cstheme="majorBidi"/>
          <w:sz w:val="26"/>
          <w:szCs w:val="26"/>
          <w:lang w:val="en"/>
        </w:rPr>
      </w:pPr>
      <w:r w:rsidRPr="006A3F97">
        <w:rPr>
          <w:rFonts w:asciiTheme="majorBidi" w:eastAsia="Times New Roman" w:hAnsiTheme="majorBidi" w:cstheme="majorBidi"/>
          <w:sz w:val="26"/>
          <w:szCs w:val="26"/>
          <w:lang w:val="en"/>
        </w:rPr>
        <w:t>Results vs. Industry Benchmarks</w:t>
      </w:r>
    </w:p>
    <w:p w14:paraId="0A2E274B" w14:textId="77777777" w:rsidR="00000000" w:rsidRPr="006A3F97" w:rsidRDefault="00000000">
      <w:pPr>
        <w:pStyle w:val="NormalWeb"/>
        <w:divId w:val="2034112311"/>
        <w:rPr>
          <w:rFonts w:asciiTheme="majorBidi" w:hAnsiTheme="majorBidi" w:cstheme="majorBidi"/>
          <w:color w:val="5A3E36"/>
          <w:sz w:val="26"/>
          <w:szCs w:val="26"/>
          <w:lang w:val="en"/>
        </w:rPr>
      </w:pPr>
      <w:r w:rsidRPr="006A3F97">
        <w:rPr>
          <w:rFonts w:asciiTheme="majorBidi" w:hAnsiTheme="majorBidi" w:cstheme="majorBidi"/>
          <w:color w:val="5A3E36"/>
          <w:sz w:val="26"/>
          <w:szCs w:val="26"/>
          <w:lang w:val="en"/>
        </w:rPr>
        <w:t xml:space="preserve">Compared to the regional F&amp;B benchmark (Open Rate: 32%, CTR: 3.5%), Haksoss Café’s campaign outperformed across all key metrics: </w:t>
      </w:r>
    </w:p>
    <w:tbl>
      <w:tblPr>
        <w:tblW w:w="5000" w:type="pct"/>
        <w:shd w:val="clear" w:color="auto" w:fill="FFFAF3"/>
        <w:tblCellMar>
          <w:top w:w="15" w:type="dxa"/>
          <w:left w:w="15" w:type="dxa"/>
          <w:bottom w:w="15" w:type="dxa"/>
          <w:right w:w="15" w:type="dxa"/>
        </w:tblCellMar>
        <w:tblLook w:val="04A0" w:firstRow="1" w:lastRow="0" w:firstColumn="1" w:lastColumn="0" w:noHBand="0" w:noVBand="1"/>
      </w:tblPr>
      <w:tblGrid>
        <w:gridCol w:w="2876"/>
        <w:gridCol w:w="2324"/>
        <w:gridCol w:w="2773"/>
        <w:gridCol w:w="1371"/>
      </w:tblGrid>
      <w:tr w:rsidR="00000000" w:rsidRPr="006A3F97" w14:paraId="126C78A8"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27A62610"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Metric</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2C0F0809"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Haksoss Campaign</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57B3FB0A"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Egypt F&amp;B Benchmark</w:t>
            </w:r>
          </w:p>
        </w:tc>
        <w:tc>
          <w:tcPr>
            <w:tcW w:w="0" w:type="auto"/>
            <w:tcBorders>
              <w:top w:val="single" w:sz="6" w:space="0" w:color="D9C6B0"/>
              <w:left w:val="single" w:sz="6" w:space="0" w:color="D9C6B0"/>
              <w:bottom w:val="single" w:sz="6" w:space="0" w:color="D9C6B0"/>
              <w:right w:val="single" w:sz="6" w:space="0" w:color="D9C6B0"/>
            </w:tcBorders>
            <w:shd w:val="clear" w:color="auto" w:fill="E8D9C7"/>
            <w:tcMar>
              <w:top w:w="150" w:type="dxa"/>
              <w:left w:w="180" w:type="dxa"/>
              <w:bottom w:w="150" w:type="dxa"/>
              <w:right w:w="180" w:type="dxa"/>
            </w:tcMar>
            <w:vAlign w:val="center"/>
            <w:hideMark/>
          </w:tcPr>
          <w:p w14:paraId="2EB28A32" w14:textId="77777777" w:rsidR="00000000" w:rsidRPr="006A3F97" w:rsidRDefault="00000000">
            <w:pPr>
              <w:spacing w:before="375" w:after="375"/>
              <w:rPr>
                <w:rFonts w:asciiTheme="majorBidi" w:eastAsia="Times New Roman" w:hAnsiTheme="majorBidi" w:cstheme="majorBidi"/>
                <w:b/>
                <w:bCs/>
                <w:color w:val="5A3E36"/>
                <w:sz w:val="26"/>
                <w:szCs w:val="26"/>
              </w:rPr>
            </w:pPr>
            <w:r w:rsidRPr="006A3F97">
              <w:rPr>
                <w:rFonts w:asciiTheme="majorBidi" w:eastAsia="Times New Roman" w:hAnsiTheme="majorBidi" w:cstheme="majorBidi"/>
                <w:b/>
                <w:bCs/>
                <w:color w:val="5A3E36"/>
                <w:sz w:val="26"/>
                <w:szCs w:val="26"/>
              </w:rPr>
              <w:t>Variance</w:t>
            </w:r>
          </w:p>
        </w:tc>
      </w:tr>
      <w:tr w:rsidR="00000000" w:rsidRPr="006A3F97" w14:paraId="2BDEEF9E"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665D8C5C"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Average Open Rate</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DDEA2A1"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52%</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5111C1F8"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32%</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14B2BE0"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+20%</w:t>
            </w:r>
          </w:p>
        </w:tc>
      </w:tr>
      <w:tr w:rsidR="00000000" w:rsidRPr="006A3F97" w14:paraId="48EC0623"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29B3F91"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Average CTR</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8E255DF"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8.7%</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5E052EB1"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3.5%</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07DD1E9C"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+5.2%</w:t>
            </w:r>
          </w:p>
        </w:tc>
      </w:tr>
      <w:tr w:rsidR="00000000" w:rsidRPr="006A3F97" w14:paraId="17444338"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1B440C9"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Conversion Rate (Loyalty)</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1B263138"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6.2%</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33AEEC9"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3.1%</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6E76CC3"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+3.1%</w:t>
            </w:r>
          </w:p>
        </w:tc>
      </w:tr>
      <w:tr w:rsidR="00000000" w:rsidRPr="006A3F97" w14:paraId="74869767" w14:textId="77777777">
        <w:trPr>
          <w:divId w:val="2034112311"/>
        </w:trPr>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0D36EAC"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lastRenderedPageBreak/>
              <w:t>List Growth</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A498038"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+14.8%</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30C8C5FA"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+5%</w:t>
            </w:r>
          </w:p>
        </w:tc>
        <w:tc>
          <w:tcPr>
            <w:tcW w:w="0" w:type="auto"/>
            <w:tcBorders>
              <w:top w:val="single" w:sz="6" w:space="0" w:color="D9C6B0"/>
              <w:left w:val="single" w:sz="6" w:space="0" w:color="D9C6B0"/>
              <w:bottom w:val="single" w:sz="6" w:space="0" w:color="D9C6B0"/>
              <w:right w:val="single" w:sz="6" w:space="0" w:color="D9C6B0"/>
            </w:tcBorders>
            <w:shd w:val="clear" w:color="auto" w:fill="FFFAF3"/>
            <w:tcMar>
              <w:top w:w="150" w:type="dxa"/>
              <w:left w:w="180" w:type="dxa"/>
              <w:bottom w:w="150" w:type="dxa"/>
              <w:right w:w="180" w:type="dxa"/>
            </w:tcMar>
            <w:vAlign w:val="center"/>
            <w:hideMark/>
          </w:tcPr>
          <w:p w14:paraId="215FD54C" w14:textId="77777777" w:rsidR="00000000" w:rsidRPr="006A3F97" w:rsidRDefault="00000000">
            <w:pPr>
              <w:spacing w:before="375" w:after="375"/>
              <w:rPr>
                <w:rFonts w:asciiTheme="majorBidi" w:eastAsia="Times New Roman" w:hAnsiTheme="majorBidi" w:cstheme="majorBidi"/>
                <w:color w:val="5A3E36"/>
                <w:sz w:val="26"/>
                <w:szCs w:val="26"/>
              </w:rPr>
            </w:pPr>
            <w:r w:rsidRPr="006A3F97">
              <w:rPr>
                <w:rFonts w:asciiTheme="majorBidi" w:eastAsia="Times New Roman" w:hAnsiTheme="majorBidi" w:cstheme="majorBidi"/>
                <w:color w:val="5A3E36"/>
                <w:sz w:val="26"/>
                <w:szCs w:val="26"/>
              </w:rPr>
              <w:t>+9.8%</w:t>
            </w:r>
          </w:p>
        </w:tc>
      </w:tr>
    </w:tbl>
    <w:p w14:paraId="7CAA59EA" w14:textId="203C11B2" w:rsidR="006A3F97" w:rsidRDefault="006A3F97">
      <w:pPr>
        <w:pStyle w:val="Heading2"/>
        <w:pBdr>
          <w:bottom w:val="single" w:sz="6" w:space="1" w:color="auto"/>
        </w:pBdr>
        <w:divId w:val="2034112311"/>
        <w:rPr>
          <w:rFonts w:asciiTheme="majorBidi" w:eastAsia="Times New Roman" w:hAnsiTheme="majorBidi" w:cstheme="majorBidi"/>
          <w:sz w:val="26"/>
          <w:szCs w:val="26"/>
          <w:lang w:val="en"/>
        </w:rPr>
      </w:pPr>
    </w:p>
    <w:p w14:paraId="6A6B3F9B" w14:textId="220D8B6B" w:rsidR="00000000" w:rsidRPr="006A3F97" w:rsidRDefault="00000000">
      <w:pPr>
        <w:pStyle w:val="Heading2"/>
        <w:divId w:val="2034112311"/>
        <w:rPr>
          <w:rFonts w:asciiTheme="majorBidi" w:eastAsia="Times New Roman" w:hAnsiTheme="majorBidi" w:cstheme="majorBidi"/>
          <w:sz w:val="26"/>
          <w:szCs w:val="26"/>
          <w:lang w:val="en"/>
        </w:rPr>
      </w:pPr>
      <w:r w:rsidRPr="006A3F97">
        <w:rPr>
          <w:rFonts w:asciiTheme="majorBidi" w:eastAsia="Times New Roman" w:hAnsiTheme="majorBidi" w:cstheme="majorBidi"/>
          <w:sz w:val="26"/>
          <w:szCs w:val="26"/>
          <w:lang w:val="en"/>
        </w:rPr>
        <w:t>Outcome &amp; Strategic Reflection</w:t>
      </w:r>
    </w:p>
    <w:p w14:paraId="2F73FA72" w14:textId="77777777" w:rsidR="00495EBF" w:rsidRPr="006A3F97" w:rsidRDefault="00000000">
      <w:pPr>
        <w:pStyle w:val="highlight"/>
        <w:spacing w:after="240" w:afterAutospacing="0"/>
        <w:divId w:val="2034112311"/>
        <w:rPr>
          <w:rFonts w:asciiTheme="majorBidi" w:hAnsiTheme="majorBidi" w:cstheme="majorBidi"/>
          <w:color w:val="5A3E36"/>
          <w:sz w:val="26"/>
          <w:szCs w:val="26"/>
          <w:lang w:val="en"/>
        </w:rPr>
      </w:pPr>
      <w:r w:rsidRPr="006A3F97">
        <w:rPr>
          <w:rFonts w:asciiTheme="majorBidi" w:hAnsiTheme="majorBidi" w:cstheme="majorBidi"/>
          <w:color w:val="5A3E36"/>
          <w:sz w:val="26"/>
          <w:szCs w:val="26"/>
          <w:lang w:val="en"/>
        </w:rPr>
        <w:t xml:space="preserve">This email sequence not only achieved the campaign’s revenue KPIs but also redefined how Haksoss Café communicates luxury through digital channels. By grounding creative storytelling in validated behavioral data and iterative testing, the campaign produced </w:t>
      </w:r>
      <w:r w:rsidRPr="006A3F97">
        <w:rPr>
          <w:rStyle w:val="Strong"/>
          <w:rFonts w:asciiTheme="majorBidi" w:hAnsiTheme="majorBidi" w:cstheme="majorBidi"/>
          <w:color w:val="5A3E36"/>
          <w:sz w:val="26"/>
          <w:szCs w:val="26"/>
          <w:lang w:val="en"/>
        </w:rPr>
        <w:t>over 1,800 in-store visits</w:t>
      </w:r>
      <w:r w:rsidRPr="006A3F97">
        <w:rPr>
          <w:rFonts w:asciiTheme="majorBidi" w:hAnsiTheme="majorBidi" w:cstheme="majorBidi"/>
          <w:color w:val="5A3E36"/>
          <w:sz w:val="26"/>
          <w:szCs w:val="26"/>
          <w:lang w:val="en"/>
        </w:rPr>
        <w:t xml:space="preserve">, </w:t>
      </w:r>
      <w:r w:rsidRPr="006A3F97">
        <w:rPr>
          <w:rStyle w:val="Strong"/>
          <w:rFonts w:asciiTheme="majorBidi" w:hAnsiTheme="majorBidi" w:cstheme="majorBidi"/>
          <w:color w:val="5A3E36"/>
          <w:sz w:val="26"/>
          <w:szCs w:val="26"/>
          <w:lang w:val="en"/>
        </w:rPr>
        <w:t>1,070 loyalty sign-ups</w:t>
      </w:r>
      <w:r w:rsidRPr="006A3F97">
        <w:rPr>
          <w:rFonts w:asciiTheme="majorBidi" w:hAnsiTheme="majorBidi" w:cstheme="majorBidi"/>
          <w:color w:val="5A3E36"/>
          <w:sz w:val="26"/>
          <w:szCs w:val="26"/>
          <w:lang w:val="en"/>
        </w:rPr>
        <w:t xml:space="preserve">, and an overall </w:t>
      </w:r>
      <w:r w:rsidRPr="006A3F97">
        <w:rPr>
          <w:rStyle w:val="Strong"/>
          <w:rFonts w:asciiTheme="majorBidi" w:hAnsiTheme="majorBidi" w:cstheme="majorBidi"/>
          <w:color w:val="5A3E36"/>
          <w:sz w:val="26"/>
          <w:szCs w:val="26"/>
          <w:lang w:val="en"/>
        </w:rPr>
        <w:t>ROI of 411%</w:t>
      </w:r>
      <w:r w:rsidRPr="006A3F97">
        <w:rPr>
          <w:rFonts w:asciiTheme="majorBidi" w:hAnsiTheme="majorBidi" w:cstheme="majorBidi"/>
          <w:color w:val="5A3E36"/>
          <w:sz w:val="26"/>
          <w:szCs w:val="26"/>
          <w:lang w:val="en"/>
        </w:rPr>
        <w:t xml:space="preserve"> within 30 days. </w:t>
      </w:r>
      <w:r w:rsidRPr="006A3F97">
        <w:rPr>
          <w:rFonts w:asciiTheme="majorBidi" w:hAnsiTheme="majorBidi" w:cstheme="majorBidi"/>
          <w:color w:val="5A3E36"/>
          <w:sz w:val="26"/>
          <w:szCs w:val="26"/>
          <w:lang w:val="en"/>
        </w:rPr>
        <w:br/>
      </w:r>
      <w:r w:rsidRPr="006A3F97">
        <w:rPr>
          <w:rFonts w:asciiTheme="majorBidi" w:hAnsiTheme="majorBidi" w:cstheme="majorBidi"/>
          <w:color w:val="5A3E36"/>
          <w:sz w:val="26"/>
          <w:szCs w:val="26"/>
          <w:lang w:val="en"/>
        </w:rPr>
        <w:br/>
        <w:t xml:space="preserve">From a freelancer’s perspective, this project became a case study in precision lifecycle marketing — blending data science, psychology, and design craft into a unified, revenue-proven experience. </w:t>
      </w:r>
    </w:p>
    <w:sectPr w:rsidR="00495EBF" w:rsidRPr="006A3F97" w:rsidSect="006A3F9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56491"/>
    <w:multiLevelType w:val="multilevel"/>
    <w:tmpl w:val="EED88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73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A3F97"/>
    <w:rsid w:val="00446AD2"/>
    <w:rsid w:val="00495EBF"/>
    <w:rsid w:val="006A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662F5"/>
  <w15:chartTrackingRefBased/>
  <w15:docId w15:val="{F34DD832-DDD4-48A8-B2B2-D55C021E3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300"/>
      <w:jc w:val="center"/>
      <w:outlineLvl w:val="0"/>
    </w:pPr>
    <w:rPr>
      <w:b/>
      <w:bCs/>
      <w:kern w:val="36"/>
      <w:sz w:val="48"/>
      <w:szCs w:val="48"/>
    </w:rPr>
  </w:style>
  <w:style w:type="paragraph" w:styleId="Heading2">
    <w:name w:val="heading 2"/>
    <w:basedOn w:val="Normal"/>
    <w:link w:val="Heading2Char"/>
    <w:uiPriority w:val="9"/>
    <w:qFormat/>
    <w:pPr>
      <w:spacing w:before="600" w:after="100" w:afterAutospacing="1"/>
      <w:outlineLvl w:val="1"/>
    </w:pPr>
    <w:rPr>
      <w:b/>
      <w:bCs/>
      <w:color w:val="5A3E36"/>
      <w:sz w:val="39"/>
      <w:szCs w:val="39"/>
    </w:rPr>
  </w:style>
  <w:style w:type="paragraph" w:styleId="Heading3">
    <w:name w:val="heading 3"/>
    <w:basedOn w:val="Normal"/>
    <w:link w:val="Heading3Char"/>
    <w:uiPriority w:val="9"/>
    <w:qFormat/>
    <w:pPr>
      <w:spacing w:before="100" w:beforeAutospacing="1" w:after="150"/>
      <w:outlineLvl w:val="2"/>
    </w:pPr>
    <w:rPr>
      <w:b/>
      <w:bCs/>
      <w:color w:val="5A3E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msonormal0">
    <w:name w:val="msonormal"/>
    <w:basedOn w:val="Normal"/>
    <w:pPr>
      <w:spacing w:before="100" w:beforeAutospacing="1" w:after="240"/>
    </w:pPr>
    <w:rPr>
      <w:sz w:val="27"/>
      <w:szCs w:val="27"/>
    </w:rPr>
  </w:style>
  <w:style w:type="paragraph" w:styleId="NormalWeb">
    <w:name w:val="Normal (Web)"/>
    <w:basedOn w:val="Normal"/>
    <w:uiPriority w:val="99"/>
    <w:semiHidden/>
    <w:unhideWhenUsed/>
    <w:pPr>
      <w:spacing w:before="100" w:beforeAutospacing="1" w:after="240"/>
    </w:pPr>
    <w:rPr>
      <w:sz w:val="27"/>
      <w:szCs w:val="27"/>
    </w:rPr>
  </w:style>
  <w:style w:type="paragraph" w:customStyle="1" w:styleId="highlight">
    <w:name w:val="highlight"/>
    <w:basedOn w:val="Normal"/>
    <w:pPr>
      <w:shd w:val="clear" w:color="auto" w:fill="F8E8D7"/>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4112311">
      <w:bodyDiv w:val="1"/>
      <w:marLeft w:val="900"/>
      <w:marRight w:val="900"/>
      <w:marTop w:val="900"/>
      <w:marBottom w:val="9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Marketing Campaign — Professional Case Study</dc:title>
  <dc:subject/>
  <dc:creator>Moe AbdelRazek</dc:creator>
  <cp:keywords/>
  <dc:description/>
  <cp:lastModifiedBy>Moe AbdelRazek</cp:lastModifiedBy>
  <cp:revision>2</cp:revision>
  <dcterms:created xsi:type="dcterms:W3CDTF">2025-10-15T00:12:00Z</dcterms:created>
  <dcterms:modified xsi:type="dcterms:W3CDTF">2025-10-15T00:12:00Z</dcterms:modified>
</cp:coreProperties>
</file>