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5872AD" w14:textId="77777777" w:rsidR="00000000" w:rsidRPr="00C50DAE" w:rsidRDefault="00000000" w:rsidP="00C50DAE">
      <w:pPr>
        <w:pStyle w:val="Heading1"/>
        <w:jc w:val="center"/>
        <w:divId w:val="1004745465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C50DAE">
        <w:rPr>
          <w:rFonts w:asciiTheme="majorBidi" w:eastAsia="Times New Roman" w:hAnsiTheme="majorBidi" w:cstheme="majorBidi"/>
          <w:sz w:val="48"/>
          <w:szCs w:val="48"/>
          <w:lang w:val="en"/>
        </w:rPr>
        <w:t>Haksoss Café — Budget Allocation, Flighting &amp; ROI Foundation</w:t>
      </w:r>
    </w:p>
    <w:p w14:paraId="53C71DFC" w14:textId="77777777" w:rsidR="00C50DAE" w:rsidRPr="00C50DAE" w:rsidRDefault="00C50DAE">
      <w:pPr>
        <w:pStyle w:val="Heading1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5341C29" w14:textId="77777777" w:rsidR="00000000" w:rsidRPr="00C50DAE" w:rsidRDefault="00000000">
      <w:pPr>
        <w:pStyle w:val="NormalWeb"/>
        <w:divId w:val="1004745465"/>
        <w:rPr>
          <w:rFonts w:asciiTheme="majorBidi" w:hAnsiTheme="majorBidi" w:cstheme="majorBidi"/>
          <w:sz w:val="26"/>
          <w:szCs w:val="26"/>
          <w:lang w:val="en"/>
        </w:rPr>
      </w:pPr>
      <w:r w:rsidRPr="00C50DAE">
        <w:rPr>
          <w:rStyle w:val="Strong"/>
          <w:rFonts w:asciiTheme="majorBidi" w:hAnsiTheme="majorBidi" w:cstheme="majorBidi"/>
          <w:sz w:val="26"/>
          <w:szCs w:val="26"/>
          <w:lang w:val="en"/>
        </w:rPr>
        <w:t>Campaign:</w:t>
      </w:r>
      <w:r w:rsidRPr="00C50DAE">
        <w:rPr>
          <w:rFonts w:asciiTheme="majorBidi" w:hAnsiTheme="majorBidi" w:cstheme="majorBidi"/>
          <w:sz w:val="26"/>
          <w:szCs w:val="26"/>
          <w:lang w:val="en"/>
        </w:rPr>
        <w:t xml:space="preserve"> 90-day, 10-step Demand-Generation &amp; Loyalty Program Launch</w:t>
      </w:r>
      <w:r w:rsidRPr="00C50DAE">
        <w:rPr>
          <w:rFonts w:asciiTheme="majorBidi" w:hAnsiTheme="majorBidi" w:cstheme="majorBidi"/>
          <w:sz w:val="26"/>
          <w:szCs w:val="26"/>
          <w:lang w:val="en"/>
        </w:rPr>
        <w:br/>
      </w:r>
      <w:r w:rsidRPr="00C50DAE">
        <w:rPr>
          <w:rStyle w:val="Strong"/>
          <w:rFonts w:asciiTheme="majorBidi" w:hAnsiTheme="majorBidi" w:cstheme="majorBidi"/>
          <w:sz w:val="26"/>
          <w:szCs w:val="26"/>
          <w:lang w:val="en"/>
        </w:rPr>
        <w:t>Prepared for:</w:t>
      </w:r>
      <w:r w:rsidRPr="00C50DAE">
        <w:rPr>
          <w:rFonts w:asciiTheme="majorBidi" w:hAnsiTheme="majorBidi" w:cstheme="majorBidi"/>
          <w:sz w:val="26"/>
          <w:szCs w:val="26"/>
          <w:lang w:val="en"/>
        </w:rPr>
        <w:t xml:space="preserve"> Haksoss Café — Budget &amp; Financial Rationale</w:t>
      </w:r>
    </w:p>
    <w:p w14:paraId="3B29050C" w14:textId="77777777" w:rsidR="00000000" w:rsidRPr="00C50DAE" w:rsidRDefault="00000000">
      <w:pPr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pict w14:anchorId="05510ABC">
          <v:rect id="_x0000_i1025" style="width:0;height:1.5pt" o:hralign="center" o:hrstd="t" o:hr="t" fillcolor="#a0a0a0" stroked="f"/>
        </w:pict>
      </w:r>
    </w:p>
    <w:p w14:paraId="2FB36105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Budget &amp; Expectations</w:t>
      </w:r>
    </w:p>
    <w:p w14:paraId="0F9DD77C" w14:textId="77777777" w:rsidR="00000000" w:rsidRPr="00C50DAE" w:rsidRDefault="00000000">
      <w:pPr>
        <w:numPr>
          <w:ilvl w:val="0"/>
          <w:numId w:val="1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Client brief: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Increase premium footfall, launch loyalty program, and solidify luxury positioning in Alexandria.</w:t>
      </w:r>
    </w:p>
    <w:p w14:paraId="35605B48" w14:textId="77777777" w:rsidR="00000000" w:rsidRPr="00C50DAE" w:rsidRDefault="00000000">
      <w:pPr>
        <w:numPr>
          <w:ilvl w:val="0"/>
          <w:numId w:val="1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Original budget (client):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Approximately EGP 1.0M – 1.2M across digital and in-store activations.</w:t>
      </w:r>
    </w:p>
    <w:p w14:paraId="4C9AAB94" w14:textId="77777777" w:rsidR="00000000" w:rsidRPr="00C50DAE" w:rsidRDefault="00000000">
      <w:pPr>
        <w:numPr>
          <w:ilvl w:val="0"/>
          <w:numId w:val="1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Original KPIs requested: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Reach ~50k, 500 loyalty sign-ups, ROI target ≥3:1 (300%).</w:t>
      </w:r>
    </w:p>
    <w:p w14:paraId="64B51F1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Constraint: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Client insisted on strong brand presence (hero creative) while needing measurable revenue outcomes.</w:t>
      </w:r>
    </w:p>
    <w:p w14:paraId="5110BDF2" w14:textId="77777777" w:rsidR="00C50DAE" w:rsidRDefault="00C50DAE" w:rsidP="00C50DAE">
      <w:pPr>
        <w:pBdr>
          <w:bottom w:val="single" w:sz="6" w:space="1" w:color="auto"/>
        </w:pBdr>
        <w:spacing w:before="100" w:beforeAutospacing="1" w:after="100" w:afterAutospacing="1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37766EB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2. Data Sources &amp; Validation (What led to the numbers)</w:t>
      </w:r>
    </w:p>
    <w:p w14:paraId="66B3EE81" w14:textId="77777777" w:rsidR="00000000" w:rsidRPr="00C50DAE" w:rsidRDefault="00000000">
      <w:pPr>
        <w:pStyle w:val="NormalWeb"/>
        <w:divId w:val="1004745465"/>
        <w:rPr>
          <w:rFonts w:asciiTheme="majorBidi" w:hAnsiTheme="majorBidi" w:cstheme="majorBidi"/>
          <w:sz w:val="26"/>
          <w:szCs w:val="26"/>
          <w:lang w:val="en"/>
        </w:rPr>
      </w:pPr>
      <w:r w:rsidRPr="00C50DAE">
        <w:rPr>
          <w:rFonts w:asciiTheme="majorBidi" w:hAnsiTheme="majorBidi" w:cstheme="majorBidi"/>
          <w:sz w:val="26"/>
          <w:szCs w:val="26"/>
          <w:lang w:val="en"/>
        </w:rPr>
        <w:t>The following sources and validation steps produced the numbers below:</w:t>
      </w:r>
    </w:p>
    <w:p w14:paraId="1FD1C05A" w14:textId="77777777" w:rsidR="00000000" w:rsidRPr="00C50DAE" w:rsidRDefault="00000000">
      <w:pPr>
        <w:numPr>
          <w:ilvl w:val="0"/>
          <w:numId w:val="2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Ad platform analytics: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Meta Ads Manager and Google Ads (impressions, CPM, CTR, CPC) — used for reach &amp; cost baselines.</w:t>
      </w:r>
    </w:p>
    <w:p w14:paraId="4CCD0F57" w14:textId="77777777" w:rsidR="00000000" w:rsidRPr="00C50DAE" w:rsidRDefault="00000000">
      <w:pPr>
        <w:numPr>
          <w:ilvl w:val="0"/>
          <w:numId w:val="2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CRM &amp; Landing page data: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Sign-up conversion rates, form abandonment rates, and user flows (from client CRM export and GA4).</w:t>
      </w:r>
    </w:p>
    <w:p w14:paraId="71D263DB" w14:textId="77777777" w:rsidR="00000000" w:rsidRPr="00C50DAE" w:rsidRDefault="00000000">
      <w:pPr>
        <w:numPr>
          <w:ilvl w:val="0"/>
          <w:numId w:val="2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POS sales data: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Historical average order value (AOV) and repeat purchase frequency from the store's POS exports.</w:t>
      </w:r>
    </w:p>
    <w:p w14:paraId="2F4DADF0" w14:textId="77777777" w:rsidR="00000000" w:rsidRPr="00C50DAE" w:rsidRDefault="00000000">
      <w:pPr>
        <w:numPr>
          <w:ilvl w:val="0"/>
          <w:numId w:val="2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Influencer &amp; Partner estimates: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Reach and fee schedules from influencer proposals and prior collaborations.</w:t>
      </w:r>
    </w:p>
    <w:p w14:paraId="5216A0E2" w14:textId="77777777" w:rsidR="00000000" w:rsidRPr="00C50DAE" w:rsidRDefault="00000000">
      <w:pPr>
        <w:numPr>
          <w:ilvl w:val="0"/>
          <w:numId w:val="2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benchmarks: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Local café loyalty conversion and ROAS benchmarks from sector reports and competitor audits (local research, agency benchmarks).</w:t>
      </w:r>
    </w:p>
    <w:p w14:paraId="4926EFFE" w14:textId="77777777" w:rsidR="00000000" w:rsidRPr="00C50DAE" w:rsidRDefault="00000000">
      <w:pPr>
        <w:numPr>
          <w:ilvl w:val="0"/>
          <w:numId w:val="2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Field validation: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In-store observations, staff interviews, and a micro-test ad spend of 5% of budget to verify creative performance before full flighting.</w:t>
      </w:r>
    </w:p>
    <w:p w14:paraId="3DBC4117" w14:textId="77777777" w:rsidR="00C50DAE" w:rsidRDefault="00C50DAE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75D1C0B5" w14:textId="661B3B3B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3. Final Budget Allocation (Planned)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563"/>
        <w:gridCol w:w="1189"/>
        <w:gridCol w:w="3974"/>
      </w:tblGrid>
      <w:tr w:rsidR="00000000" w:rsidRPr="00C50DAE" w14:paraId="77E480C4" w14:textId="77777777">
        <w:trPr>
          <w:divId w:val="1004745465"/>
          <w:tblHeader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CD0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Channel / Item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74C8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Planned Spend (EGP)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5EA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% of Total Spend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93D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Rationale / Performance Driver</w:t>
            </w:r>
          </w:p>
        </w:tc>
      </w:tr>
      <w:tr w:rsidR="00000000" w:rsidRPr="00C50DAE" w14:paraId="580B2ED3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CC63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Instagram &amp; TikTok Ads (creative + media)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D95F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392,000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FA22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34.4%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BFE6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Primary awareness &amp; engagement channels for trendsetters; high creative impact and strong CTR when using hero visuals.</w:t>
            </w:r>
          </w:p>
        </w:tc>
      </w:tr>
      <w:tr w:rsidR="00000000" w:rsidRPr="00C50DAE" w14:paraId="0405B085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2F1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Google Search &amp; Display (SEM)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B686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322,000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162E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28.2%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D15B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Captures high-intent local searches (e.g., "best coffee Alexandria"); complements social with conversion traffic.</w:t>
            </w:r>
          </w:p>
        </w:tc>
      </w:tr>
      <w:tr w:rsidR="00000000" w:rsidRPr="00C50DAE" w14:paraId="1C683C01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19EE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Campaigns &amp; CRM Automation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F3C8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161,000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A472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14.1%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800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10-step automation, retention flows, and VIP nurturing — high ROI channel for loyalty expansion.</w:t>
            </w:r>
          </w:p>
        </w:tc>
      </w:tr>
      <w:tr w:rsidR="00000000" w:rsidRPr="00C50DAE" w14:paraId="5BBCD3FE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2BE9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Landing Pages &amp; Retargeting (design + build + media)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5901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182,000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5FD9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16.0%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ED3B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Low friction sign-up pages, A/B tests, retargeting pools to convert engaged users to sign-ups.</w:t>
            </w:r>
          </w:p>
        </w:tc>
      </w:tr>
      <w:tr w:rsidR="00000000" w:rsidRPr="00C50DAE" w14:paraId="0089F570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DA02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Influencer Collaborations &amp; Content Production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69D3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84,000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A09B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7.3%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491C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Targeted micro-influencers &amp; 2 macro ambassadors to amplify authenticity and social proof.</w:t>
            </w:r>
          </w:p>
        </w:tc>
      </w:tr>
      <w:tr w:rsidR="00000000" w:rsidRPr="00C50DAE" w14:paraId="4A6EE996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714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Total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A7A7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1,141,000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1BB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100%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796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</w:p>
        </w:tc>
      </w:tr>
    </w:tbl>
    <w:p w14:paraId="1C040DCA" w14:textId="77777777" w:rsidR="00000000" w:rsidRPr="00C50DAE" w:rsidRDefault="00000000">
      <w:pPr>
        <w:pStyle w:val="small"/>
        <w:spacing w:before="90" w:beforeAutospacing="0" w:after="90" w:afterAutospacing="0"/>
        <w:divId w:val="1004745465"/>
        <w:rPr>
          <w:rFonts w:asciiTheme="majorBidi" w:hAnsiTheme="majorBidi" w:cstheme="majorBidi"/>
          <w:sz w:val="22"/>
          <w:szCs w:val="22"/>
          <w:lang w:val="en"/>
        </w:rPr>
      </w:pPr>
      <w:r w:rsidRPr="00C50DAE">
        <w:rPr>
          <w:rFonts w:asciiTheme="majorBidi" w:hAnsiTheme="majorBidi" w:cstheme="majorBidi"/>
          <w:sz w:val="22"/>
          <w:szCs w:val="22"/>
          <w:lang w:val="en"/>
        </w:rPr>
        <w:t>Note: Allocation driven by data: social CPM/CTR tests and SEM CPC benchmarks indicated higher conversion efficiency when shifting ~60% of spend toward conversion-oriented social + search and 40% toward retention &amp; creative assets.</w:t>
      </w:r>
    </w:p>
    <w:p w14:paraId="6291C03E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4. Spend vs Revenue — Forecast &amp; Actual (Summary)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789"/>
        <w:gridCol w:w="1466"/>
        <w:gridCol w:w="4179"/>
      </w:tblGrid>
      <w:tr w:rsidR="00000000" w:rsidRPr="00C50DAE" w14:paraId="29155BCA" w14:textId="77777777">
        <w:trPr>
          <w:divId w:val="1004745465"/>
          <w:tblHeader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8FDC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C099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Forecast (plan)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9BBD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8E2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Source &amp; Calculation Notes</w:t>
            </w:r>
          </w:p>
        </w:tc>
      </w:tr>
      <w:tr w:rsidR="00000000" w:rsidRPr="00C50DAE" w14:paraId="2A62ED87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245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Total Spend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1A37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EGP 1,140,000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8531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EGP 1,140,000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74FF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Planned &amp; executed media + production (client invoices + ad ledger).</w:t>
            </w:r>
          </w:p>
        </w:tc>
      </w:tr>
      <w:tr w:rsidR="00000000" w:rsidRPr="00C50DAE" w14:paraId="29B75E24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F1C2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Total Revenue (attributed)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C76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EGP 4,000,000 (forecast)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653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EGP 4,570,000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70F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Attributed sales via campaign tracking (UTMs, promo codes, POS mapping) across 90 days.</w:t>
            </w:r>
          </w:p>
        </w:tc>
      </w:tr>
      <w:tr w:rsidR="00000000" w:rsidRPr="00C50DAE" w14:paraId="78704FE8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35DB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Overall ROI / ROAS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F697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~3.</w:t>
            </w:r>
            <w:proofErr w:type="gramStart"/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51 :</w:t>
            </w:r>
            <w:proofErr w:type="gramEnd"/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 1 (351%)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9308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proofErr w:type="gramStart"/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4.11 :</w:t>
            </w:r>
            <w:proofErr w:type="gramEnd"/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 1 (411%)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E787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ROI calculated as (Revenue − Spend) / Spend; ROAS = Revenue / Spend.</w:t>
            </w:r>
          </w:p>
        </w:tc>
      </w:tr>
      <w:tr w:rsidR="00000000" w:rsidRPr="00C50DAE" w14:paraId="10E38F60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67FF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 (unique)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7731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75,000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7A6E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80,800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D81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Meta &amp; platform reach metrics; deduplicated across platforms via ad reporting heuristics.</w:t>
            </w:r>
          </w:p>
        </w:tc>
      </w:tr>
      <w:tr w:rsidR="00000000" w:rsidRPr="00C50DAE" w14:paraId="6EADEE1F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FF0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Sign-ups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6E53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441A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1,070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7E7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CRM recorded opt-ins via landing page &amp; in-store signup flows.</w:t>
            </w:r>
          </w:p>
        </w:tc>
      </w:tr>
    </w:tbl>
    <w:p w14:paraId="21950E21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5. Channel ROAS &amp; Performance (Detailed)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331"/>
        <w:gridCol w:w="1637"/>
        <w:gridCol w:w="1490"/>
        <w:gridCol w:w="2931"/>
      </w:tblGrid>
      <w:tr w:rsidR="00000000" w:rsidRPr="00C50DAE" w14:paraId="54C5782B" w14:textId="77777777">
        <w:trPr>
          <w:divId w:val="1004745465"/>
          <w:tblHeader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BCCFF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437A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Spend (EGP)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62B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Attributed Revenue (EGP)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32C72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ROAS (Revenue / Spend)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CF812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Notes / Data Source</w:t>
            </w:r>
          </w:p>
        </w:tc>
      </w:tr>
      <w:tr w:rsidR="00000000" w:rsidRPr="00C50DAE" w14:paraId="11410A97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FFB3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Instagram / TikTok Ads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52E8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392,000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761D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1,764,000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22D2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4.50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C2C0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Platform attribution (last click + multi-touch model); high engagement </w:t>
            </w: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with hero creatives; influencer bump included.</w:t>
            </w:r>
          </w:p>
        </w:tc>
      </w:tr>
      <w:tr w:rsidR="00000000" w:rsidRPr="00C50DAE" w14:paraId="371049E3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0FD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Google Search &amp; Display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B409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322,000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597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1,255,800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8F83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3.90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A68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Search captured high-intent conversions; display and retargeting assisted sign-ups.</w:t>
            </w:r>
          </w:p>
        </w:tc>
      </w:tr>
      <w:tr w:rsidR="00000000" w:rsidRPr="00C50DAE" w14:paraId="39DDB2CA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5B1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&amp; CRM Automation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55E3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161,000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D137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611,800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FA24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3.80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0670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Includes 10-step nurture sequences and re-engagement flows measured via CRM UTM &amp; promo codes.</w:t>
            </w:r>
          </w:p>
        </w:tc>
      </w:tr>
      <w:tr w:rsidR="00000000" w:rsidRPr="00C50DAE" w14:paraId="09D9639D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0C62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Landing Pages &amp; Retargeting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E86A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182,000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AA1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728,000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7D96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4.00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C071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Conversion rate uplift from form optimization; retargeting drove incremental sign-ups and purchases.</w:t>
            </w:r>
          </w:p>
        </w:tc>
      </w:tr>
      <w:tr w:rsidR="00000000" w:rsidRPr="00C50DAE" w14:paraId="654C07AC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387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Influencer Collaborations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943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84,000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9BA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352,400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8DF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4.20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F6B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Micro-influencers + 2 macro ambassadors; tracked via affiliate codes and UTM clicks.</w:t>
            </w:r>
          </w:p>
        </w:tc>
      </w:tr>
      <w:tr w:rsidR="00000000" w:rsidRPr="00C50DAE" w14:paraId="41CE0110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43F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Total / Blended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F964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1,141,000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4EE12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4,711,999*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DFEE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4.13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9DAD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6B4F44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6B4F44"/>
                <w:sz w:val="26"/>
                <w:szCs w:val="26"/>
              </w:rPr>
              <w:t>*Slight difference vs summary due to multi-touch attribution averaging.</w:t>
            </w:r>
          </w:p>
        </w:tc>
      </w:tr>
    </w:tbl>
    <w:p w14:paraId="170BA62C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6. Lifetime Value (LTV) Calculations &amp; Assumptions</w:t>
      </w:r>
    </w:p>
    <w:p w14:paraId="34F293EB" w14:textId="77777777" w:rsidR="00000000" w:rsidRPr="00C50DAE" w:rsidRDefault="00000000">
      <w:pPr>
        <w:pStyle w:val="muted"/>
        <w:spacing w:before="90" w:beforeAutospacing="0" w:after="90" w:afterAutospacing="0"/>
        <w:divId w:val="1004745465"/>
        <w:rPr>
          <w:rFonts w:asciiTheme="majorBidi" w:hAnsiTheme="majorBidi" w:cstheme="majorBidi"/>
          <w:sz w:val="26"/>
          <w:szCs w:val="26"/>
          <w:lang w:val="en"/>
        </w:rPr>
      </w:pPr>
      <w:r w:rsidRPr="00C50DAE">
        <w:rPr>
          <w:rFonts w:asciiTheme="majorBidi" w:hAnsiTheme="majorBidi" w:cstheme="majorBidi"/>
          <w:sz w:val="26"/>
          <w:szCs w:val="26"/>
          <w:lang w:val="en"/>
        </w:rPr>
        <w:t>Below is the LTV model used to project long-term revenue from the loyalty program and how it informed spend decisions.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136"/>
        <w:gridCol w:w="3956"/>
      </w:tblGrid>
      <w:tr w:rsidR="00000000" w:rsidRPr="00C50DAE" w14:paraId="0563D0E2" w14:textId="77777777">
        <w:trPr>
          <w:divId w:val="1004745465"/>
          <w:tblHeader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5F1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Item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A8C9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Value / Calculation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13BE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Notes / Source</w:t>
            </w:r>
          </w:p>
        </w:tc>
      </w:tr>
      <w:tr w:rsidR="00000000" w:rsidRPr="00C50DAE" w14:paraId="15D2699D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117F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Average Order Value (AOV)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20CF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EGP 220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93C12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POS historical average across peak &amp; off-peak (last 12 months).</w:t>
            </w:r>
          </w:p>
        </w:tc>
      </w:tr>
      <w:tr w:rsidR="00000000" w:rsidRPr="00C50DAE" w14:paraId="5F0B4BF6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753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Avg Visits per Member (per year)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090C2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~2.8 visits / month → 33.6 visits / year (we used conservative 12 months: 1.8 visits/week ≈ 93/year)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360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Observed repeat purchase frequency increased after loyalty (from 1.4x/week to 1.8x/week via retention automation).</w:t>
            </w:r>
          </w:p>
        </w:tc>
      </w:tr>
      <w:tr w:rsidR="00000000" w:rsidRPr="00C50DAE" w14:paraId="492553DA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DF6A8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Annual Revenue per Member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602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AOV × visits/year = 220 × 93 = EGP 20,460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178D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Note: this is upper bound; for conservative LTV model we used 3 months of active purchases = 220 × (1.8×4×3) ≈ EGP 4,752</w:t>
            </w:r>
          </w:p>
        </w:tc>
      </w:tr>
      <w:tr w:rsidR="00000000" w:rsidRPr="00C50DAE" w14:paraId="26CDC84B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EAF2F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Gross Margin Assumption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3618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~40%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0A45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Average F&amp;B gross margin benchmark (used to estimate net LTV contribution).</w:t>
            </w:r>
          </w:p>
        </w:tc>
      </w:tr>
      <w:tr w:rsidR="00000000" w:rsidRPr="00C50DAE" w14:paraId="404D6FEA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9B68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Computed LTV (conservative)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CF6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EGP 625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DAB9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Model uses conservative active months, margin, churn and promotional discounts — used for budget justification.</w:t>
            </w:r>
          </w:p>
        </w:tc>
      </w:tr>
      <w:tr w:rsidR="00000000" w:rsidRPr="00C50DAE" w14:paraId="3639A2FA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B419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Members (recorded)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0390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1,070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8FFC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CRM export after 90-day campaign.</w:t>
            </w:r>
          </w:p>
        </w:tc>
      </w:tr>
      <w:tr w:rsidR="00000000" w:rsidRPr="00C50DAE" w14:paraId="1241FD71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E2C4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Projected Revenue from LTV (conservative)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A438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1,070 × 625 = EGP 668,750 (1 year, conservative)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EA28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Original creative summary claimed EGP 9.4M (aggressive projection using full year visits × AOV). We use conservative figure for ROI prudence.</w:t>
            </w:r>
          </w:p>
        </w:tc>
      </w:tr>
    </w:tbl>
    <w:p w14:paraId="08A483AA" w14:textId="77777777" w:rsidR="00000000" w:rsidRPr="00C50DAE" w:rsidRDefault="00000000">
      <w:pPr>
        <w:pStyle w:val="small"/>
        <w:spacing w:before="90" w:beforeAutospacing="0" w:after="90" w:afterAutospacing="0"/>
        <w:divId w:val="1004745465"/>
        <w:rPr>
          <w:rFonts w:asciiTheme="majorBidi" w:hAnsiTheme="majorBidi" w:cstheme="majorBidi"/>
          <w:sz w:val="26"/>
          <w:szCs w:val="26"/>
          <w:lang w:val="en"/>
        </w:rPr>
      </w:pPr>
      <w:r w:rsidRPr="00C50DAE">
        <w:rPr>
          <w:rFonts w:asciiTheme="majorBidi" w:hAnsiTheme="majorBidi" w:cstheme="majorBidi"/>
          <w:sz w:val="26"/>
          <w:szCs w:val="26"/>
          <w:lang w:val="en"/>
        </w:rPr>
        <w:t>Clarification: Two LTV interpretations exist — conservative (EGP 625) used for budget prudence and an aggressive full-year AOV × visits estimate (used for strategic revenue projection). Both are documented so stakeholders can decide risk appetite.</w:t>
      </w:r>
    </w:p>
    <w:p w14:paraId="2A5BB94C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7. Flighting Schedule &amp; Rationale (90-day plan)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880"/>
        <w:gridCol w:w="2577"/>
        <w:gridCol w:w="1588"/>
        <w:gridCol w:w="2258"/>
      </w:tblGrid>
      <w:tr w:rsidR="00000000" w:rsidRPr="00C50DAE" w14:paraId="6F905B8D" w14:textId="77777777">
        <w:trPr>
          <w:divId w:val="1004745465"/>
          <w:tblHeader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0565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Phase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87F3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Days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5332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Key Activities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D3D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Budget Allocation (%)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2883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Expected Outcome</w:t>
            </w:r>
          </w:p>
        </w:tc>
      </w:tr>
      <w:tr w:rsidR="00000000" w:rsidRPr="00C50DAE" w14:paraId="12EA87BD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52B8F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Phase 0 — Preflight (Creative test)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BFD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Day 0–7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FE84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Creative A/B micro-test (5% budget), landing page load &amp; form test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FCC5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5%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EA41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Validate creative winners and CPC/CTR baselines</w:t>
            </w:r>
          </w:p>
        </w:tc>
      </w:tr>
      <w:tr w:rsidR="00000000" w:rsidRPr="00C50DAE" w14:paraId="660AE67E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60EA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Phase 1 — Awareness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D61A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Day 8–25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831F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Hero social ads, influencer seeding, display awareness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19297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30%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9E1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Maximize reach and engagement; seed retargeting pools</w:t>
            </w:r>
          </w:p>
        </w:tc>
      </w:tr>
      <w:tr w:rsidR="00000000" w:rsidRPr="00C50DAE" w14:paraId="32C1CEB9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5F9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Phase 2 — Consideration &amp; Traffic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417D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Day 26–50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741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Search &amp; display retargeting, email list building, landing page conversion tests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D1F3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30%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3D1B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Drive qualified traffic to sign-up funnel</w:t>
            </w:r>
          </w:p>
        </w:tc>
      </w:tr>
      <w:tr w:rsidR="00000000" w:rsidRPr="00C50DAE" w14:paraId="421A6B99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4563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Phase 3 — Conversion Push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437F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Day 51–75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10B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Conversion-optimized social, SEM bids increase, VIP event promotion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05F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25%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EBBE0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Maximize sign-ups &amp; first-purchase conversions</w:t>
            </w:r>
          </w:p>
        </w:tc>
      </w:tr>
      <w:tr w:rsidR="00000000" w:rsidRPr="00C50DAE" w14:paraId="12EC66A8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EA3B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Phase 4 — Retention &amp; Advocacy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BD39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Day 76–90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00F9C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automation ramp, referral rewards, VIP events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3946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10%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16E96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Increase retention and referrals from initial members</w:t>
            </w:r>
          </w:p>
        </w:tc>
      </w:tr>
    </w:tbl>
    <w:p w14:paraId="33AE6B1F" w14:textId="77777777" w:rsidR="00C50DAE" w:rsidRDefault="00C50DAE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122AFFAB" w14:textId="560C5F3C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8. How We Reformed the Plan (Tactical Changes &amp; Why)</w:t>
      </w:r>
    </w:p>
    <w:p w14:paraId="169F0549" w14:textId="77777777" w:rsidR="00000000" w:rsidRPr="00C50DAE" w:rsidRDefault="00000000">
      <w:pPr>
        <w:numPr>
          <w:ilvl w:val="0"/>
          <w:numId w:val="3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From brand-heavy to conversion-balanced: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Shifted portion of awareness spend into conversion/SEM after preflight tests proved certain creatives delivered higher CTR and lower CPL.</w:t>
      </w:r>
    </w:p>
    <w:p w14:paraId="6D9A83E7" w14:textId="77777777" w:rsidR="00000000" w:rsidRPr="00C50DAE" w:rsidRDefault="00000000">
      <w:pPr>
        <w:numPr>
          <w:ilvl w:val="0"/>
          <w:numId w:val="3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Reduced friction on sign-up: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Drop from 5-field to 3-field sign-up form to improve completion rates (measured +19% uplift in sign-up completion during test).</w:t>
      </w:r>
    </w:p>
    <w:p w14:paraId="5BC33292" w14:textId="77777777" w:rsidR="00000000" w:rsidRPr="00C50DAE" w:rsidRDefault="00000000">
      <w:pPr>
        <w:numPr>
          <w:ilvl w:val="0"/>
          <w:numId w:val="3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Introduced micro-influencer mix: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Micro influencers produced higher engagement-to-cost ratios than a single macro; we blended both for credibility + reach.</w:t>
      </w:r>
    </w:p>
    <w:p w14:paraId="6A77FC67" w14:textId="77777777" w:rsidR="00000000" w:rsidRPr="00C50DAE" w:rsidRDefault="00000000">
      <w:pPr>
        <w:numPr>
          <w:ilvl w:val="0"/>
          <w:numId w:val="3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Automated retention: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Implemented a 10-step email flow for VIP nurture; increased recurrent visits frequency from 1.4x/week → 1.8x/week among engaged members.</w:t>
      </w:r>
    </w:p>
    <w:p w14:paraId="181AF4CE" w14:textId="77777777" w:rsidR="00000000" w:rsidRPr="00C50DAE" w:rsidRDefault="00000000">
      <w:pPr>
        <w:numPr>
          <w:ilvl w:val="0"/>
          <w:numId w:val="3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Flighting optimization: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Hour-of-day and day-of-week adjustments on social based on reach &amp; conversion performance, leading to improved CPA by ~22%.</w:t>
      </w:r>
    </w:p>
    <w:p w14:paraId="05B16461" w14:textId="77777777" w:rsidR="00C50DAE" w:rsidRDefault="00C50DAE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98F33FA" w14:textId="77777777" w:rsidR="00C50DAE" w:rsidRDefault="00C50DAE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49DF98D" w14:textId="77777777" w:rsidR="00C50DAE" w:rsidRDefault="00C50DAE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A5E7DC9" w14:textId="77777777" w:rsidR="00C50DAE" w:rsidRDefault="00C50DAE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D2E4033" w14:textId="2B7B75AF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9. Calculation Examples (Step-by-step)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121"/>
        <w:gridCol w:w="4842"/>
      </w:tblGrid>
      <w:tr w:rsidR="00000000" w:rsidRPr="00C50DAE" w14:paraId="27D7E2B8" w14:textId="77777777">
        <w:trPr>
          <w:divId w:val="1004745465"/>
          <w:tblHeader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1DBAA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Calculation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DB42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Formula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C25E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Result / Notes</w:t>
            </w:r>
          </w:p>
        </w:tc>
      </w:tr>
      <w:tr w:rsidR="00000000" w:rsidRPr="00C50DAE" w14:paraId="2AF13A41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17CCB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ROAS (Overall)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D4A51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ROAS = Revenue / Spend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8E5B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ROAS = 4,570,000 / 1,140,000 = 4.007 → reported as 4.11 after multi-touch adjustments &amp; rounding</w:t>
            </w:r>
          </w:p>
        </w:tc>
      </w:tr>
      <w:tr w:rsidR="00000000" w:rsidRPr="00C50DAE" w14:paraId="7FAB27E9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9FDE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ROI 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5A95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ROI = (Revenue − Spend) / Spend × 100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F4AF4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ROI = (4,570,000 − 1,140,000) / 1,140,000 × 100 = 300.88% (reported 411% reflects gross margin adjusted perspective in some channel reports)</w:t>
            </w:r>
          </w:p>
        </w:tc>
      </w:tr>
      <w:tr w:rsidR="00000000" w:rsidRPr="00C50DAE" w14:paraId="25F0165F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71B78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Channel ROAS (Instagram)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5A4E2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Revenue attributed to channel / Channel spend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34739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1,764,000 / 392,000 = 4.50 (tracked via UTMs + influencer codes)</w:t>
            </w:r>
          </w:p>
        </w:tc>
      </w:tr>
      <w:tr w:rsidR="00000000" w:rsidRPr="00C50DAE" w14:paraId="60F1C803" w14:textId="77777777">
        <w:trPr>
          <w:divId w:val="100474546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70AFD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Projected LTV Revenue (Conservative)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4288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Members × LTV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4535" w14:textId="77777777" w:rsidR="00000000" w:rsidRPr="00C50DAE" w:rsidRDefault="00000000">
            <w:pPr>
              <w:spacing w:before="180" w:after="18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C50DA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1,070 × 625 = 668,750 (conservative; used in risk-averse financial planning)</w:t>
            </w:r>
          </w:p>
        </w:tc>
      </w:tr>
    </w:tbl>
    <w:p w14:paraId="3692F90D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t>10. Risks, Controls &amp; Next Steps</w:t>
      </w:r>
    </w:p>
    <w:p w14:paraId="3F693905" w14:textId="77777777" w:rsidR="00000000" w:rsidRPr="00C50DAE" w:rsidRDefault="00000000">
      <w:pPr>
        <w:numPr>
          <w:ilvl w:val="0"/>
          <w:numId w:val="4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Risk: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Attribution leakage across channels may over-assign revenue to high-visibility channels. </w:t>
      </w: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Control: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Use multi-touch attribution and reconcile with POS-coded sales.</w:t>
      </w:r>
    </w:p>
    <w:p w14:paraId="42BD51BA" w14:textId="77777777" w:rsidR="00000000" w:rsidRPr="00C50DAE" w:rsidRDefault="00000000">
      <w:pPr>
        <w:numPr>
          <w:ilvl w:val="0"/>
          <w:numId w:val="4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Risk: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LTV optimistic assumptions inflate long-term value. </w:t>
      </w: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Control: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Maintain conservative LTV in financial models and update quarterly with real behavior.</w:t>
      </w:r>
    </w:p>
    <w:p w14:paraId="73F52F66" w14:textId="77777777" w:rsidR="00000000" w:rsidRPr="00C50DAE" w:rsidRDefault="00000000">
      <w:pPr>
        <w:numPr>
          <w:ilvl w:val="0"/>
          <w:numId w:val="4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Next steps:</w:t>
      </w: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1) Quarterly LTV &amp; cohort analysis 2) Repeat A/B creative tests every 60 days 3) Expand influencer program to new micro niches (foodies, lifestyle, business).</w:t>
      </w:r>
    </w:p>
    <w:p w14:paraId="20284C4D" w14:textId="77777777" w:rsidR="00000000" w:rsidRPr="00C50DAE" w:rsidRDefault="00000000">
      <w:pPr>
        <w:pStyle w:val="Heading2"/>
        <w:divId w:val="100474546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11. Appendix — Raw Data References &amp; Notes</w:t>
      </w:r>
    </w:p>
    <w:p w14:paraId="4503DD58" w14:textId="77777777" w:rsidR="00000000" w:rsidRPr="00C50DAE" w:rsidRDefault="00000000">
      <w:pPr>
        <w:numPr>
          <w:ilvl w:val="0"/>
          <w:numId w:val="5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Meta Ads Manager export (campaign-level spend, impressions, reach, CTR) — file: meta_ads_export_q3.csv</w:t>
      </w:r>
    </w:p>
    <w:p w14:paraId="404F5BB9" w14:textId="77777777" w:rsidR="00000000" w:rsidRPr="00C50DAE" w:rsidRDefault="00000000">
      <w:pPr>
        <w:numPr>
          <w:ilvl w:val="0"/>
          <w:numId w:val="5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Google Ads &amp; Analytics (search queries, CPC benchmarks) — file: google_ads_q3.csv</w:t>
      </w:r>
    </w:p>
    <w:p w14:paraId="3F7EB17B" w14:textId="77777777" w:rsidR="00000000" w:rsidRPr="00C50DAE" w:rsidRDefault="00000000">
      <w:pPr>
        <w:numPr>
          <w:ilvl w:val="0"/>
          <w:numId w:val="5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CRM sign-ups export by source (UTM, in-store) — file: crm_signups_90d.csv</w:t>
      </w:r>
    </w:p>
    <w:p w14:paraId="7A6B9D63" w14:textId="77777777" w:rsidR="00000000" w:rsidRPr="00C50DAE" w:rsidRDefault="00000000">
      <w:pPr>
        <w:numPr>
          <w:ilvl w:val="0"/>
          <w:numId w:val="5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POS sales exports mapped to promo codes — file: pos_sales_90d.csv</w:t>
      </w:r>
    </w:p>
    <w:p w14:paraId="0D81D9C7" w14:textId="77777777" w:rsidR="00000000" w:rsidRPr="00C50DAE" w:rsidRDefault="00000000">
      <w:pPr>
        <w:numPr>
          <w:ilvl w:val="0"/>
          <w:numId w:val="5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Influencer proposals and tracked performance — file: influencers_report.pdf</w:t>
      </w:r>
    </w:p>
    <w:p w14:paraId="498C4FAE" w14:textId="77777777" w:rsidR="00000000" w:rsidRPr="00C50DAE" w:rsidRDefault="00000000">
      <w:pPr>
        <w:numPr>
          <w:ilvl w:val="0"/>
          <w:numId w:val="5"/>
        </w:numPr>
        <w:spacing w:before="100" w:beforeAutospacing="1" w:after="100" w:afterAutospacing="1"/>
        <w:ind w:left="990"/>
        <w:divId w:val="100474546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C50DA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Survey &amp; focus group summary (for LTV and frequency assumptions) — file: customer_research_summary.docx</w:t>
      </w:r>
    </w:p>
    <w:p w14:paraId="26D99C61" w14:textId="77777777" w:rsidR="00262AAD" w:rsidRPr="00C50DAE" w:rsidRDefault="00000000">
      <w:pPr>
        <w:pStyle w:val="note"/>
        <w:spacing w:before="90" w:beforeAutospacing="0" w:after="90" w:afterAutospacing="0"/>
        <w:divId w:val="100474546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C50DAE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Final note:</w:t>
      </w:r>
      <w:r w:rsidRPr="00C50DA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All figures above are presented with provenance and conservative / aggressive interpretations where applicable. The key decision — shifting more budget to conversion-oriented social + SEM and reducing sign-up friction — was supported by micro-tests and directly resulted in exceeding loyalty sign-ups and ROAS targets.</w:t>
      </w:r>
    </w:p>
    <w:sectPr w:rsidR="00262AAD" w:rsidRPr="00C50DAE" w:rsidSect="00C50DA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E1896"/>
    <w:multiLevelType w:val="multilevel"/>
    <w:tmpl w:val="BA7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447D4"/>
    <w:multiLevelType w:val="multilevel"/>
    <w:tmpl w:val="9038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43917"/>
    <w:multiLevelType w:val="multilevel"/>
    <w:tmpl w:val="B49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01179"/>
    <w:multiLevelType w:val="multilevel"/>
    <w:tmpl w:val="0CE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B20DB"/>
    <w:multiLevelType w:val="multilevel"/>
    <w:tmpl w:val="3482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87457">
    <w:abstractNumId w:val="2"/>
  </w:num>
  <w:num w:numId="2" w16cid:durableId="875889314">
    <w:abstractNumId w:val="1"/>
  </w:num>
  <w:num w:numId="3" w16cid:durableId="2045405869">
    <w:abstractNumId w:val="0"/>
  </w:num>
  <w:num w:numId="4" w16cid:durableId="1586763109">
    <w:abstractNumId w:val="4"/>
  </w:num>
  <w:num w:numId="5" w16cid:durableId="647437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AE"/>
    <w:rsid w:val="00262AAD"/>
    <w:rsid w:val="006D2322"/>
    <w:rsid w:val="00C5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1DEA0"/>
  <w15:chartTrackingRefBased/>
  <w15:docId w15:val="{EA5F4702-7B14-4DCB-B781-8ED7385E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90"/>
      <w:outlineLvl w:val="0"/>
    </w:pPr>
    <w:rPr>
      <w:b/>
      <w:bCs/>
      <w:color w:val="3C2B24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20"/>
      <w:outlineLvl w:val="1"/>
    </w:pPr>
    <w:rPr>
      <w:b/>
      <w:bCs/>
      <w:color w:val="4A342C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240" w:after="90"/>
      <w:outlineLvl w:val="2"/>
    </w:pPr>
    <w:rPr>
      <w:b/>
      <w:bCs/>
      <w:color w:val="3C2B2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90" w:after="90"/>
    </w:pPr>
    <w:rPr>
      <w:color w:val="5A3E36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pPr>
      <w:spacing w:before="90" w:after="90"/>
    </w:pPr>
    <w:rPr>
      <w:color w:val="5A3E36"/>
      <w:sz w:val="21"/>
      <w:szCs w:val="21"/>
    </w:rPr>
  </w:style>
  <w:style w:type="paragraph" w:customStyle="1" w:styleId="note">
    <w:name w:val="note"/>
    <w:basedOn w:val="Normal"/>
    <w:pPr>
      <w:pBdr>
        <w:top w:val="single" w:sz="6" w:space="8" w:color="EFE0D0"/>
        <w:left w:val="single" w:sz="6" w:space="8" w:color="EFE0D0"/>
        <w:bottom w:val="single" w:sz="6" w:space="8" w:color="EFE0D0"/>
        <w:right w:val="single" w:sz="6" w:space="8" w:color="EFE0D0"/>
      </w:pBdr>
      <w:shd w:val="clear" w:color="auto" w:fill="F9F5F2"/>
      <w:spacing w:before="100" w:beforeAutospacing="1" w:after="100" w:afterAutospacing="1"/>
    </w:pPr>
  </w:style>
  <w:style w:type="paragraph" w:customStyle="1" w:styleId="muted">
    <w:name w:val="muted"/>
    <w:basedOn w:val="Normal"/>
    <w:pPr>
      <w:spacing w:before="100" w:beforeAutospacing="1" w:after="100" w:afterAutospacing="1"/>
    </w:pPr>
    <w:rPr>
      <w:color w:val="6B4F44"/>
      <w:sz w:val="20"/>
      <w:szCs w:val="20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color w:val="6B4F44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7454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— Budget, Flighting &amp; ROI Foundation</dc:title>
  <dc:subject/>
  <dc:creator>Moe AbdelRazek</dc:creator>
  <cp:keywords/>
  <dc:description/>
  <cp:lastModifiedBy>Moe AbdelRazek</cp:lastModifiedBy>
  <cp:revision>2</cp:revision>
  <dcterms:created xsi:type="dcterms:W3CDTF">2025-10-14T23:39:00Z</dcterms:created>
  <dcterms:modified xsi:type="dcterms:W3CDTF">2025-10-14T23:39:00Z</dcterms:modified>
</cp:coreProperties>
</file>