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93B99" w14:textId="77777777" w:rsidR="00000000" w:rsidRDefault="00000000">
      <w:pPr>
        <w:pStyle w:val="Heading1"/>
        <w:rPr>
          <w:rFonts w:eastAsia="Times New Roman"/>
          <w:color w:val="5A3E36"/>
          <w:lang w:val="en"/>
        </w:rPr>
      </w:pPr>
      <w:r>
        <w:rPr>
          <w:rFonts w:eastAsia="Times New Roman"/>
          <w:color w:val="5A3E36"/>
          <w:lang w:val="en"/>
        </w:rPr>
        <w:t>Mory Gym Email Marketing Campaign</w:t>
      </w:r>
    </w:p>
    <w:p w14:paraId="336041BD" w14:textId="77777777" w:rsidR="00000000" w:rsidRDefault="00000000">
      <w:pPr>
        <w:pStyle w:val="NormalWeb"/>
        <w:rPr>
          <w:color w:val="5A3E36"/>
          <w:lang w:val="en"/>
        </w:rPr>
      </w:pPr>
      <w:r>
        <w:rPr>
          <w:rStyle w:val="Strong"/>
          <w:color w:val="5A3E36"/>
          <w:lang w:val="en"/>
        </w:rPr>
        <w:t>Objective:</w:t>
      </w:r>
      <w:r>
        <w:rPr>
          <w:color w:val="5A3E36"/>
          <w:lang w:val="en"/>
        </w:rPr>
        <w:t xml:space="preserve"> Drive membership growth and engagement among the 18–50 target audience through a structured 12-week automated email sequence. The campaign focused on conversion, retention, and lifetime value increase while aligning with Mory Gym’s premium brand positioning in Alexandria.</w:t>
      </w:r>
    </w:p>
    <w:p w14:paraId="0EC6AB88" w14:textId="77777777" w:rsidR="00000000" w:rsidRDefault="00000000">
      <w:pPr>
        <w:pStyle w:val="Heading2"/>
        <w:rPr>
          <w:rFonts w:eastAsia="Times New Roman"/>
          <w:color w:val="5A3E36"/>
          <w:lang w:val="en"/>
        </w:rPr>
      </w:pPr>
      <w:r>
        <w:rPr>
          <w:rFonts w:eastAsia="Times New Roman"/>
          <w:color w:val="5A3E36"/>
          <w:lang w:val="en"/>
        </w:rPr>
        <w:t>Methodology</w:t>
      </w:r>
    </w:p>
    <w:p w14:paraId="76AF38E6" w14:textId="77777777" w:rsidR="00000000" w:rsidRDefault="00000000">
      <w:pPr>
        <w:pStyle w:val="NormalWeb"/>
        <w:rPr>
          <w:color w:val="5A3E36"/>
          <w:lang w:val="en"/>
        </w:rPr>
      </w:pPr>
      <w:r>
        <w:rPr>
          <w:color w:val="5A3E36"/>
          <w:lang w:val="en"/>
        </w:rPr>
        <w:t>Data-driven planning guided all campaign stages, beginning with segmentation of the CRM database based on demographics, gender balance (50% M / 50% F), and behavior patterns. The email sequence was automated via Mailchimp, with UTM tracking integrated into all CTAs for GA4 monitoring. Creative direction was derived from audience heat maps and engagement analysis from prior campaigns, ensuring maximum resonance across tone, timing, and offer design.</w:t>
      </w:r>
    </w:p>
    <w:p w14:paraId="3B26CE1C" w14:textId="77777777" w:rsidR="00000000" w:rsidRDefault="00000000">
      <w:pPr>
        <w:pStyle w:val="NormalWeb"/>
        <w:rPr>
          <w:color w:val="5A3E36"/>
          <w:lang w:val="en"/>
        </w:rPr>
      </w:pPr>
      <w:r>
        <w:rPr>
          <w:color w:val="5A3E36"/>
          <w:lang w:val="en"/>
        </w:rPr>
        <w:t>Performance metrics were monitored through Mailchimp dashboards, GA4 event tracking, and CRM sales reconciliation. Open rates, CTRs, and conversion events were validated using cross-platform attribution models, ensuring accuracy across sessions and devices. Data was visualized weekly through Looker Studio for optimization and reporting.</w:t>
      </w:r>
    </w:p>
    <w:p w14:paraId="5453AA5A" w14:textId="77777777" w:rsidR="00D176E2" w:rsidRDefault="00D176E2">
      <w:pPr>
        <w:pStyle w:val="Heading2"/>
        <w:rPr>
          <w:rFonts w:eastAsia="Times New Roman"/>
          <w:color w:val="5A3E36"/>
          <w:lang w:val="en"/>
        </w:rPr>
      </w:pPr>
    </w:p>
    <w:p w14:paraId="2B86BE81" w14:textId="77777777" w:rsidR="00D176E2" w:rsidRDefault="00D176E2">
      <w:pPr>
        <w:pStyle w:val="Heading2"/>
        <w:rPr>
          <w:rFonts w:eastAsia="Times New Roman"/>
          <w:color w:val="5A3E36"/>
          <w:lang w:val="en"/>
        </w:rPr>
      </w:pPr>
    </w:p>
    <w:p w14:paraId="24CF19CC" w14:textId="77777777" w:rsidR="00D176E2" w:rsidRDefault="00D176E2">
      <w:pPr>
        <w:pStyle w:val="Heading2"/>
        <w:rPr>
          <w:rFonts w:eastAsia="Times New Roman"/>
          <w:color w:val="5A3E36"/>
          <w:lang w:val="en"/>
        </w:rPr>
      </w:pPr>
    </w:p>
    <w:p w14:paraId="5E5EC228" w14:textId="77777777" w:rsidR="00D176E2" w:rsidRDefault="00D176E2">
      <w:pPr>
        <w:pStyle w:val="Heading2"/>
        <w:rPr>
          <w:rFonts w:eastAsia="Times New Roman"/>
          <w:color w:val="5A3E36"/>
          <w:lang w:val="en"/>
        </w:rPr>
      </w:pPr>
    </w:p>
    <w:p w14:paraId="5ABDDA11" w14:textId="744B57E9" w:rsidR="00000000" w:rsidRDefault="00000000">
      <w:pPr>
        <w:pStyle w:val="Heading2"/>
        <w:rPr>
          <w:rFonts w:eastAsia="Times New Roman"/>
          <w:color w:val="5A3E36"/>
          <w:lang w:val="en"/>
        </w:rPr>
      </w:pPr>
      <w:r>
        <w:rPr>
          <w:rFonts w:eastAsia="Times New Roman"/>
          <w:color w:val="5A3E36"/>
          <w:lang w:val="en"/>
        </w:rPr>
        <w:lastRenderedPageBreak/>
        <w:t>Email Sequence Overview</w:t>
      </w:r>
    </w:p>
    <w:tbl>
      <w:tblPr>
        <w:tblW w:w="5000" w:type="pct"/>
        <w:tblCellMar>
          <w:top w:w="15" w:type="dxa"/>
          <w:left w:w="15" w:type="dxa"/>
          <w:bottom w:w="15" w:type="dxa"/>
          <w:right w:w="15" w:type="dxa"/>
        </w:tblCellMar>
        <w:tblLook w:val="04A0" w:firstRow="1" w:lastRow="0" w:firstColumn="1" w:lastColumn="0" w:noHBand="0" w:noVBand="1"/>
      </w:tblPr>
      <w:tblGrid>
        <w:gridCol w:w="1141"/>
        <w:gridCol w:w="1815"/>
        <w:gridCol w:w="1875"/>
        <w:gridCol w:w="1081"/>
        <w:gridCol w:w="1021"/>
        <w:gridCol w:w="1876"/>
        <w:gridCol w:w="1440"/>
      </w:tblGrid>
      <w:tr w:rsidR="00000000" w14:paraId="4E2D462D" w14:textId="77777777">
        <w:trPr>
          <w:tblHeader/>
        </w:trPr>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4063AC78"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Email</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4ADC5FD2"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Subject Line</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0354C82B"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Main Focus</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668FDB08"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Open Rate</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37D2B1B4"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CTR</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28F8112C"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Conversions</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4FB78319"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Revenue (EGP)</w:t>
            </w:r>
          </w:p>
        </w:tc>
      </w:tr>
      <w:tr w:rsidR="00000000" w14:paraId="39B7A1CD"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9E9FBF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07542B2"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Welcome to Mory Gym – Transform Your Fitness Journey!</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D8C976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Gym Introduction &amp; Benefits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59A3EF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42%</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96E41B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12%</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5DB642B"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200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C9E8DEE"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120,000</w:t>
            </w:r>
          </w:p>
        </w:tc>
      </w:tr>
      <w:tr w:rsidR="00000000" w14:paraId="7E8A316A"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4C7141B"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45B3974"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Exclusive: 20% Off Annual Membership – 1 Week Only!</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AB81BB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Limited-Time Offer</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40B153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48%</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839B68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15%</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91B05F8"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300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CC0E12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180,000</w:t>
            </w:r>
          </w:p>
        </w:tc>
      </w:tr>
      <w:tr w:rsidR="00000000" w14:paraId="5DBF20F5"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6969BB5"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3</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AE02D52"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See How Mory Gym Members Achieved Amazing Results!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5376FF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Testimonials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ACF3404"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44%</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A0B5CD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13%</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0F5606D"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250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080F18B"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150,000</w:t>
            </w:r>
          </w:p>
        </w:tc>
      </w:tr>
      <w:tr w:rsidR="00000000" w14:paraId="4BD5FCE0"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860517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lastRenderedPageBreak/>
              <w:t>4</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22107E2"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Join Our 4-Week Fitness Challenge &amp; Win Prizes!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8384CE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Engagement &amp; Gamification</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2EB380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46%</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4D10CA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16%</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2DE5D25"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220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7A83A6B"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132,000</w:t>
            </w:r>
          </w:p>
        </w:tc>
      </w:tr>
      <w:tr w:rsidR="00000000" w14:paraId="16E423C3"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B530DB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5</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C4123D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Exciting New Classes at Mory Gym – Check Them Out!</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A095969"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New Offerings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3B7C45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45%</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BF359F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14%</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1CEA94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041C9B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108,000</w:t>
            </w:r>
          </w:p>
        </w:tc>
      </w:tr>
      <w:tr w:rsidR="00000000" w14:paraId="51135DBE"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93C9EB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6</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5A2D3FD"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Spring Into Fitness – Limited-Time Seasonal Offer!</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2AB5924"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Seasonal Promotion</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28797D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47%</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6D7E95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17%</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41EB1B4"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200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89401B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120,000</w:t>
            </w:r>
          </w:p>
        </w:tc>
      </w:tr>
      <w:tr w:rsidR="00000000" w14:paraId="6188B83B"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F0010B2"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7</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08D7239"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 xml:space="preserve">Refer a Friend &amp; Earn Free </w:t>
            </w:r>
            <w:r>
              <w:rPr>
                <w:rFonts w:eastAsia="Times New Roman"/>
                <w:color w:val="5A3E36"/>
                <w:sz w:val="27"/>
                <w:szCs w:val="27"/>
              </w:rPr>
              <w:lastRenderedPageBreak/>
              <w:t>Membership Benefits!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D63F4C2"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lastRenderedPageBreak/>
              <w:t>Referral Program</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EB1A0A5"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50%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F6CE8F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032B59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200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46CEB3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120,000</w:t>
            </w:r>
          </w:p>
        </w:tc>
      </w:tr>
      <w:tr w:rsidR="00000000" w14:paraId="418D2B5E"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510970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8</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87FFC4D"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Thank You for Joining Mory Gym – Exclusive Loyalty Rewards!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0FF1EB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Loyalty &amp; Retention</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64A3F5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48%</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96D369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15%</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DD4F37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250</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D8DBCB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150,000</w:t>
            </w:r>
          </w:p>
        </w:tc>
      </w:tr>
    </w:tbl>
    <w:p w14:paraId="5FC5973A" w14:textId="77777777" w:rsidR="00000000" w:rsidRDefault="00000000">
      <w:pPr>
        <w:pStyle w:val="Heading2"/>
        <w:rPr>
          <w:rFonts w:eastAsia="Times New Roman"/>
          <w:color w:val="5A3E36"/>
          <w:lang w:val="en"/>
        </w:rPr>
      </w:pPr>
      <w:r>
        <w:rPr>
          <w:rFonts w:eastAsia="Times New Roman"/>
          <w:color w:val="5A3E36"/>
          <w:lang w:val="en"/>
        </w:rPr>
        <w:t>Email Drafts &amp; Creative Samples</w:t>
      </w:r>
    </w:p>
    <w:p w14:paraId="3A47835B" w14:textId="77777777" w:rsidR="00000000" w:rsidRDefault="00000000">
      <w:pPr>
        <w:pStyle w:val="Heading3"/>
        <w:rPr>
          <w:rFonts w:eastAsia="Times New Roman"/>
          <w:color w:val="5A3E36"/>
          <w:lang w:val="en"/>
        </w:rPr>
      </w:pPr>
      <w:r>
        <w:rPr>
          <w:rFonts w:eastAsia="Times New Roman"/>
          <w:color w:val="5A3E36"/>
          <w:lang w:val="en"/>
        </w:rPr>
        <w:t>Selected Email Texts</w:t>
      </w:r>
    </w:p>
    <w:tbl>
      <w:tblPr>
        <w:tblW w:w="5000" w:type="pct"/>
        <w:tblCellMar>
          <w:top w:w="15" w:type="dxa"/>
          <w:left w:w="15" w:type="dxa"/>
          <w:bottom w:w="15" w:type="dxa"/>
          <w:right w:w="15" w:type="dxa"/>
        </w:tblCellMar>
        <w:tblLook w:val="04A0" w:firstRow="1" w:lastRow="0" w:firstColumn="1" w:lastColumn="0" w:noHBand="0" w:noVBand="1"/>
      </w:tblPr>
      <w:tblGrid>
        <w:gridCol w:w="1141"/>
        <w:gridCol w:w="2793"/>
        <w:gridCol w:w="5410"/>
      </w:tblGrid>
      <w:tr w:rsidR="00000000" w14:paraId="2529E0F0" w14:textId="77777777">
        <w:trPr>
          <w:tblHeader/>
        </w:trPr>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64871A7D"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Email</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2E1024D9"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Subject</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3C6260D7"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Excerpt</w:t>
            </w:r>
          </w:p>
        </w:tc>
      </w:tr>
      <w:tr w:rsidR="00000000" w14:paraId="5E8C3A94"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2A71FF1"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08148B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Welcome to Mory Gym – Transform Your Fitness Journey!</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2ACEE74D"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Welcome to the Mory Gym family! You’re about to start a new era of fitness with world-class trainers and exclusive facilities designed to transform your routine into a lifestyle.</w:t>
            </w:r>
          </w:p>
        </w:tc>
      </w:tr>
      <w:tr w:rsidR="00000000" w14:paraId="08F330E3"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4B03627" w14:textId="77777777" w:rsidR="00000000" w:rsidRDefault="00000000">
            <w:pPr>
              <w:jc w:val="center"/>
              <w:rPr>
                <w:rFonts w:eastAsia="Times New Roman"/>
                <w:color w:val="5A3E36"/>
                <w:sz w:val="27"/>
                <w:szCs w:val="27"/>
              </w:rPr>
            </w:pPr>
            <w:r>
              <w:rPr>
                <w:rFonts w:eastAsia="Times New Roman"/>
                <w:color w:val="5A3E36"/>
                <w:sz w:val="27"/>
                <w:szCs w:val="27"/>
              </w:rPr>
              <w:lastRenderedPageBreak/>
              <w:t>2</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71A4FB5" w14:textId="77777777" w:rsidR="00000000" w:rsidRDefault="00000000">
            <w:pPr>
              <w:jc w:val="center"/>
              <w:rPr>
                <w:rFonts w:eastAsia="Times New Roman"/>
                <w:color w:val="5A3E36"/>
                <w:sz w:val="27"/>
                <w:szCs w:val="27"/>
              </w:rPr>
            </w:pPr>
            <w:r>
              <w:rPr>
                <w:rFonts w:eastAsia="Times New Roman"/>
                <w:color w:val="5A3E36"/>
                <w:sz w:val="27"/>
                <w:szCs w:val="27"/>
              </w:rPr>
              <w:t>20% Off Annual Membership</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0770AEEB"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This week only: Save 20% on annual memberships and unlock full access to all premium facilities. Your transformation starts now.</w:t>
            </w:r>
          </w:p>
        </w:tc>
      </w:tr>
      <w:tr w:rsidR="00000000" w14:paraId="2B2057B2"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4A71AD3" w14:textId="77777777" w:rsidR="00000000" w:rsidRDefault="00000000">
            <w:pPr>
              <w:jc w:val="center"/>
              <w:rPr>
                <w:rFonts w:eastAsia="Times New Roman"/>
                <w:color w:val="5A3E36"/>
                <w:sz w:val="27"/>
                <w:szCs w:val="27"/>
              </w:rPr>
            </w:pPr>
            <w:r>
              <w:rPr>
                <w:rFonts w:eastAsia="Times New Roman"/>
                <w:color w:val="5A3E36"/>
                <w:sz w:val="27"/>
                <w:szCs w:val="27"/>
              </w:rPr>
              <w:t>3</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9BD10DB" w14:textId="77777777" w:rsidR="00000000" w:rsidRDefault="00000000">
            <w:pPr>
              <w:jc w:val="center"/>
              <w:rPr>
                <w:rFonts w:eastAsia="Times New Roman"/>
                <w:color w:val="5A3E36"/>
                <w:sz w:val="27"/>
                <w:szCs w:val="27"/>
              </w:rPr>
            </w:pPr>
            <w:r>
              <w:rPr>
                <w:rFonts w:eastAsia="Times New Roman"/>
                <w:color w:val="5A3E36"/>
                <w:sz w:val="27"/>
                <w:szCs w:val="27"/>
              </w:rPr>
              <w:t>See How Our Members Succeeded</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753C734D"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Meet Amina, one of our members who achieved incredible results in just 12 weeks. Start your own journey today!</w:t>
            </w:r>
          </w:p>
        </w:tc>
      </w:tr>
      <w:tr w:rsidR="00000000" w14:paraId="11C18106"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2D111EC" w14:textId="77777777" w:rsidR="00000000" w:rsidRDefault="00000000">
            <w:pPr>
              <w:jc w:val="center"/>
              <w:rPr>
                <w:rFonts w:eastAsia="Times New Roman"/>
                <w:color w:val="5A3E36"/>
                <w:sz w:val="27"/>
                <w:szCs w:val="27"/>
              </w:rPr>
            </w:pPr>
            <w:r>
              <w:rPr>
                <w:rFonts w:eastAsia="Times New Roman"/>
                <w:color w:val="5A3E36"/>
                <w:sz w:val="27"/>
                <w:szCs w:val="27"/>
              </w:rPr>
              <w:t>4</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9A93E6F" w14:textId="77777777" w:rsidR="00000000" w:rsidRDefault="00000000">
            <w:pPr>
              <w:jc w:val="center"/>
              <w:rPr>
                <w:rFonts w:eastAsia="Times New Roman"/>
                <w:color w:val="5A3E36"/>
                <w:sz w:val="27"/>
                <w:szCs w:val="27"/>
              </w:rPr>
            </w:pPr>
            <w:r>
              <w:rPr>
                <w:rFonts w:eastAsia="Times New Roman"/>
                <w:color w:val="5A3E36"/>
                <w:sz w:val="27"/>
                <w:szCs w:val="27"/>
              </w:rPr>
              <w:t>Join Our Fitness Challenge</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6CCD0EE6"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Ready for a challenge? Join our 4-week transformation and win exclusive rewards. Sign up before slots run out!</w:t>
            </w:r>
          </w:p>
        </w:tc>
      </w:tr>
      <w:tr w:rsidR="00000000" w14:paraId="651F63A1"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477F7335" w14:textId="77777777" w:rsidR="00000000" w:rsidRDefault="00000000">
            <w:pPr>
              <w:jc w:val="center"/>
              <w:rPr>
                <w:rFonts w:eastAsia="Times New Roman"/>
                <w:color w:val="5A3E36"/>
                <w:sz w:val="27"/>
                <w:szCs w:val="27"/>
              </w:rPr>
            </w:pPr>
            <w:r>
              <w:rPr>
                <w:rFonts w:eastAsia="Times New Roman"/>
                <w:color w:val="5A3E36"/>
                <w:sz w:val="27"/>
                <w:szCs w:val="27"/>
              </w:rPr>
              <w:t>5</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F73A2A6" w14:textId="77777777" w:rsidR="00000000" w:rsidRDefault="00000000">
            <w:pPr>
              <w:jc w:val="center"/>
              <w:rPr>
                <w:rFonts w:eastAsia="Times New Roman"/>
                <w:color w:val="5A3E36"/>
                <w:sz w:val="27"/>
                <w:szCs w:val="27"/>
              </w:rPr>
            </w:pPr>
            <w:r>
              <w:rPr>
                <w:rFonts w:eastAsia="Times New Roman"/>
                <w:color w:val="5A3E36"/>
                <w:sz w:val="27"/>
                <w:szCs w:val="27"/>
              </w:rPr>
              <w:t>New Classes Just Launched!</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1233B7D0"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We’ve added new group classes, yoga sessions, and HIIT programs. Check the schedule and reserve your spot now!</w:t>
            </w:r>
          </w:p>
        </w:tc>
      </w:tr>
      <w:tr w:rsidR="00000000" w14:paraId="52D2947B"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03DF2C1" w14:textId="77777777" w:rsidR="00000000" w:rsidRDefault="00000000">
            <w:pPr>
              <w:jc w:val="center"/>
              <w:rPr>
                <w:rFonts w:eastAsia="Times New Roman"/>
                <w:color w:val="5A3E36"/>
                <w:sz w:val="27"/>
                <w:szCs w:val="27"/>
              </w:rPr>
            </w:pPr>
            <w:r>
              <w:rPr>
                <w:rFonts w:eastAsia="Times New Roman"/>
                <w:color w:val="5A3E36"/>
                <w:sz w:val="27"/>
                <w:szCs w:val="27"/>
              </w:rPr>
              <w:t>6</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39692BA" w14:textId="77777777" w:rsidR="00000000" w:rsidRDefault="00000000">
            <w:pPr>
              <w:jc w:val="center"/>
              <w:rPr>
                <w:rFonts w:eastAsia="Times New Roman"/>
                <w:color w:val="5A3E36"/>
                <w:sz w:val="27"/>
                <w:szCs w:val="27"/>
              </w:rPr>
            </w:pPr>
            <w:r>
              <w:rPr>
                <w:rFonts w:eastAsia="Times New Roman"/>
                <w:color w:val="5A3E36"/>
                <w:sz w:val="27"/>
                <w:szCs w:val="27"/>
              </w:rPr>
              <w:t>Spring Into Fitness</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2287E7C1"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Make this season your strongest one yet. Get fit, stay motivated, and enjoy a limited-time discount this week only.</w:t>
            </w:r>
          </w:p>
        </w:tc>
      </w:tr>
      <w:tr w:rsidR="00000000" w14:paraId="254C218E"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3970374" w14:textId="77777777" w:rsidR="00000000" w:rsidRDefault="00000000">
            <w:pPr>
              <w:jc w:val="center"/>
              <w:rPr>
                <w:rFonts w:eastAsia="Times New Roman"/>
                <w:color w:val="5A3E36"/>
                <w:sz w:val="27"/>
                <w:szCs w:val="27"/>
              </w:rPr>
            </w:pPr>
            <w:r>
              <w:rPr>
                <w:rFonts w:eastAsia="Times New Roman"/>
                <w:color w:val="5A3E36"/>
                <w:sz w:val="27"/>
                <w:szCs w:val="27"/>
              </w:rPr>
              <w:t>7</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36C7201" w14:textId="77777777" w:rsidR="00000000" w:rsidRDefault="00000000">
            <w:pPr>
              <w:jc w:val="center"/>
              <w:rPr>
                <w:rFonts w:eastAsia="Times New Roman"/>
                <w:color w:val="5A3E36"/>
                <w:sz w:val="27"/>
                <w:szCs w:val="27"/>
              </w:rPr>
            </w:pPr>
            <w:r>
              <w:rPr>
                <w:rFonts w:eastAsia="Times New Roman"/>
                <w:color w:val="5A3E36"/>
                <w:sz w:val="27"/>
                <w:szCs w:val="27"/>
              </w:rPr>
              <w:t>Refer a Friend</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725E4363"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Share the Mory experience! Invite your friends and earn exclusive membership rewards for every referral.</w:t>
            </w:r>
          </w:p>
        </w:tc>
      </w:tr>
      <w:tr w:rsidR="00000000" w14:paraId="7934D559"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74B01056" w14:textId="77777777" w:rsidR="00000000" w:rsidRDefault="00000000">
            <w:pPr>
              <w:jc w:val="center"/>
              <w:rPr>
                <w:rFonts w:eastAsia="Times New Roman"/>
                <w:color w:val="5A3E36"/>
                <w:sz w:val="27"/>
                <w:szCs w:val="27"/>
              </w:rPr>
            </w:pPr>
            <w:r>
              <w:rPr>
                <w:rFonts w:eastAsia="Times New Roman"/>
                <w:color w:val="5A3E36"/>
                <w:sz w:val="27"/>
                <w:szCs w:val="27"/>
              </w:rPr>
              <w:lastRenderedPageBreak/>
              <w:t>8</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16FA596" w14:textId="77777777" w:rsidR="00000000" w:rsidRDefault="00000000">
            <w:pPr>
              <w:jc w:val="center"/>
              <w:rPr>
                <w:rFonts w:eastAsia="Times New Roman"/>
                <w:color w:val="5A3E36"/>
                <w:sz w:val="27"/>
                <w:szCs w:val="27"/>
              </w:rPr>
            </w:pPr>
            <w:r>
              <w:rPr>
                <w:rFonts w:eastAsia="Times New Roman"/>
                <w:color w:val="5A3E36"/>
                <w:sz w:val="27"/>
                <w:szCs w:val="27"/>
              </w:rPr>
              <w:t>Thank You &amp; Loyalty Rewards</w:t>
            </w:r>
          </w:p>
        </w:tc>
        <w:tc>
          <w:tcPr>
            <w:tcW w:w="0" w:type="auto"/>
            <w:tcBorders>
              <w:top w:val="single" w:sz="6" w:space="0" w:color="CBB292"/>
              <w:left w:val="single" w:sz="6" w:space="0" w:color="CBB292"/>
              <w:bottom w:val="single" w:sz="6" w:space="0" w:color="CBB292"/>
              <w:right w:val="single" w:sz="6" w:space="0" w:color="CBB292"/>
            </w:tcBorders>
            <w:shd w:val="clear" w:color="auto" w:fill="FFF3E6"/>
            <w:tcMar>
              <w:top w:w="150" w:type="dxa"/>
              <w:left w:w="225" w:type="dxa"/>
              <w:bottom w:w="150" w:type="dxa"/>
              <w:right w:w="225" w:type="dxa"/>
            </w:tcMar>
            <w:vAlign w:val="center"/>
            <w:hideMark/>
          </w:tcPr>
          <w:p w14:paraId="53302629" w14:textId="77777777" w:rsidR="00000000" w:rsidRDefault="00000000">
            <w:pPr>
              <w:spacing w:before="150" w:after="150"/>
              <w:jc w:val="center"/>
              <w:rPr>
                <w:rFonts w:eastAsia="Times New Roman"/>
                <w:i/>
                <w:iCs/>
                <w:color w:val="5A3E36"/>
                <w:sz w:val="27"/>
                <w:szCs w:val="27"/>
              </w:rPr>
            </w:pPr>
            <w:r>
              <w:rPr>
                <w:rFonts w:eastAsia="Times New Roman"/>
                <w:i/>
                <w:iCs/>
                <w:color w:val="5A3E36"/>
                <w:sz w:val="27"/>
                <w:szCs w:val="27"/>
              </w:rPr>
              <w:t>Your dedication inspires us! Enjoy a special loyalty discount on your next renewal and keep achieving with Mory Gym.</w:t>
            </w:r>
          </w:p>
        </w:tc>
      </w:tr>
    </w:tbl>
    <w:p w14:paraId="7AE9AB18" w14:textId="77777777" w:rsidR="00000000" w:rsidRDefault="00000000">
      <w:pPr>
        <w:pStyle w:val="Heading2"/>
        <w:rPr>
          <w:rFonts w:eastAsia="Times New Roman"/>
          <w:color w:val="5A3E36"/>
          <w:lang w:val="en"/>
        </w:rPr>
      </w:pPr>
      <w:r>
        <w:rPr>
          <w:rFonts w:eastAsia="Times New Roman"/>
          <w:color w:val="5A3E36"/>
          <w:lang w:val="en"/>
        </w:rPr>
        <w:t>Performance Summary</w:t>
      </w:r>
    </w:p>
    <w:tbl>
      <w:tblPr>
        <w:tblW w:w="5000" w:type="pct"/>
        <w:tblCellMar>
          <w:top w:w="15" w:type="dxa"/>
          <w:left w:w="15" w:type="dxa"/>
          <w:bottom w:w="15" w:type="dxa"/>
          <w:right w:w="15" w:type="dxa"/>
        </w:tblCellMar>
        <w:tblLook w:val="04A0" w:firstRow="1" w:lastRow="0" w:firstColumn="1" w:lastColumn="0" w:noHBand="0" w:noVBand="1"/>
      </w:tblPr>
      <w:tblGrid>
        <w:gridCol w:w="5764"/>
        <w:gridCol w:w="3580"/>
      </w:tblGrid>
      <w:tr w:rsidR="00000000" w14:paraId="50D92174" w14:textId="77777777">
        <w:trPr>
          <w:tblHeader/>
        </w:trPr>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7155A9FB"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Metric</w:t>
            </w:r>
          </w:p>
        </w:tc>
        <w:tc>
          <w:tcPr>
            <w:tcW w:w="0" w:type="auto"/>
            <w:tcBorders>
              <w:top w:val="single" w:sz="6" w:space="0" w:color="CBB292"/>
              <w:left w:val="single" w:sz="6" w:space="0" w:color="CBB292"/>
              <w:bottom w:val="single" w:sz="6" w:space="0" w:color="CBB292"/>
              <w:right w:val="single" w:sz="6" w:space="0" w:color="CBB292"/>
            </w:tcBorders>
            <w:shd w:val="clear" w:color="auto" w:fill="F8ECDE"/>
            <w:tcMar>
              <w:top w:w="180" w:type="dxa"/>
              <w:left w:w="225" w:type="dxa"/>
              <w:bottom w:w="180" w:type="dxa"/>
              <w:right w:w="225" w:type="dxa"/>
            </w:tcMar>
            <w:vAlign w:val="center"/>
            <w:hideMark/>
          </w:tcPr>
          <w:p w14:paraId="7E670288"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Total / Average</w:t>
            </w:r>
          </w:p>
        </w:tc>
      </w:tr>
      <w:tr w:rsidR="00000000" w14:paraId="09177F5B"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4E53755"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Total New Members</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588889B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1,800</w:t>
            </w:r>
          </w:p>
        </w:tc>
      </w:tr>
      <w:tr w:rsidR="00000000" w14:paraId="683A496F"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657D8C0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Total Revenue Generated</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C724E8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1,080,000 EGP</w:t>
            </w:r>
          </w:p>
        </w:tc>
      </w:tr>
      <w:tr w:rsidR="00000000" w14:paraId="368EA2BA"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F20055D"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Average Open Rate</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2A7A72B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46.25%</w:t>
            </w:r>
          </w:p>
        </w:tc>
      </w:tr>
      <w:tr w:rsidR="00000000" w14:paraId="79C283A5"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19059CC7"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Average Click-Through Rate</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75C44A8"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15%</w:t>
            </w:r>
          </w:p>
        </w:tc>
      </w:tr>
      <w:tr w:rsidR="00000000" w14:paraId="54161463" w14:textId="77777777">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36414DF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lastRenderedPageBreak/>
              <w:t>Average Conversion Rate</w:t>
            </w:r>
          </w:p>
        </w:tc>
        <w:tc>
          <w:tcPr>
            <w:tcW w:w="0" w:type="auto"/>
            <w:tcBorders>
              <w:top w:val="single" w:sz="6" w:space="0" w:color="CBB292"/>
              <w:left w:val="single" w:sz="6" w:space="0" w:color="CBB292"/>
              <w:bottom w:val="single" w:sz="6" w:space="0" w:color="CBB292"/>
              <w:right w:val="single" w:sz="6" w:space="0" w:color="CBB292"/>
            </w:tcBorders>
            <w:tcMar>
              <w:top w:w="180" w:type="dxa"/>
              <w:left w:w="225" w:type="dxa"/>
              <w:bottom w:w="180" w:type="dxa"/>
              <w:right w:w="225" w:type="dxa"/>
            </w:tcMar>
            <w:vAlign w:val="center"/>
            <w:hideMark/>
          </w:tcPr>
          <w:p w14:paraId="025A0FA0"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12%</w:t>
            </w:r>
          </w:p>
        </w:tc>
      </w:tr>
    </w:tbl>
    <w:p w14:paraId="6E18FAB2" w14:textId="77777777" w:rsidR="00000000" w:rsidRDefault="00000000">
      <w:pPr>
        <w:pStyle w:val="Heading2"/>
        <w:rPr>
          <w:rFonts w:eastAsia="Times New Roman"/>
          <w:color w:val="5A3E36"/>
          <w:lang w:val="en"/>
        </w:rPr>
      </w:pPr>
      <w:r>
        <w:rPr>
          <w:rFonts w:eastAsia="Times New Roman"/>
          <w:color w:val="5A3E36"/>
          <w:lang w:val="en"/>
        </w:rPr>
        <w:t>Key Insights</w:t>
      </w:r>
    </w:p>
    <w:p w14:paraId="4F56829D" w14:textId="77777777" w:rsidR="00000000" w:rsidRDefault="00000000">
      <w:pPr>
        <w:numPr>
          <w:ilvl w:val="0"/>
          <w:numId w:val="1"/>
        </w:numPr>
        <w:spacing w:before="100" w:beforeAutospacing="1" w:after="100" w:afterAutospacing="1"/>
        <w:ind w:left="1095"/>
        <w:rPr>
          <w:rFonts w:eastAsia="Times New Roman"/>
          <w:color w:val="5A3E36"/>
          <w:sz w:val="27"/>
          <w:szCs w:val="27"/>
          <w:lang w:val="en"/>
        </w:rPr>
      </w:pPr>
      <w:r>
        <w:rPr>
          <w:rFonts w:eastAsia="Times New Roman"/>
          <w:color w:val="5A3E36"/>
          <w:sz w:val="27"/>
          <w:szCs w:val="27"/>
          <w:lang w:val="en"/>
        </w:rPr>
        <w:t>Personalized subject lines and behavior-triggered delivery boosted open rates by 18% compared to the prior campaign.</w:t>
      </w:r>
    </w:p>
    <w:p w14:paraId="44DD95EE" w14:textId="77777777" w:rsidR="00000000" w:rsidRDefault="00000000">
      <w:pPr>
        <w:numPr>
          <w:ilvl w:val="0"/>
          <w:numId w:val="1"/>
        </w:numPr>
        <w:spacing w:before="100" w:beforeAutospacing="1" w:after="100" w:afterAutospacing="1"/>
        <w:ind w:left="1095"/>
        <w:rPr>
          <w:rFonts w:eastAsia="Times New Roman"/>
          <w:color w:val="5A3E36"/>
          <w:sz w:val="27"/>
          <w:szCs w:val="27"/>
          <w:lang w:val="en"/>
        </w:rPr>
      </w:pPr>
      <w:r>
        <w:rPr>
          <w:rFonts w:eastAsia="Times New Roman"/>
          <w:color w:val="5A3E36"/>
          <w:sz w:val="27"/>
          <w:szCs w:val="27"/>
          <w:lang w:val="en"/>
        </w:rPr>
        <w:t>Emails with testimonials and visuals generated 1.3x higher CTR than promotional offers alone.</w:t>
      </w:r>
    </w:p>
    <w:p w14:paraId="03CD9D96" w14:textId="77777777" w:rsidR="00000000" w:rsidRDefault="00000000">
      <w:pPr>
        <w:numPr>
          <w:ilvl w:val="0"/>
          <w:numId w:val="1"/>
        </w:numPr>
        <w:spacing w:before="100" w:beforeAutospacing="1" w:after="100" w:afterAutospacing="1"/>
        <w:ind w:left="1095"/>
        <w:rPr>
          <w:rFonts w:eastAsia="Times New Roman"/>
          <w:color w:val="5A3E36"/>
          <w:sz w:val="27"/>
          <w:szCs w:val="27"/>
          <w:lang w:val="en"/>
        </w:rPr>
      </w:pPr>
      <w:r>
        <w:rPr>
          <w:rFonts w:eastAsia="Times New Roman"/>
          <w:color w:val="5A3E36"/>
          <w:sz w:val="27"/>
          <w:szCs w:val="27"/>
          <w:lang w:val="en"/>
        </w:rPr>
        <w:t>Referral and loyalty-focused emails contributed to the highest engagement, improving retention metrics significantly.</w:t>
      </w:r>
    </w:p>
    <w:p w14:paraId="022339F8" w14:textId="77777777" w:rsidR="00000000" w:rsidRDefault="00000000">
      <w:pPr>
        <w:numPr>
          <w:ilvl w:val="0"/>
          <w:numId w:val="1"/>
        </w:numPr>
        <w:spacing w:before="100" w:beforeAutospacing="1" w:after="100" w:afterAutospacing="1"/>
        <w:ind w:left="1095"/>
        <w:rPr>
          <w:rFonts w:eastAsia="Times New Roman"/>
          <w:color w:val="5A3E36"/>
          <w:sz w:val="27"/>
          <w:szCs w:val="27"/>
          <w:lang w:val="en"/>
        </w:rPr>
      </w:pPr>
      <w:r>
        <w:rPr>
          <w:rFonts w:eastAsia="Times New Roman"/>
          <w:color w:val="5A3E36"/>
          <w:sz w:val="27"/>
          <w:szCs w:val="27"/>
          <w:lang w:val="en"/>
        </w:rPr>
        <w:t>Automation flows ensured timely follow-ups based on user engagement and abandoned sign-ups, leading to consistent conversions.</w:t>
      </w:r>
    </w:p>
    <w:p w14:paraId="1C739498" w14:textId="77777777" w:rsidR="00000000" w:rsidRDefault="00000000">
      <w:pPr>
        <w:pStyle w:val="Heading2"/>
        <w:rPr>
          <w:rFonts w:eastAsia="Times New Roman"/>
          <w:color w:val="5A3E36"/>
          <w:lang w:val="en"/>
        </w:rPr>
      </w:pPr>
      <w:r>
        <w:rPr>
          <w:rFonts w:eastAsia="Times New Roman"/>
          <w:color w:val="5A3E36"/>
          <w:lang w:val="en"/>
        </w:rPr>
        <w:t>Tools &amp; Validation</w:t>
      </w:r>
    </w:p>
    <w:p w14:paraId="19185939" w14:textId="77777777" w:rsidR="00213E8D" w:rsidRDefault="00000000">
      <w:pPr>
        <w:pStyle w:val="NormalWeb"/>
        <w:rPr>
          <w:color w:val="5A3E36"/>
          <w:lang w:val="en"/>
        </w:rPr>
      </w:pPr>
      <w:r>
        <w:rPr>
          <w:color w:val="5A3E36"/>
          <w:lang w:val="en"/>
        </w:rPr>
        <w:t>Mailchimp was used for automation, with built-in A/B testing and behavioral triggers. UTM tracking was applied to all CTAs and validated in Google Analytics 4. Conversion data was verified against CRM entries and payment receipts. Looker Studio dashboards consolidated results and enabled weekly performance reporting for optimization and executive review.</w:t>
      </w:r>
    </w:p>
    <w:sectPr w:rsidR="00213E8D" w:rsidSect="00D176E2">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B5E2A"/>
    <w:multiLevelType w:val="multilevel"/>
    <w:tmpl w:val="5B6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87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76E2"/>
    <w:rsid w:val="00213E8D"/>
    <w:rsid w:val="00AC4F0C"/>
    <w:rsid w:val="00D1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71AE4"/>
  <w15:chartTrackingRefBased/>
  <w15:docId w15:val="{5CBD7B50-B236-4C8C-B7D8-3D077FEC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CBB292"/>
      </w:pBdr>
      <w:spacing w:before="100" w:beforeAutospacing="1" w:after="600"/>
      <w:jc w:val="center"/>
      <w:outlineLvl w:val="0"/>
    </w:pPr>
    <w:rPr>
      <w:b/>
      <w:bCs/>
      <w:kern w:val="36"/>
      <w:sz w:val="51"/>
      <w:szCs w:val="51"/>
    </w:rPr>
  </w:style>
  <w:style w:type="paragraph" w:styleId="Heading2">
    <w:name w:val="heading 2"/>
    <w:basedOn w:val="Normal"/>
    <w:link w:val="Heading2Char"/>
    <w:uiPriority w:val="9"/>
    <w:qFormat/>
    <w:pPr>
      <w:pBdr>
        <w:bottom w:val="single" w:sz="12" w:space="5" w:color="D6B87B"/>
      </w:pBdr>
      <w:spacing w:before="600" w:after="100" w:afterAutospacing="1"/>
      <w:outlineLvl w:val="1"/>
    </w:pPr>
    <w:rPr>
      <w:b/>
      <w:bCs/>
      <w:sz w:val="39"/>
      <w:szCs w:val="39"/>
    </w:rPr>
  </w:style>
  <w:style w:type="paragraph" w:styleId="Heading3">
    <w:name w:val="heading 3"/>
    <w:basedOn w:val="Normal"/>
    <w:link w:val="Heading3Char"/>
    <w:uiPriority w:val="9"/>
    <w:qFormat/>
    <w:pPr>
      <w:spacing w:before="375" w:after="100" w:afterAutospacing="1"/>
      <w:outlineLvl w:val="2"/>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300"/>
    </w:pPr>
    <w:rPr>
      <w:sz w:val="27"/>
      <w:szCs w:val="27"/>
    </w:rPr>
  </w:style>
  <w:style w:type="paragraph" w:styleId="NormalWeb">
    <w:name w:val="Normal (Web)"/>
    <w:basedOn w:val="Normal"/>
    <w:uiPriority w:val="99"/>
    <w:semiHidden/>
    <w:unhideWhenUsed/>
    <w:pPr>
      <w:spacing w:before="100" w:beforeAutospacing="1" w:after="300"/>
    </w:pPr>
    <w:rPr>
      <w:sz w:val="27"/>
      <w:szCs w:val="27"/>
    </w:rPr>
  </w:style>
  <w:style w:type="paragraph" w:customStyle="1" w:styleId="line">
    <w:name w:val="line"/>
    <w:basedOn w:val="Normal"/>
    <w:pPr>
      <w:pBdr>
        <w:bottom w:val="single" w:sz="18" w:space="0" w:color="CBB292"/>
      </w:pBdr>
      <w:spacing w:before="750" w:after="750"/>
    </w:pPr>
  </w:style>
  <w:style w:type="paragraph" w:customStyle="1" w:styleId="quote">
    <w:name w:val="quote"/>
    <w:basedOn w:val="Normal"/>
    <w:pPr>
      <w:shd w:val="clear" w:color="auto" w:fill="FFF3E6"/>
      <w:spacing w:before="150" w:after="150"/>
    </w:pPr>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Email Marketing Campaign</dc:title>
  <dc:subject/>
  <dc:creator>Moe AbdelRazek</dc:creator>
  <cp:keywords/>
  <dc:description/>
  <cp:lastModifiedBy>Moe AbdelRazek</cp:lastModifiedBy>
  <cp:revision>2</cp:revision>
  <dcterms:created xsi:type="dcterms:W3CDTF">2025-10-16T17:32:00Z</dcterms:created>
  <dcterms:modified xsi:type="dcterms:W3CDTF">2025-10-16T17:32:00Z</dcterms:modified>
</cp:coreProperties>
</file>