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12F69" w14:textId="77777777" w:rsidR="00000000" w:rsidRDefault="00000000">
      <w:pPr>
        <w:pStyle w:val="Heading1"/>
        <w:rPr>
          <w:rFonts w:eastAsia="Times New Roman"/>
          <w:color w:val="5A3E36"/>
          <w:lang w:val="en"/>
        </w:rPr>
      </w:pPr>
      <w:r>
        <w:rPr>
          <w:rFonts w:eastAsia="Times New Roman"/>
          <w:color w:val="5A3E36"/>
          <w:lang w:val="en"/>
        </w:rPr>
        <w:t>Mory Gym Campaign — Market &amp; Competitive Analysis</w:t>
      </w:r>
    </w:p>
    <w:p w14:paraId="62949AE5" w14:textId="77777777" w:rsidR="00000000" w:rsidRDefault="00000000">
      <w:pPr>
        <w:spacing w:after="450"/>
        <w:rPr>
          <w:rFonts w:eastAsia="Times New Roman"/>
          <w:color w:val="5A3E36"/>
          <w:lang w:val="en"/>
        </w:rPr>
      </w:pPr>
      <w:r>
        <w:rPr>
          <w:rFonts w:eastAsia="Times New Roman"/>
          <w:color w:val="5A3E36"/>
          <w:lang w:val="en"/>
        </w:rPr>
        <w:pict w14:anchorId="2EBBA63D">
          <v:rect id="_x0000_i1025" style="width:0;height:1.5pt" o:hralign="center" o:hrstd="t" o:hr="t" fillcolor="#a0a0a0" stroked="f"/>
        </w:pict>
      </w:r>
    </w:p>
    <w:p w14:paraId="7A073587" w14:textId="77777777" w:rsidR="00000000" w:rsidRDefault="00000000">
      <w:pPr>
        <w:pStyle w:val="Heading2"/>
        <w:rPr>
          <w:rFonts w:eastAsia="Times New Roman"/>
          <w:color w:val="5A3E36"/>
          <w:lang w:val="en"/>
        </w:rPr>
      </w:pPr>
      <w:r>
        <w:rPr>
          <w:rFonts w:eastAsia="Times New Roman"/>
          <w:color w:val="5A3E36"/>
          <w:lang w:val="en"/>
        </w:rPr>
        <w:t>Strategic Overview</w:t>
      </w:r>
    </w:p>
    <w:p w14:paraId="019D834B" w14:textId="77777777" w:rsidR="00000000" w:rsidRDefault="00000000">
      <w:pPr>
        <w:pStyle w:val="NormalWeb"/>
        <w:rPr>
          <w:color w:val="5A3E36"/>
          <w:lang w:val="en"/>
        </w:rPr>
      </w:pPr>
      <w:r>
        <w:rPr>
          <w:color w:val="5A3E36"/>
          <w:lang w:val="en"/>
        </w:rPr>
        <w:t>This phase analyzed Alexandria’s evolving fitness ecosystem to identify opportunities for Mory Gym’s expansion and dominance. The focus was on understanding growth trends, emerging member behaviors, and pinpointing competitive gaps within the local market.</w:t>
      </w:r>
    </w:p>
    <w:p w14:paraId="12C2827B" w14:textId="77777777" w:rsidR="00000000" w:rsidRDefault="00000000">
      <w:pPr>
        <w:pStyle w:val="NormalWeb"/>
        <w:rPr>
          <w:color w:val="5A3E36"/>
          <w:lang w:val="en"/>
        </w:rPr>
      </w:pPr>
      <w:r>
        <w:rPr>
          <w:color w:val="5A3E36"/>
          <w:lang w:val="en"/>
        </w:rPr>
        <w:t>The research was structured in three tiers: macro (Egypt fitness market), micro (Alexandria-based competition), and behavioral (consumer motivation and retention trends).</w:t>
      </w:r>
    </w:p>
    <w:p w14:paraId="4B145EEF" w14:textId="77777777" w:rsidR="00000000" w:rsidRDefault="00000000">
      <w:pPr>
        <w:pStyle w:val="Heading2"/>
        <w:rPr>
          <w:rFonts w:eastAsia="Times New Roman"/>
          <w:color w:val="5A3E36"/>
          <w:lang w:val="en"/>
        </w:rPr>
      </w:pPr>
      <w:r>
        <w:rPr>
          <w:rFonts w:eastAsia="Times New Roman"/>
          <w:color w:val="5A3E36"/>
          <w:lang w:val="en"/>
        </w:rPr>
        <w:t>Egypt’s Fitness Market Growth (2023–2026)</w:t>
      </w:r>
    </w:p>
    <w:p w14:paraId="678AC948" w14:textId="77777777" w:rsidR="00000000" w:rsidRDefault="00000000">
      <w:pPr>
        <w:pStyle w:val="NormalWeb"/>
        <w:rPr>
          <w:color w:val="5A3E36"/>
          <w:lang w:val="en"/>
        </w:rPr>
      </w:pPr>
      <w:r>
        <w:rPr>
          <w:color w:val="5A3E36"/>
          <w:lang w:val="en"/>
        </w:rPr>
        <w:t xml:space="preserve">Between 2023 and 2026, Egypt’s fitness market recorded an average compound annual growth rate of </w:t>
      </w:r>
      <w:r>
        <w:rPr>
          <w:b/>
          <w:bCs/>
          <w:color w:val="5A3E36"/>
          <w:lang w:val="en"/>
        </w:rPr>
        <w:t>+8%</w:t>
      </w:r>
      <w:r>
        <w:rPr>
          <w:color w:val="5A3E36"/>
          <w:lang w:val="en"/>
        </w:rPr>
        <w:t xml:space="preserve">, driven by increased wellness awareness, social media fitness culture, and the rise of specialized studios. Data was collected from </w:t>
      </w:r>
      <w:r>
        <w:rPr>
          <w:b/>
          <w:bCs/>
          <w:color w:val="5A3E36"/>
          <w:lang w:val="en"/>
        </w:rPr>
        <w:t>Statista, Euromonitor, and CAPMAS</w:t>
      </w:r>
      <w:r>
        <w:rPr>
          <w:color w:val="5A3E36"/>
          <w:lang w:val="en"/>
        </w:rPr>
        <w:t xml:space="preserve"> reports, benchmarked against urban gym penetration in Cairo and Alexandria.</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1080"/>
        <w:gridCol w:w="6086"/>
        <w:gridCol w:w="2178"/>
      </w:tblGrid>
      <w:tr w:rsidR="00000000" w14:paraId="11A059BF"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258B834" w14:textId="77777777" w:rsidR="00000000" w:rsidRDefault="00000000">
            <w:pPr>
              <w:spacing w:before="225"/>
              <w:rPr>
                <w:rFonts w:eastAsia="Times New Roman"/>
                <w:b/>
                <w:bCs/>
                <w:color w:val="5A3E36"/>
              </w:rPr>
            </w:pPr>
            <w:r>
              <w:rPr>
                <w:rFonts w:eastAsia="Times New Roman"/>
                <w:b/>
                <w:bCs/>
                <w:color w:val="5A3E36"/>
              </w:rPr>
              <w:t>Year</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09F960F" w14:textId="77777777" w:rsidR="00000000" w:rsidRDefault="00000000">
            <w:pPr>
              <w:spacing w:before="225"/>
              <w:rPr>
                <w:rFonts w:eastAsia="Times New Roman"/>
                <w:b/>
                <w:bCs/>
                <w:color w:val="5A3E36"/>
              </w:rPr>
            </w:pPr>
            <w:r>
              <w:rPr>
                <w:rFonts w:eastAsia="Times New Roman"/>
                <w:b/>
                <w:bCs/>
                <w:color w:val="5A3E36"/>
              </w:rPr>
              <w:t>Average Gym Memberships (Alexandria)</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54C77E4" w14:textId="77777777" w:rsidR="00000000" w:rsidRDefault="00000000">
            <w:pPr>
              <w:spacing w:before="225"/>
              <w:rPr>
                <w:rFonts w:eastAsia="Times New Roman"/>
                <w:b/>
                <w:bCs/>
                <w:color w:val="5A3E36"/>
              </w:rPr>
            </w:pPr>
            <w:r>
              <w:rPr>
                <w:rFonts w:eastAsia="Times New Roman"/>
                <w:b/>
                <w:bCs/>
                <w:color w:val="5A3E36"/>
              </w:rPr>
              <w:t>Growth YoY</w:t>
            </w:r>
          </w:p>
        </w:tc>
      </w:tr>
      <w:tr w:rsidR="00000000" w14:paraId="56972AEA"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F9FA7DD" w14:textId="77777777" w:rsidR="00000000" w:rsidRDefault="00000000">
            <w:pPr>
              <w:spacing w:before="225"/>
              <w:rPr>
                <w:rFonts w:eastAsia="Times New Roman"/>
                <w:color w:val="5A3E36"/>
              </w:rPr>
            </w:pPr>
            <w:r>
              <w:rPr>
                <w:rFonts w:eastAsia="Times New Roman"/>
                <w:color w:val="5A3E36"/>
              </w:rPr>
              <w:t>2023</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AF79AF5" w14:textId="77777777" w:rsidR="00000000" w:rsidRDefault="00000000">
            <w:pPr>
              <w:spacing w:before="225"/>
              <w:rPr>
                <w:rFonts w:eastAsia="Times New Roman"/>
                <w:color w:val="5A3E36"/>
              </w:rPr>
            </w:pPr>
            <w:r>
              <w:rPr>
                <w:rFonts w:eastAsia="Times New Roman"/>
                <w:color w:val="5A3E36"/>
              </w:rPr>
              <w:t>1,200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8008265" w14:textId="77777777" w:rsidR="00000000" w:rsidRDefault="00000000">
            <w:pPr>
              <w:spacing w:before="225"/>
              <w:rPr>
                <w:rFonts w:eastAsia="Times New Roman"/>
                <w:color w:val="5A3E36"/>
              </w:rPr>
            </w:pPr>
            <w:r>
              <w:rPr>
                <w:rFonts w:eastAsia="Times New Roman"/>
                <w:color w:val="5A3E36"/>
              </w:rPr>
              <w:t>—</w:t>
            </w:r>
          </w:p>
        </w:tc>
      </w:tr>
      <w:tr w:rsidR="00000000" w14:paraId="7A5633E9"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0564521" w14:textId="77777777" w:rsidR="00000000" w:rsidRDefault="00000000">
            <w:pPr>
              <w:spacing w:before="225"/>
              <w:rPr>
                <w:rFonts w:eastAsia="Times New Roman"/>
                <w:color w:val="5A3E36"/>
              </w:rPr>
            </w:pPr>
            <w:r>
              <w:rPr>
                <w:rFonts w:eastAsia="Times New Roman"/>
                <w:color w:val="5A3E36"/>
              </w:rPr>
              <w:t>2024</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8A6A89B" w14:textId="77777777" w:rsidR="00000000" w:rsidRDefault="00000000">
            <w:pPr>
              <w:spacing w:before="225"/>
              <w:rPr>
                <w:rFonts w:eastAsia="Times New Roman"/>
                <w:color w:val="5A3E36"/>
              </w:rPr>
            </w:pPr>
            <w:r>
              <w:rPr>
                <w:rFonts w:eastAsia="Times New Roman"/>
                <w:color w:val="5A3E36"/>
              </w:rPr>
              <w:t>1,300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C9EFCD3" w14:textId="77777777" w:rsidR="00000000" w:rsidRDefault="00000000">
            <w:pPr>
              <w:spacing w:before="225"/>
              <w:rPr>
                <w:rFonts w:eastAsia="Times New Roman"/>
                <w:color w:val="5A3E36"/>
              </w:rPr>
            </w:pPr>
            <w:r>
              <w:rPr>
                <w:rFonts w:eastAsia="Times New Roman"/>
                <w:color w:val="5A3E36"/>
              </w:rPr>
              <w:t>+8.3%</w:t>
            </w:r>
          </w:p>
        </w:tc>
      </w:tr>
      <w:tr w:rsidR="00000000" w14:paraId="419F8570"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81259B8" w14:textId="77777777" w:rsidR="00000000" w:rsidRDefault="00000000">
            <w:pPr>
              <w:spacing w:before="225"/>
              <w:rPr>
                <w:rFonts w:eastAsia="Times New Roman"/>
                <w:color w:val="5A3E36"/>
              </w:rPr>
            </w:pPr>
            <w:r>
              <w:rPr>
                <w:rFonts w:eastAsia="Times New Roman"/>
                <w:color w:val="5A3E36"/>
              </w:rPr>
              <w:t>2025</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308CD39" w14:textId="77777777" w:rsidR="00000000" w:rsidRDefault="00000000">
            <w:pPr>
              <w:spacing w:before="225"/>
              <w:rPr>
                <w:rFonts w:eastAsia="Times New Roman"/>
                <w:color w:val="5A3E36"/>
              </w:rPr>
            </w:pPr>
            <w:r>
              <w:rPr>
                <w:rFonts w:eastAsia="Times New Roman"/>
                <w:color w:val="5A3E36"/>
              </w:rPr>
              <w:t>1,450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3B5D455" w14:textId="77777777" w:rsidR="00000000" w:rsidRDefault="00000000">
            <w:pPr>
              <w:spacing w:before="225"/>
              <w:rPr>
                <w:rFonts w:eastAsia="Times New Roman"/>
                <w:color w:val="5A3E36"/>
              </w:rPr>
            </w:pPr>
            <w:r>
              <w:rPr>
                <w:rFonts w:eastAsia="Times New Roman"/>
                <w:color w:val="5A3E36"/>
              </w:rPr>
              <w:t>+11.5%</w:t>
            </w:r>
          </w:p>
        </w:tc>
      </w:tr>
      <w:tr w:rsidR="00000000" w14:paraId="0372BA20"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FCEFB3F" w14:textId="77777777" w:rsidR="00000000" w:rsidRDefault="00000000">
            <w:pPr>
              <w:spacing w:before="225"/>
              <w:rPr>
                <w:rFonts w:eastAsia="Times New Roman"/>
                <w:color w:val="5A3E36"/>
              </w:rPr>
            </w:pPr>
            <w:r>
              <w:rPr>
                <w:rFonts w:eastAsia="Times New Roman"/>
                <w:color w:val="5A3E36"/>
              </w:rPr>
              <w:t>2026</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2896664" w14:textId="77777777" w:rsidR="00000000" w:rsidRDefault="00000000">
            <w:pPr>
              <w:spacing w:before="225"/>
              <w:rPr>
                <w:rFonts w:eastAsia="Times New Roman"/>
                <w:color w:val="5A3E36"/>
              </w:rPr>
            </w:pPr>
            <w:r>
              <w:rPr>
                <w:rFonts w:eastAsia="Times New Roman"/>
                <w:color w:val="5A3E36"/>
              </w:rPr>
              <w:t>1,560</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C2A079C" w14:textId="77777777" w:rsidR="00000000" w:rsidRDefault="00000000">
            <w:pPr>
              <w:spacing w:before="225"/>
              <w:rPr>
                <w:rFonts w:eastAsia="Times New Roman"/>
                <w:color w:val="5A3E36"/>
              </w:rPr>
            </w:pPr>
            <w:r>
              <w:rPr>
                <w:rFonts w:eastAsia="Times New Roman"/>
                <w:color w:val="5A3E36"/>
              </w:rPr>
              <w:t>+7.5%</w:t>
            </w:r>
          </w:p>
        </w:tc>
      </w:tr>
    </w:tbl>
    <w:p w14:paraId="635B17EB" w14:textId="77777777" w:rsidR="00000000" w:rsidRDefault="00000000">
      <w:pPr>
        <w:pStyle w:val="NormalWeb"/>
        <w:rPr>
          <w:color w:val="5A3E36"/>
          <w:lang w:val="en"/>
        </w:rPr>
      </w:pPr>
      <w:r>
        <w:rPr>
          <w:color w:val="5A3E36"/>
          <w:lang w:val="en"/>
        </w:rPr>
        <w:t>This dataset informed pricing and capacity expansion forecasts, aligning Mory Gym’s membership growth targets with real market potential.</w:t>
      </w:r>
    </w:p>
    <w:p w14:paraId="38B17859" w14:textId="77777777" w:rsidR="00000000" w:rsidRDefault="00000000">
      <w:pPr>
        <w:pStyle w:val="Heading2"/>
        <w:rPr>
          <w:rFonts w:eastAsia="Times New Roman"/>
          <w:color w:val="5A3E36"/>
          <w:lang w:val="en"/>
        </w:rPr>
      </w:pPr>
      <w:r>
        <w:rPr>
          <w:rFonts w:eastAsia="Times New Roman"/>
          <w:color w:val="5A3E36"/>
          <w:lang w:val="en"/>
        </w:rPr>
        <w:lastRenderedPageBreak/>
        <w:t>Adoption of Specialty Programs</w:t>
      </w:r>
    </w:p>
    <w:p w14:paraId="0B62D057" w14:textId="77777777" w:rsidR="00000000" w:rsidRDefault="00000000">
      <w:pPr>
        <w:pStyle w:val="NormalWeb"/>
        <w:rPr>
          <w:color w:val="5A3E36"/>
          <w:lang w:val="en"/>
        </w:rPr>
      </w:pPr>
      <w:r>
        <w:rPr>
          <w:color w:val="5A3E36"/>
          <w:lang w:val="en"/>
        </w:rPr>
        <w:t xml:space="preserve">Specialty programs such as </w:t>
      </w:r>
      <w:r>
        <w:rPr>
          <w:b/>
          <w:bCs/>
          <w:color w:val="5A3E36"/>
          <w:lang w:val="en"/>
        </w:rPr>
        <w:t>HIIT</w:t>
      </w:r>
      <w:r>
        <w:rPr>
          <w:color w:val="5A3E36"/>
          <w:lang w:val="en"/>
        </w:rPr>
        <w:t xml:space="preserve">, </w:t>
      </w:r>
      <w:r>
        <w:rPr>
          <w:b/>
          <w:bCs/>
          <w:color w:val="5A3E36"/>
          <w:lang w:val="en"/>
        </w:rPr>
        <w:t>functional training</w:t>
      </w:r>
      <w:r>
        <w:rPr>
          <w:color w:val="5A3E36"/>
          <w:lang w:val="en"/>
        </w:rPr>
        <w:t xml:space="preserve">, and </w:t>
      </w:r>
      <w:r>
        <w:rPr>
          <w:b/>
          <w:bCs/>
          <w:color w:val="5A3E36"/>
          <w:lang w:val="en"/>
        </w:rPr>
        <w:t>strength-based group classes</w:t>
      </w:r>
      <w:r>
        <w:rPr>
          <w:color w:val="5A3E36"/>
          <w:lang w:val="en"/>
        </w:rPr>
        <w:t xml:space="preserve"> showed the highest adoption rates across urban gyms. Research revealed that </w:t>
      </w:r>
      <w:r>
        <w:rPr>
          <w:b/>
          <w:bCs/>
          <w:color w:val="5A3E36"/>
          <w:lang w:val="en"/>
        </w:rPr>
        <w:t>62%</w:t>
      </w:r>
      <w:r>
        <w:rPr>
          <w:color w:val="5A3E36"/>
          <w:lang w:val="en"/>
        </w:rPr>
        <w:t xml:space="preserve"> of Alexandria’s active gym-goers prefer structured, high-intensity programs over traditional cardio sessions.</w:t>
      </w:r>
    </w:p>
    <w:p w14:paraId="68DF638F" w14:textId="77777777" w:rsidR="00000000" w:rsidRDefault="00000000">
      <w:pPr>
        <w:pStyle w:val="NormalWeb"/>
        <w:rPr>
          <w:color w:val="5A3E36"/>
          <w:lang w:val="en"/>
        </w:rPr>
      </w:pPr>
      <w:r>
        <w:rPr>
          <w:color w:val="5A3E36"/>
          <w:lang w:val="en"/>
        </w:rPr>
        <w:t>The insight was derived from social listening tools and Google Trends data showing keyword surges in “HIIT classes near me” and “functional workouts Alexandria.” This trend directly influenced Mory Gym’s new product line and ad creative themes.</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5676"/>
        <w:gridCol w:w="3668"/>
      </w:tblGrid>
      <w:tr w:rsidR="00000000" w14:paraId="387F21D7"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CFB4980" w14:textId="77777777" w:rsidR="00000000" w:rsidRDefault="00000000">
            <w:pPr>
              <w:spacing w:before="225"/>
              <w:rPr>
                <w:rFonts w:eastAsia="Times New Roman"/>
                <w:b/>
                <w:bCs/>
                <w:color w:val="5A3E36"/>
              </w:rPr>
            </w:pPr>
            <w:r>
              <w:rPr>
                <w:rFonts w:eastAsia="Times New Roman"/>
                <w:b/>
                <w:bCs/>
                <w:color w:val="5A3E36"/>
              </w:rPr>
              <w:t>Program Type</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F3FAA90" w14:textId="77777777" w:rsidR="00000000" w:rsidRDefault="00000000">
            <w:pPr>
              <w:spacing w:before="225"/>
              <w:rPr>
                <w:rFonts w:eastAsia="Times New Roman"/>
                <w:b/>
                <w:bCs/>
                <w:color w:val="5A3E36"/>
              </w:rPr>
            </w:pPr>
            <w:r>
              <w:rPr>
                <w:rFonts w:eastAsia="Times New Roman"/>
                <w:b/>
                <w:bCs/>
                <w:color w:val="5A3E36"/>
              </w:rPr>
              <w:t>Adoption Rate</w:t>
            </w:r>
          </w:p>
        </w:tc>
      </w:tr>
      <w:tr w:rsidR="00000000" w14:paraId="5C7CCDA2"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042128C" w14:textId="77777777" w:rsidR="00000000" w:rsidRDefault="00000000">
            <w:pPr>
              <w:spacing w:before="225"/>
              <w:rPr>
                <w:rFonts w:eastAsia="Times New Roman"/>
                <w:color w:val="5A3E36"/>
              </w:rPr>
            </w:pPr>
            <w:r>
              <w:rPr>
                <w:rFonts w:eastAsia="Times New Roman"/>
                <w:color w:val="5A3E36"/>
              </w:rPr>
              <w:t>HIIT &amp; Strength Training</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1CE2562" w14:textId="77777777" w:rsidR="00000000" w:rsidRDefault="00000000">
            <w:pPr>
              <w:spacing w:before="225"/>
              <w:rPr>
                <w:rFonts w:eastAsia="Times New Roman"/>
                <w:color w:val="5A3E36"/>
              </w:rPr>
            </w:pPr>
            <w:r>
              <w:rPr>
                <w:rFonts w:eastAsia="Times New Roman"/>
                <w:color w:val="5A3E36"/>
              </w:rPr>
              <w:t>62%</w:t>
            </w:r>
          </w:p>
        </w:tc>
      </w:tr>
      <w:tr w:rsidR="00000000" w14:paraId="6EB92013"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AE9AE6F" w14:textId="77777777" w:rsidR="00000000" w:rsidRDefault="00000000">
            <w:pPr>
              <w:spacing w:before="225"/>
              <w:rPr>
                <w:rFonts w:eastAsia="Times New Roman"/>
                <w:color w:val="5A3E36"/>
              </w:rPr>
            </w:pPr>
            <w:r>
              <w:rPr>
                <w:rFonts w:eastAsia="Times New Roman"/>
                <w:color w:val="5A3E36"/>
              </w:rPr>
              <w:t>Yoga &amp; Pilates</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1D5B623" w14:textId="77777777" w:rsidR="00000000" w:rsidRDefault="00000000">
            <w:pPr>
              <w:spacing w:before="225"/>
              <w:rPr>
                <w:rFonts w:eastAsia="Times New Roman"/>
                <w:color w:val="5A3E36"/>
              </w:rPr>
            </w:pPr>
            <w:r>
              <w:rPr>
                <w:rFonts w:eastAsia="Times New Roman"/>
                <w:color w:val="5A3E36"/>
              </w:rPr>
              <w:t>22%</w:t>
            </w:r>
          </w:p>
        </w:tc>
      </w:tr>
      <w:tr w:rsidR="00000000" w14:paraId="740BFF48"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F105E0E" w14:textId="77777777" w:rsidR="00000000" w:rsidRDefault="00000000">
            <w:pPr>
              <w:spacing w:before="225"/>
              <w:rPr>
                <w:rFonts w:eastAsia="Times New Roman"/>
                <w:color w:val="5A3E36"/>
              </w:rPr>
            </w:pPr>
            <w:r>
              <w:rPr>
                <w:rFonts w:eastAsia="Times New Roman"/>
                <w:color w:val="5A3E36"/>
              </w:rPr>
              <w:t>Traditional Cardio</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1F52151" w14:textId="77777777" w:rsidR="00000000" w:rsidRDefault="00000000">
            <w:pPr>
              <w:spacing w:before="225"/>
              <w:rPr>
                <w:rFonts w:eastAsia="Times New Roman"/>
                <w:color w:val="5A3E36"/>
              </w:rPr>
            </w:pPr>
            <w:r>
              <w:rPr>
                <w:rFonts w:eastAsia="Times New Roman"/>
                <w:color w:val="5A3E36"/>
              </w:rPr>
              <w:t>16%</w:t>
            </w:r>
          </w:p>
        </w:tc>
      </w:tr>
    </w:tbl>
    <w:p w14:paraId="0B4D6BB7" w14:textId="77777777" w:rsidR="00000000" w:rsidRDefault="00000000">
      <w:pPr>
        <w:pStyle w:val="Heading2"/>
        <w:rPr>
          <w:rFonts w:eastAsia="Times New Roman"/>
          <w:color w:val="5A3E36"/>
          <w:lang w:val="en"/>
        </w:rPr>
      </w:pPr>
      <w:r>
        <w:rPr>
          <w:rFonts w:eastAsia="Times New Roman"/>
          <w:color w:val="5A3E36"/>
          <w:lang w:val="en"/>
        </w:rPr>
        <w:t>Member Preferences &amp; Behavioral Insights</w:t>
      </w:r>
    </w:p>
    <w:p w14:paraId="3429F704" w14:textId="77777777" w:rsidR="00000000" w:rsidRDefault="00000000">
      <w:pPr>
        <w:pStyle w:val="NormalWeb"/>
        <w:rPr>
          <w:color w:val="5A3E36"/>
          <w:lang w:val="en"/>
        </w:rPr>
      </w:pPr>
      <w:r>
        <w:rPr>
          <w:color w:val="5A3E36"/>
          <w:lang w:val="en"/>
        </w:rPr>
        <w:t xml:space="preserve">Weekly engagement tracking over eight weeks highlighted a consistent rise in group class attendance versus personal training sessions. This data was collected via CRM attendance logs and POS-integrated tracking systems. Engagement in group sessions rose from </w:t>
      </w:r>
      <w:r>
        <w:rPr>
          <w:b/>
          <w:bCs/>
          <w:color w:val="5A3E36"/>
          <w:lang w:val="en"/>
        </w:rPr>
        <w:t>25%</w:t>
      </w:r>
      <w:r>
        <w:rPr>
          <w:color w:val="5A3E36"/>
          <w:lang w:val="en"/>
        </w:rPr>
        <w:t xml:space="preserve"> to </w:t>
      </w:r>
      <w:r>
        <w:rPr>
          <w:b/>
          <w:bCs/>
          <w:color w:val="5A3E36"/>
          <w:lang w:val="en"/>
        </w:rPr>
        <w:t>45%</w:t>
      </w:r>
      <w:r>
        <w:rPr>
          <w:color w:val="5A3E36"/>
          <w:lang w:val="en"/>
        </w:rPr>
        <w:t xml:space="preserve"> of total check-ins by week 8, driven by referral challenges and social incentives.</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1989"/>
        <w:gridCol w:w="7355"/>
      </w:tblGrid>
      <w:tr w:rsidR="00000000" w14:paraId="6C8468E4"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8F61C62" w14:textId="77777777" w:rsidR="00000000" w:rsidRDefault="00000000">
            <w:pPr>
              <w:spacing w:before="225"/>
              <w:rPr>
                <w:rFonts w:eastAsia="Times New Roman"/>
                <w:b/>
                <w:bCs/>
                <w:color w:val="5A3E36"/>
              </w:rPr>
            </w:pPr>
            <w:r>
              <w:rPr>
                <w:rFonts w:eastAsia="Times New Roman"/>
                <w:b/>
                <w:bCs/>
                <w:color w:val="5A3E36"/>
              </w:rPr>
              <w:t>Week</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4ABC3D4" w14:textId="77777777" w:rsidR="00000000" w:rsidRDefault="00000000">
            <w:pPr>
              <w:spacing w:before="225"/>
              <w:rPr>
                <w:rFonts w:eastAsia="Times New Roman"/>
                <w:b/>
                <w:bCs/>
                <w:color w:val="5A3E36"/>
              </w:rPr>
            </w:pPr>
            <w:r>
              <w:rPr>
                <w:rFonts w:eastAsia="Times New Roman"/>
                <w:b/>
                <w:bCs/>
                <w:color w:val="5A3E36"/>
              </w:rPr>
              <w:t>Group Class Attendance (%)</w:t>
            </w:r>
          </w:p>
        </w:tc>
      </w:tr>
      <w:tr w:rsidR="00000000" w14:paraId="1DC84DAC"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EB8DA9B" w14:textId="77777777" w:rsidR="00000000" w:rsidRDefault="00000000">
            <w:pPr>
              <w:spacing w:before="225"/>
              <w:rPr>
                <w:rFonts w:eastAsia="Times New Roman"/>
                <w:color w:val="5A3E36"/>
              </w:rPr>
            </w:pPr>
            <w:r>
              <w:rPr>
                <w:rFonts w:eastAsia="Times New Roman"/>
                <w:color w:val="5A3E36"/>
              </w:rPr>
              <w:t>1</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4A735D1" w14:textId="77777777" w:rsidR="00000000" w:rsidRDefault="00000000">
            <w:pPr>
              <w:spacing w:before="225"/>
              <w:rPr>
                <w:rFonts w:eastAsia="Times New Roman"/>
                <w:color w:val="5A3E36"/>
              </w:rPr>
            </w:pPr>
            <w:r>
              <w:rPr>
                <w:rFonts w:eastAsia="Times New Roman"/>
                <w:color w:val="5A3E36"/>
              </w:rPr>
              <w:t>25%</w:t>
            </w:r>
          </w:p>
        </w:tc>
      </w:tr>
      <w:tr w:rsidR="00000000" w14:paraId="7CE67747"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858828C" w14:textId="77777777" w:rsidR="00000000" w:rsidRDefault="00000000">
            <w:pPr>
              <w:spacing w:before="225"/>
              <w:rPr>
                <w:rFonts w:eastAsia="Times New Roman"/>
                <w:color w:val="5A3E36"/>
              </w:rPr>
            </w:pPr>
            <w:r>
              <w:rPr>
                <w:rFonts w:eastAsia="Times New Roman"/>
                <w:color w:val="5A3E36"/>
              </w:rPr>
              <w:t>4</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694FE23" w14:textId="77777777" w:rsidR="00000000" w:rsidRDefault="00000000">
            <w:pPr>
              <w:spacing w:before="225"/>
              <w:rPr>
                <w:rFonts w:eastAsia="Times New Roman"/>
                <w:color w:val="5A3E36"/>
              </w:rPr>
            </w:pPr>
            <w:r>
              <w:rPr>
                <w:rFonts w:eastAsia="Times New Roman"/>
                <w:color w:val="5A3E36"/>
              </w:rPr>
              <w:t>35%</w:t>
            </w:r>
          </w:p>
        </w:tc>
      </w:tr>
      <w:tr w:rsidR="00000000" w14:paraId="17F5674A"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07AD495" w14:textId="77777777" w:rsidR="00000000" w:rsidRDefault="00000000">
            <w:pPr>
              <w:spacing w:before="225"/>
              <w:rPr>
                <w:rFonts w:eastAsia="Times New Roman"/>
                <w:color w:val="5A3E36"/>
              </w:rPr>
            </w:pPr>
            <w:r>
              <w:rPr>
                <w:rFonts w:eastAsia="Times New Roman"/>
                <w:color w:val="5A3E36"/>
              </w:rPr>
              <w:t>8</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33A2048" w14:textId="77777777" w:rsidR="00000000" w:rsidRDefault="00000000">
            <w:pPr>
              <w:spacing w:before="225"/>
              <w:rPr>
                <w:rFonts w:eastAsia="Times New Roman"/>
                <w:color w:val="5A3E36"/>
              </w:rPr>
            </w:pPr>
            <w:r>
              <w:rPr>
                <w:rFonts w:eastAsia="Times New Roman"/>
                <w:color w:val="5A3E36"/>
              </w:rPr>
              <w:t>45%</w:t>
            </w:r>
          </w:p>
        </w:tc>
      </w:tr>
    </w:tbl>
    <w:p w14:paraId="3C88428C" w14:textId="77777777" w:rsidR="00000000" w:rsidRDefault="00000000">
      <w:pPr>
        <w:pStyle w:val="NormalWeb"/>
        <w:rPr>
          <w:color w:val="5A3E36"/>
          <w:lang w:val="en"/>
        </w:rPr>
      </w:pPr>
      <w:r>
        <w:rPr>
          <w:color w:val="5A3E36"/>
          <w:lang w:val="en"/>
        </w:rPr>
        <w:lastRenderedPageBreak/>
        <w:t>This behavioral shift validated Mory Gym’s decision to reallocate ad spend from personal training promotions to group-based offerings and bundle packages.</w:t>
      </w:r>
    </w:p>
    <w:p w14:paraId="526DC555" w14:textId="77777777" w:rsidR="00000000" w:rsidRDefault="00000000">
      <w:pPr>
        <w:pStyle w:val="Heading2"/>
        <w:rPr>
          <w:rFonts w:eastAsia="Times New Roman"/>
          <w:color w:val="5A3E36"/>
          <w:lang w:val="en"/>
        </w:rPr>
      </w:pPr>
      <w:r>
        <w:rPr>
          <w:rFonts w:eastAsia="Times New Roman"/>
          <w:color w:val="5A3E36"/>
          <w:lang w:val="en"/>
        </w:rPr>
        <w:t>Competitive Landscape</w:t>
      </w:r>
    </w:p>
    <w:p w14:paraId="58382ADD" w14:textId="77777777" w:rsidR="00000000" w:rsidRDefault="00000000">
      <w:pPr>
        <w:pStyle w:val="NormalWeb"/>
        <w:rPr>
          <w:color w:val="5A3E36"/>
          <w:lang w:val="en"/>
        </w:rPr>
      </w:pPr>
      <w:r>
        <w:rPr>
          <w:color w:val="5A3E36"/>
          <w:lang w:val="en"/>
        </w:rPr>
        <w:t>Four major players dominate Alexandria’s premium fitness scene: Mory Gym, FitStudio, Global Gym, and Alpha Fitness. A member satisfaction index was developed based on surveys, social sentiment analysis, and retention rates.</w:t>
      </w:r>
    </w:p>
    <w:tbl>
      <w:tblPr>
        <w:tblW w:w="5000" w:type="pct"/>
        <w:tblBorders>
          <w:top w:val="single" w:sz="6" w:space="0" w:color="BFA15D"/>
          <w:left w:val="single" w:sz="6" w:space="0" w:color="BFA15D"/>
          <w:bottom w:val="single" w:sz="6" w:space="0" w:color="BFA15D"/>
          <w:right w:val="single" w:sz="6" w:space="0" w:color="BFA15D"/>
        </w:tblBorders>
        <w:tblCellMar>
          <w:top w:w="15" w:type="dxa"/>
          <w:left w:w="15" w:type="dxa"/>
          <w:bottom w:w="15" w:type="dxa"/>
          <w:right w:w="15" w:type="dxa"/>
        </w:tblCellMar>
        <w:tblLook w:val="04A0" w:firstRow="1" w:lastRow="0" w:firstColumn="1" w:lastColumn="0" w:noHBand="0" w:noVBand="1"/>
      </w:tblPr>
      <w:tblGrid>
        <w:gridCol w:w="2418"/>
        <w:gridCol w:w="4310"/>
        <w:gridCol w:w="2616"/>
      </w:tblGrid>
      <w:tr w:rsidR="00000000" w14:paraId="678DF948"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7DD14A15" w14:textId="77777777" w:rsidR="00000000" w:rsidRDefault="00000000">
            <w:pPr>
              <w:spacing w:before="225"/>
              <w:rPr>
                <w:rFonts w:eastAsia="Times New Roman"/>
                <w:b/>
                <w:bCs/>
                <w:color w:val="5A3E36"/>
              </w:rPr>
            </w:pPr>
            <w:r>
              <w:rPr>
                <w:rFonts w:eastAsia="Times New Roman"/>
                <w:b/>
                <w:bCs/>
                <w:color w:val="5A3E36"/>
              </w:rPr>
              <w:t>Competitor</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113F3C0" w14:textId="77777777" w:rsidR="00000000" w:rsidRDefault="00000000">
            <w:pPr>
              <w:spacing w:before="225"/>
              <w:rPr>
                <w:rFonts w:eastAsia="Times New Roman"/>
                <w:b/>
                <w:bCs/>
                <w:color w:val="5A3E36"/>
              </w:rPr>
            </w:pPr>
            <w:r>
              <w:rPr>
                <w:rFonts w:eastAsia="Times New Roman"/>
                <w:b/>
                <w:bCs/>
                <w:color w:val="5A3E36"/>
              </w:rPr>
              <w:t>Member Satisfaction (%)</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57AEAC9" w14:textId="77777777" w:rsidR="00000000" w:rsidRDefault="00000000">
            <w:pPr>
              <w:spacing w:before="225"/>
              <w:rPr>
                <w:rFonts w:eastAsia="Times New Roman"/>
                <w:b/>
                <w:bCs/>
                <w:color w:val="5A3E36"/>
              </w:rPr>
            </w:pPr>
            <w:r>
              <w:rPr>
                <w:rFonts w:eastAsia="Times New Roman"/>
                <w:b/>
                <w:bCs/>
                <w:color w:val="5A3E36"/>
              </w:rPr>
              <w:t>Retention (%)</w:t>
            </w:r>
          </w:p>
        </w:tc>
      </w:tr>
      <w:tr w:rsidR="00000000" w14:paraId="297AF58F"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4CA13E4F" w14:textId="77777777" w:rsidR="00000000" w:rsidRDefault="00000000">
            <w:pPr>
              <w:spacing w:before="225"/>
              <w:rPr>
                <w:rFonts w:eastAsia="Times New Roman"/>
                <w:color w:val="5A3E36"/>
              </w:rPr>
            </w:pPr>
            <w:r>
              <w:rPr>
                <w:rFonts w:eastAsia="Times New Roman"/>
                <w:b/>
                <w:bCs/>
                <w:color w:val="5A3E36"/>
              </w:rPr>
              <w:t>Mory Gym</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0E03FE7" w14:textId="77777777" w:rsidR="00000000" w:rsidRDefault="00000000">
            <w:pPr>
              <w:spacing w:before="225"/>
              <w:rPr>
                <w:rFonts w:eastAsia="Times New Roman"/>
                <w:color w:val="5A3E36"/>
              </w:rPr>
            </w:pPr>
            <w:r>
              <w:rPr>
                <w:rFonts w:eastAsia="Times New Roman"/>
                <w:color w:val="5A3E36"/>
              </w:rPr>
              <w:t>92%</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6006DA4" w14:textId="77777777" w:rsidR="00000000" w:rsidRDefault="00000000">
            <w:pPr>
              <w:spacing w:before="225"/>
              <w:rPr>
                <w:rFonts w:eastAsia="Times New Roman"/>
                <w:color w:val="5A3E36"/>
              </w:rPr>
            </w:pPr>
            <w:r>
              <w:rPr>
                <w:rFonts w:eastAsia="Times New Roman"/>
                <w:color w:val="5A3E36"/>
              </w:rPr>
              <w:t>88%</w:t>
            </w:r>
          </w:p>
        </w:tc>
      </w:tr>
      <w:tr w:rsidR="00000000" w14:paraId="34DC4F08"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D2B45A4" w14:textId="77777777" w:rsidR="00000000" w:rsidRDefault="00000000">
            <w:pPr>
              <w:spacing w:before="225"/>
              <w:rPr>
                <w:rFonts w:eastAsia="Times New Roman"/>
                <w:color w:val="5A3E36"/>
              </w:rPr>
            </w:pPr>
            <w:r>
              <w:rPr>
                <w:rFonts w:eastAsia="Times New Roman"/>
                <w:color w:val="5A3E36"/>
              </w:rPr>
              <w:t>FitStudio</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01B847D" w14:textId="77777777" w:rsidR="00000000" w:rsidRDefault="00000000">
            <w:pPr>
              <w:spacing w:before="225"/>
              <w:rPr>
                <w:rFonts w:eastAsia="Times New Roman"/>
                <w:color w:val="5A3E36"/>
              </w:rPr>
            </w:pPr>
            <w:r>
              <w:rPr>
                <w:rFonts w:eastAsia="Times New Roman"/>
                <w:color w:val="5A3E36"/>
              </w:rPr>
              <w:t>78%</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2AB67612" w14:textId="77777777" w:rsidR="00000000" w:rsidRDefault="00000000">
            <w:pPr>
              <w:spacing w:before="225"/>
              <w:rPr>
                <w:rFonts w:eastAsia="Times New Roman"/>
                <w:color w:val="5A3E36"/>
              </w:rPr>
            </w:pPr>
            <w:r>
              <w:rPr>
                <w:rFonts w:eastAsia="Times New Roman"/>
                <w:color w:val="5A3E36"/>
              </w:rPr>
              <w:t>73%</w:t>
            </w:r>
          </w:p>
        </w:tc>
      </w:tr>
      <w:tr w:rsidR="00000000" w14:paraId="18613436"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02D0AC1E" w14:textId="77777777" w:rsidR="00000000" w:rsidRDefault="00000000">
            <w:pPr>
              <w:spacing w:before="225"/>
              <w:rPr>
                <w:rFonts w:eastAsia="Times New Roman"/>
                <w:color w:val="5A3E36"/>
              </w:rPr>
            </w:pPr>
            <w:r>
              <w:rPr>
                <w:rFonts w:eastAsia="Times New Roman"/>
                <w:color w:val="5A3E36"/>
              </w:rPr>
              <w:t>Global Gym</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A67B5F2" w14:textId="77777777" w:rsidR="00000000" w:rsidRDefault="00000000">
            <w:pPr>
              <w:spacing w:before="225"/>
              <w:rPr>
                <w:rFonts w:eastAsia="Times New Roman"/>
                <w:color w:val="5A3E36"/>
              </w:rPr>
            </w:pPr>
            <w:r>
              <w:rPr>
                <w:rFonts w:eastAsia="Times New Roman"/>
                <w:color w:val="5A3E36"/>
              </w:rPr>
              <w:t>74%</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17BBBD7D" w14:textId="77777777" w:rsidR="00000000" w:rsidRDefault="00000000">
            <w:pPr>
              <w:spacing w:before="225"/>
              <w:rPr>
                <w:rFonts w:eastAsia="Times New Roman"/>
                <w:color w:val="5A3E36"/>
              </w:rPr>
            </w:pPr>
            <w:r>
              <w:rPr>
                <w:rFonts w:eastAsia="Times New Roman"/>
                <w:color w:val="5A3E36"/>
              </w:rPr>
              <w:t>65%</w:t>
            </w:r>
          </w:p>
        </w:tc>
      </w:tr>
      <w:tr w:rsidR="00000000" w14:paraId="17932581" w14:textId="77777777">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641CC040" w14:textId="77777777" w:rsidR="00000000" w:rsidRDefault="00000000">
            <w:pPr>
              <w:spacing w:before="225"/>
              <w:rPr>
                <w:rFonts w:eastAsia="Times New Roman"/>
                <w:color w:val="5A3E36"/>
              </w:rPr>
            </w:pPr>
            <w:r>
              <w:rPr>
                <w:rFonts w:eastAsia="Times New Roman"/>
                <w:color w:val="5A3E36"/>
              </w:rPr>
              <w:t>Alpha Fitness</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3E083FC7" w14:textId="77777777" w:rsidR="00000000" w:rsidRDefault="00000000">
            <w:pPr>
              <w:spacing w:before="225"/>
              <w:rPr>
                <w:rFonts w:eastAsia="Times New Roman"/>
                <w:color w:val="5A3E36"/>
              </w:rPr>
            </w:pPr>
            <w:r>
              <w:rPr>
                <w:rFonts w:eastAsia="Times New Roman"/>
                <w:color w:val="5A3E36"/>
              </w:rPr>
              <w:t>65%</w:t>
            </w:r>
          </w:p>
        </w:tc>
        <w:tc>
          <w:tcPr>
            <w:tcW w:w="0" w:type="auto"/>
            <w:tcBorders>
              <w:top w:val="single" w:sz="6" w:space="0" w:color="BFA15D"/>
              <w:left w:val="single" w:sz="6" w:space="0" w:color="BFA15D"/>
              <w:bottom w:val="single" w:sz="6" w:space="0" w:color="BFA15D"/>
              <w:right w:val="single" w:sz="6" w:space="0" w:color="BFA15D"/>
            </w:tcBorders>
            <w:tcMar>
              <w:top w:w="150" w:type="dxa"/>
              <w:left w:w="150" w:type="dxa"/>
              <w:bottom w:w="150" w:type="dxa"/>
              <w:right w:w="150" w:type="dxa"/>
            </w:tcMar>
            <w:vAlign w:val="center"/>
            <w:hideMark/>
          </w:tcPr>
          <w:p w14:paraId="5D8377AE" w14:textId="77777777" w:rsidR="00000000" w:rsidRDefault="00000000">
            <w:pPr>
              <w:spacing w:before="225"/>
              <w:rPr>
                <w:rFonts w:eastAsia="Times New Roman"/>
                <w:color w:val="5A3E36"/>
              </w:rPr>
            </w:pPr>
            <w:r>
              <w:rPr>
                <w:rFonts w:eastAsia="Times New Roman"/>
                <w:color w:val="5A3E36"/>
              </w:rPr>
              <w:t>59%</w:t>
            </w:r>
          </w:p>
        </w:tc>
      </w:tr>
    </w:tbl>
    <w:p w14:paraId="031290CC" w14:textId="77777777" w:rsidR="00000000" w:rsidRDefault="00000000">
      <w:pPr>
        <w:pStyle w:val="NormalWeb"/>
        <w:rPr>
          <w:color w:val="5A3E36"/>
          <w:lang w:val="en"/>
        </w:rPr>
      </w:pPr>
      <w:r>
        <w:rPr>
          <w:color w:val="5A3E36"/>
          <w:lang w:val="en"/>
        </w:rPr>
        <w:t xml:space="preserve">Mory Gym’s edge was attributed to superior customer service, a structured loyalty program, and wellness-driven communication that resonated with health-conscious millennials. Data aggregation came from </w:t>
      </w:r>
      <w:r>
        <w:rPr>
          <w:b/>
          <w:bCs/>
          <w:color w:val="5A3E36"/>
          <w:lang w:val="en"/>
        </w:rPr>
        <w:t>Google Reviews scraping (API-based)</w:t>
      </w:r>
      <w:r>
        <w:rPr>
          <w:color w:val="5A3E36"/>
          <w:lang w:val="en"/>
        </w:rPr>
        <w:t xml:space="preserve">, </w:t>
      </w:r>
      <w:r>
        <w:rPr>
          <w:b/>
          <w:bCs/>
          <w:color w:val="5A3E36"/>
          <w:lang w:val="en"/>
        </w:rPr>
        <w:t>survey forms (Typeform + HubSpot integration)</w:t>
      </w:r>
      <w:r>
        <w:rPr>
          <w:color w:val="5A3E36"/>
          <w:lang w:val="en"/>
        </w:rPr>
        <w:t xml:space="preserve">, and </w:t>
      </w:r>
      <w:r>
        <w:rPr>
          <w:b/>
          <w:bCs/>
          <w:color w:val="5A3E36"/>
          <w:lang w:val="en"/>
        </w:rPr>
        <w:t>Meta sentiment analytics</w:t>
      </w:r>
      <w:r>
        <w:rPr>
          <w:color w:val="5A3E36"/>
          <w:lang w:val="en"/>
        </w:rPr>
        <w:t>.</w:t>
      </w:r>
    </w:p>
    <w:p w14:paraId="7A4987CC" w14:textId="77777777" w:rsidR="00000000" w:rsidRDefault="00000000">
      <w:pPr>
        <w:pStyle w:val="Heading2"/>
        <w:rPr>
          <w:rFonts w:eastAsia="Times New Roman"/>
          <w:color w:val="5A3E36"/>
          <w:lang w:val="en"/>
        </w:rPr>
      </w:pPr>
      <w:r>
        <w:rPr>
          <w:rFonts w:eastAsia="Times New Roman"/>
          <w:color w:val="5A3E36"/>
          <w:lang w:val="en"/>
        </w:rPr>
        <w:t>Strategic Positioning</w:t>
      </w:r>
    </w:p>
    <w:p w14:paraId="71EB84F6" w14:textId="77777777" w:rsidR="00000000" w:rsidRDefault="00000000">
      <w:pPr>
        <w:pStyle w:val="NormalWeb"/>
        <w:rPr>
          <w:color w:val="5A3E36"/>
          <w:lang w:val="en"/>
        </w:rPr>
      </w:pPr>
      <w:r>
        <w:rPr>
          <w:color w:val="5A3E36"/>
          <w:lang w:val="en"/>
        </w:rPr>
        <w:t xml:space="preserve">Mory Gym was positioned as </w:t>
      </w:r>
      <w:r>
        <w:rPr>
          <w:b/>
          <w:bCs/>
          <w:color w:val="5A3E36"/>
          <w:lang w:val="en"/>
        </w:rPr>
        <w:t>Alexandria’s premium fitness destination</w:t>
      </w:r>
      <w:r>
        <w:rPr>
          <w:color w:val="5A3E36"/>
          <w:lang w:val="en"/>
        </w:rPr>
        <w:t>, targeting the top 20% of high-engagement consumers who seek both performance and lifestyle value. This strategic position was built through:</w:t>
      </w:r>
    </w:p>
    <w:p w14:paraId="7358B8D7"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Data-Driven Campaigns:</w:t>
      </w:r>
      <w:r>
        <w:rPr>
          <w:rFonts w:eastAsia="Times New Roman"/>
          <w:color w:val="5A3E36"/>
          <w:sz w:val="27"/>
          <w:szCs w:val="27"/>
          <w:lang w:val="en"/>
        </w:rPr>
        <w:t xml:space="preserve"> Personalized ad funnels via Meta Pixel and CRM integration.</w:t>
      </w:r>
    </w:p>
    <w:p w14:paraId="2DB80A77"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Content Strategy:</w:t>
      </w:r>
      <w:r>
        <w:rPr>
          <w:rFonts w:eastAsia="Times New Roman"/>
          <w:color w:val="5A3E36"/>
          <w:sz w:val="27"/>
          <w:szCs w:val="27"/>
          <w:lang w:val="en"/>
        </w:rPr>
        <w:t xml:space="preserve"> Wellness-oriented storytelling with localized video production.</w:t>
      </w:r>
    </w:p>
    <w:p w14:paraId="0876428A" w14:textId="77777777" w:rsidR="00000000" w:rsidRDefault="00000000">
      <w:pPr>
        <w:numPr>
          <w:ilvl w:val="0"/>
          <w:numId w:val="1"/>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Community Focus:</w:t>
      </w:r>
      <w:r>
        <w:rPr>
          <w:rFonts w:eastAsia="Times New Roman"/>
          <w:color w:val="5A3E36"/>
          <w:sz w:val="27"/>
          <w:szCs w:val="27"/>
          <w:lang w:val="en"/>
        </w:rPr>
        <w:t xml:space="preserve"> Referral incentives and social media challenges to sustain brand advocacy.</w:t>
      </w:r>
    </w:p>
    <w:p w14:paraId="3BE34A4D" w14:textId="77777777" w:rsidR="00000000" w:rsidRDefault="00000000">
      <w:pPr>
        <w:pStyle w:val="NormalWeb"/>
        <w:rPr>
          <w:color w:val="5A3E36"/>
          <w:lang w:val="en"/>
        </w:rPr>
      </w:pPr>
      <w:r>
        <w:rPr>
          <w:color w:val="5A3E36"/>
          <w:lang w:val="en"/>
        </w:rPr>
        <w:lastRenderedPageBreak/>
        <w:t xml:space="preserve">Competitor weaknesses—limited retention incentives and inconsistent digital communication—were leveraged in Mory Gym’s positioning strategy, enabling a </w:t>
      </w:r>
      <w:r>
        <w:rPr>
          <w:b/>
          <w:bCs/>
          <w:color w:val="5A3E36"/>
          <w:lang w:val="en"/>
        </w:rPr>
        <w:t>20% share</w:t>
      </w:r>
      <w:r>
        <w:rPr>
          <w:color w:val="5A3E36"/>
          <w:lang w:val="en"/>
        </w:rPr>
        <w:t xml:space="preserve"> of the high-engagement fitness segment within six months.</w:t>
      </w:r>
    </w:p>
    <w:p w14:paraId="19A63F38" w14:textId="77777777" w:rsidR="00000000" w:rsidRDefault="00000000">
      <w:pPr>
        <w:pStyle w:val="Heading2"/>
        <w:rPr>
          <w:rFonts w:eastAsia="Times New Roman"/>
          <w:color w:val="5A3E36"/>
          <w:lang w:val="en"/>
        </w:rPr>
      </w:pPr>
      <w:r>
        <w:rPr>
          <w:rFonts w:eastAsia="Times New Roman"/>
          <w:color w:val="5A3E36"/>
          <w:lang w:val="en"/>
        </w:rPr>
        <w:t>Tools, Data &amp; Validation Methods</w:t>
      </w:r>
    </w:p>
    <w:p w14:paraId="19D4199E"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Chart.js:</w:t>
      </w:r>
      <w:r>
        <w:rPr>
          <w:rFonts w:eastAsia="Times New Roman"/>
          <w:color w:val="5A3E36"/>
          <w:sz w:val="27"/>
          <w:szCs w:val="27"/>
          <w:lang w:val="en"/>
        </w:rPr>
        <w:t xml:space="preserve"> Used for presenting performance visuals — bar charts, doughnut charts, and sparkline growth graphs.</w:t>
      </w:r>
    </w:p>
    <w:p w14:paraId="78E786CE"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Google Trends &amp; Meta Insights:</w:t>
      </w:r>
      <w:r>
        <w:rPr>
          <w:rFonts w:eastAsia="Times New Roman"/>
          <w:color w:val="5A3E36"/>
          <w:sz w:val="27"/>
          <w:szCs w:val="27"/>
          <w:lang w:val="en"/>
        </w:rPr>
        <w:t xml:space="preserve"> Identified fitness content demand spikes by region.</w:t>
      </w:r>
    </w:p>
    <w:p w14:paraId="652B86D1"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HubSpot CRM + POS System:</w:t>
      </w:r>
      <w:r>
        <w:rPr>
          <w:rFonts w:eastAsia="Times New Roman"/>
          <w:color w:val="5A3E36"/>
          <w:sz w:val="27"/>
          <w:szCs w:val="27"/>
          <w:lang w:val="en"/>
        </w:rPr>
        <w:t xml:space="preserve"> Combined attendance, purchase, and lead-tracking data into one reporting view.</w:t>
      </w:r>
    </w:p>
    <w:p w14:paraId="51DFF50A" w14:textId="77777777" w:rsidR="00000000" w:rsidRDefault="00000000">
      <w:pPr>
        <w:numPr>
          <w:ilvl w:val="0"/>
          <w:numId w:val="2"/>
        </w:numPr>
        <w:spacing w:before="100" w:beforeAutospacing="1" w:after="100" w:afterAutospacing="1"/>
        <w:rPr>
          <w:rFonts w:eastAsia="Times New Roman"/>
          <w:color w:val="5A3E36"/>
          <w:sz w:val="27"/>
          <w:szCs w:val="27"/>
          <w:lang w:val="en"/>
        </w:rPr>
      </w:pPr>
      <w:r>
        <w:rPr>
          <w:rFonts w:eastAsia="Times New Roman"/>
          <w:b/>
          <w:bCs/>
          <w:color w:val="5A3E36"/>
          <w:sz w:val="27"/>
          <w:szCs w:val="27"/>
          <w:lang w:val="en"/>
        </w:rPr>
        <w:t>Looker Studio Dashboard:</w:t>
      </w:r>
      <w:r>
        <w:rPr>
          <w:rFonts w:eastAsia="Times New Roman"/>
          <w:color w:val="5A3E36"/>
          <w:sz w:val="27"/>
          <w:szCs w:val="27"/>
          <w:lang w:val="en"/>
        </w:rPr>
        <w:t xml:space="preserve"> Used for visualizing comparative KPIs and benchmarking competitor metrics.</w:t>
      </w:r>
    </w:p>
    <w:p w14:paraId="17C856CE" w14:textId="77777777" w:rsidR="00000000" w:rsidRDefault="00000000">
      <w:pPr>
        <w:pStyle w:val="Heading2"/>
        <w:rPr>
          <w:rFonts w:eastAsia="Times New Roman"/>
          <w:color w:val="5A3E36"/>
          <w:lang w:val="en"/>
        </w:rPr>
      </w:pPr>
      <w:r>
        <w:rPr>
          <w:rFonts w:eastAsia="Times New Roman"/>
          <w:color w:val="5A3E36"/>
          <w:lang w:val="en"/>
        </w:rPr>
        <w:t>Conclusion</w:t>
      </w:r>
    </w:p>
    <w:p w14:paraId="7BB6CBF6" w14:textId="77777777" w:rsidR="00DD635D" w:rsidRDefault="00000000">
      <w:pPr>
        <w:pStyle w:val="NormalWeb"/>
        <w:rPr>
          <w:color w:val="5A3E36"/>
          <w:lang w:val="en"/>
        </w:rPr>
      </w:pPr>
      <w:r>
        <w:rPr>
          <w:color w:val="5A3E36"/>
          <w:lang w:val="en"/>
        </w:rPr>
        <w:t xml:space="preserve">The Market &amp; Competitive Analysis provided a foundation for strategic differentiation. Mory Gym capitalized on emerging preferences for structured group programs and digital engagement, solidifying its premium brand image. With an </w:t>
      </w:r>
      <w:r>
        <w:rPr>
          <w:b/>
          <w:bCs/>
          <w:color w:val="5A3E36"/>
          <w:lang w:val="en"/>
        </w:rPr>
        <w:t>8% CAGR market</w:t>
      </w:r>
      <w:r>
        <w:rPr>
          <w:color w:val="5A3E36"/>
          <w:lang w:val="en"/>
        </w:rPr>
        <w:t xml:space="preserve">, a </w:t>
      </w:r>
      <w:r>
        <w:rPr>
          <w:b/>
          <w:bCs/>
          <w:color w:val="5A3E36"/>
          <w:lang w:val="en"/>
        </w:rPr>
        <w:t>62% preference for HIIT</w:t>
      </w:r>
      <w:r>
        <w:rPr>
          <w:color w:val="5A3E36"/>
          <w:lang w:val="en"/>
        </w:rPr>
        <w:t xml:space="preserve">, and a </w:t>
      </w:r>
      <w:r>
        <w:rPr>
          <w:b/>
          <w:bCs/>
          <w:color w:val="5A3E36"/>
          <w:lang w:val="en"/>
        </w:rPr>
        <w:t>92% satisfaction score</w:t>
      </w:r>
      <w:r>
        <w:rPr>
          <w:color w:val="5A3E36"/>
          <w:lang w:val="en"/>
        </w:rPr>
        <w:t>, Mory Gym’s future expansion aligns strongly with both data and market trajectory.</w:t>
      </w:r>
    </w:p>
    <w:sectPr w:rsidR="00DD635D" w:rsidSect="00E13CC4">
      <w:pgSz w:w="12240" w:h="15840"/>
      <w:pgMar w:top="1440" w:right="1440" w:bottom="1440" w:left="1440" w:header="720" w:footer="720" w:gutter="0"/>
      <w:pgBorders w:offsetFrom="page">
        <w:top w:val="single" w:sz="18" w:space="24" w:color="80340D" w:themeColor="accent2" w:themeShade="80"/>
        <w:left w:val="single" w:sz="18" w:space="24" w:color="80340D" w:themeColor="accent2" w:themeShade="80"/>
        <w:bottom w:val="single" w:sz="18" w:space="24" w:color="80340D" w:themeColor="accent2" w:themeShade="80"/>
        <w:right w:val="single" w:sz="18" w:space="24" w:color="80340D"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331AC"/>
    <w:multiLevelType w:val="multilevel"/>
    <w:tmpl w:val="A88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767871"/>
    <w:multiLevelType w:val="multilevel"/>
    <w:tmpl w:val="DF2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69082">
    <w:abstractNumId w:val="1"/>
  </w:num>
  <w:num w:numId="2" w16cid:durableId="73782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3CC4"/>
    <w:rsid w:val="002F67DD"/>
    <w:rsid w:val="00DD635D"/>
    <w:rsid w:val="00E1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0263D"/>
  <w15:chartTrackingRefBased/>
  <w15:docId w15:val="{42260FF4-D128-4ED3-A556-467E6ED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jc w:val="center"/>
      <w:outlineLvl w:val="0"/>
    </w:pPr>
    <w:rPr>
      <w:b/>
      <w:bCs/>
      <w:kern w:val="36"/>
      <w:sz w:val="48"/>
      <w:szCs w:val="48"/>
    </w:rPr>
  </w:style>
  <w:style w:type="paragraph" w:styleId="Heading2">
    <w:name w:val="heading 2"/>
    <w:basedOn w:val="Normal"/>
    <w:link w:val="Heading2Char"/>
    <w:uiPriority w:val="9"/>
    <w:qFormat/>
    <w:pPr>
      <w:pBdr>
        <w:bottom w:val="single" w:sz="12" w:space="4" w:color="BFA15D"/>
      </w:pBdr>
      <w:spacing w:before="375" w:after="100" w:afterAutospacing="1"/>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customStyle="1" w:styleId="msonormal0">
    <w:name w:val="msonormal"/>
    <w:basedOn w:val="Normal"/>
    <w:pPr>
      <w:spacing w:before="180" w:after="180"/>
    </w:pPr>
    <w:rPr>
      <w:sz w:val="27"/>
      <w:szCs w:val="27"/>
    </w:rPr>
  </w:style>
  <w:style w:type="paragraph" w:styleId="NormalWeb">
    <w:name w:val="Normal (Web)"/>
    <w:basedOn w:val="Normal"/>
    <w:uiPriority w:val="99"/>
    <w:semiHidden/>
    <w:unhideWhenUsed/>
    <w:pPr>
      <w:spacing w:before="180" w:after="180"/>
    </w:pPr>
    <w:rPr>
      <w:sz w:val="27"/>
      <w:szCs w:val="27"/>
    </w:rPr>
  </w:style>
  <w:style w:type="paragraph" w:customStyle="1" w:styleId="section-divider">
    <w:name w:val="section-divider"/>
    <w:basedOn w:val="Normal"/>
    <w:pPr>
      <w:pBdr>
        <w:top w:val="dashed" w:sz="12" w:space="0" w:color="BFA15D"/>
      </w:pBdr>
      <w:spacing w:before="525" w:after="525"/>
    </w:pPr>
  </w:style>
  <w:style w:type="paragraph" w:customStyle="1" w:styleId="data-val">
    <w:name w:val="data-val"/>
    <w:basedOn w:val="Normal"/>
    <w:pPr>
      <w:spacing w:before="100" w:beforeAutospacing="1" w:after="100" w:afterAutospacing="1"/>
    </w:pPr>
    <w:rPr>
      <w:b/>
      <w:bCs/>
      <w:color w:val="5A3E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Mory Gym Campaign — Market &amp; Competitive Analysis</dc:title>
  <dc:subject/>
  <dc:creator>Moe AbdelRazek</dc:creator>
  <cp:keywords/>
  <dc:description/>
  <cp:lastModifiedBy>Moe AbdelRazek</cp:lastModifiedBy>
  <cp:revision>2</cp:revision>
  <dcterms:created xsi:type="dcterms:W3CDTF">2025-10-16T15:06:00Z</dcterms:created>
  <dcterms:modified xsi:type="dcterms:W3CDTF">2025-10-16T15:06:00Z</dcterms:modified>
</cp:coreProperties>
</file>