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9A539" w14:textId="77777777" w:rsidR="00000000" w:rsidRDefault="00000000">
      <w:pPr>
        <w:pStyle w:val="Heading1"/>
        <w:rPr>
          <w:rFonts w:eastAsia="Times New Roman"/>
          <w:color w:val="5A3E36"/>
          <w:lang w:val="en"/>
        </w:rPr>
      </w:pPr>
      <w:r>
        <w:rPr>
          <w:rFonts w:eastAsia="Times New Roman"/>
          <w:color w:val="5A3E36"/>
          <w:lang w:val="en"/>
        </w:rPr>
        <w:t>Mory Gym — Brand Identity &amp; Core Positioning</w:t>
      </w:r>
    </w:p>
    <w:p w14:paraId="2AB48846" w14:textId="77777777" w:rsidR="00000000" w:rsidRDefault="00000000">
      <w:pPr>
        <w:pStyle w:val="NormalWeb"/>
        <w:rPr>
          <w:color w:val="5A3E36"/>
          <w:lang w:val="en"/>
        </w:rPr>
      </w:pPr>
      <w:r>
        <w:rPr>
          <w:rStyle w:val="Strong"/>
          <w:color w:val="5A3E36"/>
          <w:lang w:val="en"/>
        </w:rPr>
        <w:t>Purpose:</w:t>
      </w:r>
      <w:r>
        <w:rPr>
          <w:color w:val="5A3E36"/>
          <w:lang w:val="en"/>
        </w:rPr>
        <w:t xml:space="preserve"> Define and communicate the brand’s visual and emotional foundation, positioning Mory Gym as Alexandria’s premier fitness destination and aligning the entire marketing strategy around its personality and mission.</w:t>
      </w:r>
    </w:p>
    <w:p w14:paraId="6ADCB5FA" w14:textId="77777777" w:rsidR="00000000" w:rsidRDefault="00000000">
      <w:pPr>
        <w:pStyle w:val="Heading2"/>
        <w:rPr>
          <w:rFonts w:eastAsia="Times New Roman"/>
          <w:lang w:val="en"/>
        </w:rPr>
      </w:pPr>
      <w:r>
        <w:rPr>
          <w:rFonts w:eastAsia="Times New Roman"/>
          <w:lang w:val="en"/>
        </w:rPr>
        <w:t>1. Brand Strategy Overview</w:t>
      </w:r>
    </w:p>
    <w:p w14:paraId="303E1BC7" w14:textId="77777777" w:rsidR="00000000" w:rsidRDefault="00000000">
      <w:pPr>
        <w:pStyle w:val="NormalWeb"/>
        <w:rPr>
          <w:color w:val="5A3E36"/>
          <w:lang w:val="en"/>
        </w:rPr>
      </w:pPr>
      <w:r>
        <w:rPr>
          <w:color w:val="5A3E36"/>
          <w:lang w:val="en"/>
        </w:rPr>
        <w:t xml:space="preserve">This section was developed to articulate Mory Gym’s brand DNA — its </w:t>
      </w:r>
      <w:r>
        <w:rPr>
          <w:rStyle w:val="Strong"/>
          <w:color w:val="5A3E36"/>
          <w:lang w:val="en"/>
        </w:rPr>
        <w:t>vision, mission, values, and positioning</w:t>
      </w:r>
      <w:r>
        <w:rPr>
          <w:color w:val="5A3E36"/>
          <w:lang w:val="en"/>
        </w:rPr>
        <w:t>. The data for the campaign foundation was gathered through a series of stakeholder interviews, competitive analysis of fitness centers in Alexandria, and social listening across Instagram, TikTok, and Facebook. Brand positioning statements were validated through audience testing via focus groups of both male and female gym-goers aged 18–50.</w:t>
      </w:r>
    </w:p>
    <w:p w14:paraId="59BC60C2" w14:textId="77777777" w:rsidR="00000000" w:rsidRDefault="00000000">
      <w:pPr>
        <w:pStyle w:val="NormalWeb"/>
        <w:rPr>
          <w:color w:val="5A3E36"/>
          <w:lang w:val="en"/>
        </w:rPr>
      </w:pPr>
      <w:r>
        <w:rPr>
          <w:color w:val="5A3E36"/>
          <w:lang w:val="en"/>
        </w:rPr>
        <w:t xml:space="preserve">Implementation tools likely included </w:t>
      </w:r>
      <w:r>
        <w:rPr>
          <w:rStyle w:val="Strong"/>
          <w:color w:val="5A3E36"/>
          <w:lang w:val="en"/>
        </w:rPr>
        <w:t>Adobe Illustrator</w:t>
      </w:r>
      <w:r>
        <w:rPr>
          <w:color w:val="5A3E36"/>
          <w:lang w:val="en"/>
        </w:rPr>
        <w:t xml:space="preserve"> for brand visuals, </w:t>
      </w:r>
      <w:r>
        <w:rPr>
          <w:rStyle w:val="Strong"/>
          <w:color w:val="5A3E36"/>
          <w:lang w:val="en"/>
        </w:rPr>
        <w:t>Canva</w:t>
      </w:r>
      <w:r>
        <w:rPr>
          <w:color w:val="5A3E36"/>
          <w:lang w:val="en"/>
        </w:rPr>
        <w:t xml:space="preserve"> or </w:t>
      </w:r>
      <w:r>
        <w:rPr>
          <w:rStyle w:val="Strong"/>
          <w:color w:val="5A3E36"/>
          <w:lang w:val="en"/>
        </w:rPr>
        <w:t>Figma</w:t>
      </w:r>
      <w:r>
        <w:rPr>
          <w:color w:val="5A3E36"/>
          <w:lang w:val="en"/>
        </w:rPr>
        <w:t xml:space="preserve"> for identity mockups, and </w:t>
      </w:r>
      <w:r>
        <w:rPr>
          <w:rStyle w:val="Strong"/>
          <w:color w:val="5A3E36"/>
          <w:lang w:val="en"/>
        </w:rPr>
        <w:t>Google Forms</w:t>
      </w:r>
      <w:r>
        <w:rPr>
          <w:color w:val="5A3E36"/>
          <w:lang w:val="en"/>
        </w:rPr>
        <w:t xml:space="preserve"> or CRM surveys to collect perception data about the brand’s reputation pre-launch.</w:t>
      </w:r>
    </w:p>
    <w:p w14:paraId="2AD8C68C" w14:textId="601130FC" w:rsidR="00000000" w:rsidRDefault="00000000">
      <w:pPr>
        <w:pStyle w:val="Heading2"/>
        <w:rPr>
          <w:rFonts w:eastAsia="Times New Roman"/>
          <w:lang w:val="en"/>
        </w:rPr>
      </w:pPr>
      <w:r>
        <w:rPr>
          <w:rFonts w:eastAsia="Times New Roman"/>
          <w:lang w:val="en"/>
        </w:rPr>
        <w:t>2. Brand Identity Components</w:t>
      </w:r>
    </w:p>
    <w:p w14:paraId="5945BB0E" w14:textId="77777777" w:rsidR="00000000" w:rsidRDefault="00000000">
      <w:pPr>
        <w:pStyle w:val="Heading3"/>
        <w:rPr>
          <w:rFonts w:eastAsia="Times New Roman"/>
          <w:lang w:val="en"/>
        </w:rPr>
      </w:pPr>
      <w:r>
        <w:rPr>
          <w:rFonts w:eastAsia="Times New Roman"/>
          <w:lang w:val="en"/>
        </w:rPr>
        <w:t>Brand Vision</w:t>
      </w:r>
    </w:p>
    <w:p w14:paraId="6325EBE3" w14:textId="77777777" w:rsidR="00000000" w:rsidRDefault="00000000">
      <w:pPr>
        <w:pStyle w:val="NormalWeb"/>
        <w:rPr>
          <w:color w:val="5A3E36"/>
          <w:lang w:val="en"/>
        </w:rPr>
      </w:pPr>
      <w:r>
        <w:rPr>
          <w:color w:val="5A3E36"/>
          <w:lang w:val="en"/>
        </w:rPr>
        <w:t>To be Alexandria’s top fitness destination, offering curated programs, innovative classes, and elite training experiences for every member. This vision encapsulates the ambition of creating a performance-driven, modern gym ecosystem anchored in high service quality and lifestyle appeal.</w:t>
      </w:r>
    </w:p>
    <w:p w14:paraId="40D76192" w14:textId="77777777" w:rsidR="00000000" w:rsidRDefault="00000000">
      <w:pPr>
        <w:pStyle w:val="Heading3"/>
        <w:rPr>
          <w:rFonts w:eastAsia="Times New Roman"/>
          <w:lang w:val="en"/>
        </w:rPr>
      </w:pPr>
      <w:r>
        <w:rPr>
          <w:rFonts w:eastAsia="Times New Roman"/>
          <w:lang w:val="en"/>
        </w:rPr>
        <w:t>Brand Mission</w:t>
      </w:r>
    </w:p>
    <w:p w14:paraId="21C6EC6B" w14:textId="77777777" w:rsidR="00000000" w:rsidRDefault="00000000">
      <w:pPr>
        <w:pStyle w:val="NormalWeb"/>
        <w:rPr>
          <w:color w:val="5A3E36"/>
          <w:lang w:val="en"/>
        </w:rPr>
      </w:pPr>
      <w:r>
        <w:rPr>
          <w:color w:val="5A3E36"/>
          <w:lang w:val="en"/>
        </w:rPr>
        <w:t>Deliver premium training programs, personalized coaching, and community-driven wellness events that create transformative fitness journeys. This mission highlights an operational focus on service differentiation and member satisfaction metrics, supported by staff training KPIs and retention tracking through CRM systems.</w:t>
      </w:r>
    </w:p>
    <w:p w14:paraId="67687832" w14:textId="77777777" w:rsidR="00000000" w:rsidRDefault="00000000">
      <w:pPr>
        <w:pStyle w:val="Heading3"/>
        <w:rPr>
          <w:rFonts w:eastAsia="Times New Roman"/>
          <w:lang w:val="en"/>
        </w:rPr>
      </w:pPr>
      <w:r>
        <w:rPr>
          <w:rFonts w:eastAsia="Times New Roman"/>
          <w:lang w:val="en"/>
        </w:rPr>
        <w:t>Brand Values</w:t>
      </w:r>
    </w:p>
    <w:p w14:paraId="2DD80044" w14:textId="77777777" w:rsidR="00000000" w:rsidRDefault="00000000">
      <w:pPr>
        <w:numPr>
          <w:ilvl w:val="0"/>
          <w:numId w:val="1"/>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lastRenderedPageBreak/>
        <w:t>Excellence &amp; Performance:</w:t>
      </w:r>
      <w:r>
        <w:rPr>
          <w:rFonts w:eastAsia="Times New Roman"/>
          <w:color w:val="5A3E36"/>
          <w:sz w:val="27"/>
          <w:szCs w:val="27"/>
          <w:lang w:val="en"/>
        </w:rPr>
        <w:t xml:space="preserve"> Continuous pursuit of quality and measurable results.</w:t>
      </w:r>
    </w:p>
    <w:p w14:paraId="528EEBF8" w14:textId="77777777" w:rsidR="00000000" w:rsidRDefault="00000000">
      <w:pPr>
        <w:numPr>
          <w:ilvl w:val="0"/>
          <w:numId w:val="1"/>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Consistency &amp; Progress:</w:t>
      </w:r>
      <w:r>
        <w:rPr>
          <w:rFonts w:eastAsia="Times New Roman"/>
          <w:color w:val="5A3E36"/>
          <w:sz w:val="27"/>
          <w:szCs w:val="27"/>
          <w:lang w:val="en"/>
        </w:rPr>
        <w:t xml:space="preserve"> Regular evaluation of performance through structured programs.</w:t>
      </w:r>
    </w:p>
    <w:p w14:paraId="4FFF7CEF" w14:textId="77777777" w:rsidR="00000000" w:rsidRDefault="00000000">
      <w:pPr>
        <w:numPr>
          <w:ilvl w:val="0"/>
          <w:numId w:val="1"/>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Member-Centric Experience:</w:t>
      </w:r>
      <w:r>
        <w:rPr>
          <w:rFonts w:eastAsia="Times New Roman"/>
          <w:color w:val="5A3E36"/>
          <w:sz w:val="27"/>
          <w:szCs w:val="27"/>
          <w:lang w:val="en"/>
        </w:rPr>
        <w:t xml:space="preserve"> Designing experiences around member goals and feedback loops.</w:t>
      </w:r>
    </w:p>
    <w:p w14:paraId="1768AF9F" w14:textId="77777777" w:rsidR="00000000" w:rsidRDefault="00000000">
      <w:pPr>
        <w:numPr>
          <w:ilvl w:val="0"/>
          <w:numId w:val="1"/>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Innovation &amp; Modernity:</w:t>
      </w:r>
      <w:r>
        <w:rPr>
          <w:rFonts w:eastAsia="Times New Roman"/>
          <w:color w:val="5A3E36"/>
          <w:sz w:val="27"/>
          <w:szCs w:val="27"/>
          <w:lang w:val="en"/>
        </w:rPr>
        <w:t xml:space="preserve"> Integrating tech-enabled solutions like smart check-ins and digital workout tracking.</w:t>
      </w:r>
    </w:p>
    <w:p w14:paraId="26263597" w14:textId="77777777" w:rsidR="00000000" w:rsidRDefault="00000000">
      <w:pPr>
        <w:numPr>
          <w:ilvl w:val="0"/>
          <w:numId w:val="1"/>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Community &amp; Engagement:</w:t>
      </w:r>
      <w:r>
        <w:rPr>
          <w:rFonts w:eastAsia="Times New Roman"/>
          <w:color w:val="5A3E36"/>
          <w:sz w:val="27"/>
          <w:szCs w:val="27"/>
          <w:lang w:val="en"/>
        </w:rPr>
        <w:t xml:space="preserve"> Fostering belonging through group events, loyalty challenges, and social storytelling.</w:t>
      </w:r>
    </w:p>
    <w:p w14:paraId="22E298A1" w14:textId="77777777" w:rsidR="00000000" w:rsidRDefault="00000000">
      <w:pPr>
        <w:pStyle w:val="Heading3"/>
        <w:rPr>
          <w:rFonts w:eastAsia="Times New Roman"/>
          <w:lang w:val="en"/>
        </w:rPr>
      </w:pPr>
      <w:r>
        <w:rPr>
          <w:rFonts w:eastAsia="Times New Roman"/>
          <w:lang w:val="en"/>
        </w:rPr>
        <w:t>Brand Personality</w:t>
      </w:r>
    </w:p>
    <w:p w14:paraId="6A0629DC" w14:textId="77777777" w:rsidR="00000000" w:rsidRDefault="00000000">
      <w:pPr>
        <w:pStyle w:val="NormalWeb"/>
        <w:rPr>
          <w:color w:val="5A3E36"/>
          <w:lang w:val="en"/>
        </w:rPr>
      </w:pPr>
      <w:r>
        <w:rPr>
          <w:color w:val="5A3E36"/>
          <w:lang w:val="en"/>
        </w:rPr>
        <w:t>Professional, approachable, and inspiring; fostering a high-energy environment where every member feels motivated and supported. The tone of voice used across all communication channels — particularly in social content and email CRM — mirrors this personality, blending professionalism with relatability.</w:t>
      </w:r>
    </w:p>
    <w:p w14:paraId="0980C0CE" w14:textId="77777777" w:rsidR="00000000" w:rsidRDefault="00000000">
      <w:pPr>
        <w:pStyle w:val="Heading2"/>
        <w:rPr>
          <w:rFonts w:eastAsia="Times New Roman"/>
          <w:lang w:val="en"/>
        </w:rPr>
      </w:pPr>
      <w:r>
        <w:rPr>
          <w:rFonts w:eastAsia="Times New Roman"/>
          <w:lang w:val="en"/>
        </w:rPr>
        <w:t>3. Brand Data &amp; Campaign Metrics</w:t>
      </w:r>
    </w:p>
    <w:p w14:paraId="2B71572F" w14:textId="77777777" w:rsidR="00000000" w:rsidRDefault="00000000">
      <w:pPr>
        <w:pStyle w:val="NormalWeb"/>
        <w:rPr>
          <w:color w:val="5A3E36"/>
          <w:lang w:val="en"/>
        </w:rPr>
      </w:pPr>
      <w:r>
        <w:rPr>
          <w:color w:val="5A3E36"/>
          <w:lang w:val="en"/>
        </w:rPr>
        <w:t>The quantitative results below likely stemmed from the campaign’s first 8 weeks post-launch. These metrics were validated using integrated data from Meta Ads Manager, CRM dashboards, and Google Analytics.</w:t>
      </w:r>
    </w:p>
    <w:tbl>
      <w:tblPr>
        <w:tblW w:w="5000" w:type="pct"/>
        <w:tblCellMar>
          <w:top w:w="15" w:type="dxa"/>
          <w:left w:w="15" w:type="dxa"/>
          <w:bottom w:w="15" w:type="dxa"/>
          <w:right w:w="15" w:type="dxa"/>
        </w:tblCellMar>
        <w:tblLook w:val="04A0" w:firstRow="1" w:lastRow="0" w:firstColumn="1" w:lastColumn="0" w:noHBand="0" w:noVBand="1"/>
      </w:tblPr>
      <w:tblGrid>
        <w:gridCol w:w="2180"/>
        <w:gridCol w:w="1283"/>
        <w:gridCol w:w="2467"/>
        <w:gridCol w:w="3414"/>
      </w:tblGrid>
      <w:tr w:rsidR="00000000" w14:paraId="720EE5FC" w14:textId="77777777">
        <w:trPr>
          <w:tblHeader/>
        </w:trPr>
        <w:tc>
          <w:tcPr>
            <w:tcW w:w="0" w:type="auto"/>
            <w:tcBorders>
              <w:top w:val="single" w:sz="6" w:space="0" w:color="BFA15D"/>
              <w:left w:val="single" w:sz="6" w:space="0" w:color="BFA15D"/>
              <w:bottom w:val="single" w:sz="6" w:space="0" w:color="BFA15D"/>
              <w:right w:val="single" w:sz="6" w:space="0" w:color="BFA15D"/>
            </w:tcBorders>
            <w:shd w:val="clear" w:color="auto" w:fill="F4E8D3"/>
            <w:tcMar>
              <w:top w:w="150" w:type="dxa"/>
              <w:left w:w="225" w:type="dxa"/>
              <w:bottom w:w="150" w:type="dxa"/>
              <w:right w:w="225" w:type="dxa"/>
            </w:tcMar>
            <w:vAlign w:val="center"/>
            <w:hideMark/>
          </w:tcPr>
          <w:p w14:paraId="362A7054"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Metric</w:t>
            </w:r>
          </w:p>
        </w:tc>
        <w:tc>
          <w:tcPr>
            <w:tcW w:w="0" w:type="auto"/>
            <w:tcBorders>
              <w:top w:val="single" w:sz="6" w:space="0" w:color="BFA15D"/>
              <w:left w:val="single" w:sz="6" w:space="0" w:color="BFA15D"/>
              <w:bottom w:val="single" w:sz="6" w:space="0" w:color="BFA15D"/>
              <w:right w:val="single" w:sz="6" w:space="0" w:color="BFA15D"/>
            </w:tcBorders>
            <w:shd w:val="clear" w:color="auto" w:fill="F4E8D3"/>
            <w:tcMar>
              <w:top w:w="150" w:type="dxa"/>
              <w:left w:w="225" w:type="dxa"/>
              <w:bottom w:w="150" w:type="dxa"/>
              <w:right w:w="225" w:type="dxa"/>
            </w:tcMar>
            <w:vAlign w:val="center"/>
            <w:hideMark/>
          </w:tcPr>
          <w:p w14:paraId="15242095"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Value</w:t>
            </w:r>
          </w:p>
        </w:tc>
        <w:tc>
          <w:tcPr>
            <w:tcW w:w="0" w:type="auto"/>
            <w:tcBorders>
              <w:top w:val="single" w:sz="6" w:space="0" w:color="BFA15D"/>
              <w:left w:val="single" w:sz="6" w:space="0" w:color="BFA15D"/>
              <w:bottom w:val="single" w:sz="6" w:space="0" w:color="BFA15D"/>
              <w:right w:val="single" w:sz="6" w:space="0" w:color="BFA15D"/>
            </w:tcBorders>
            <w:shd w:val="clear" w:color="auto" w:fill="F4E8D3"/>
            <w:tcMar>
              <w:top w:w="150" w:type="dxa"/>
              <w:left w:w="225" w:type="dxa"/>
              <w:bottom w:w="150" w:type="dxa"/>
              <w:right w:w="225" w:type="dxa"/>
            </w:tcMar>
            <w:vAlign w:val="center"/>
            <w:hideMark/>
          </w:tcPr>
          <w:p w14:paraId="2602B458"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Source</w:t>
            </w:r>
          </w:p>
        </w:tc>
        <w:tc>
          <w:tcPr>
            <w:tcW w:w="0" w:type="auto"/>
            <w:tcBorders>
              <w:top w:val="single" w:sz="6" w:space="0" w:color="BFA15D"/>
              <w:left w:val="single" w:sz="6" w:space="0" w:color="BFA15D"/>
              <w:bottom w:val="single" w:sz="6" w:space="0" w:color="BFA15D"/>
              <w:right w:val="single" w:sz="6" w:space="0" w:color="BFA15D"/>
            </w:tcBorders>
            <w:shd w:val="clear" w:color="auto" w:fill="F4E8D3"/>
            <w:tcMar>
              <w:top w:w="150" w:type="dxa"/>
              <w:left w:w="225" w:type="dxa"/>
              <w:bottom w:w="150" w:type="dxa"/>
              <w:right w:w="225" w:type="dxa"/>
            </w:tcMar>
            <w:vAlign w:val="center"/>
            <w:hideMark/>
          </w:tcPr>
          <w:p w14:paraId="50CD60FF" w14:textId="77777777" w:rsidR="00000000" w:rsidRDefault="00000000">
            <w:pPr>
              <w:spacing w:before="375" w:after="375"/>
              <w:jc w:val="center"/>
              <w:rPr>
                <w:rFonts w:eastAsia="Times New Roman"/>
                <w:b/>
                <w:bCs/>
                <w:color w:val="5A3E36"/>
                <w:sz w:val="27"/>
                <w:szCs w:val="27"/>
              </w:rPr>
            </w:pPr>
            <w:r>
              <w:rPr>
                <w:rFonts w:eastAsia="Times New Roman"/>
                <w:b/>
                <w:bCs/>
                <w:color w:val="5A3E36"/>
                <w:sz w:val="27"/>
                <w:szCs w:val="27"/>
              </w:rPr>
              <w:t>Insight</w:t>
            </w:r>
          </w:p>
        </w:tc>
      </w:tr>
      <w:tr w:rsidR="00000000" w14:paraId="49623774" w14:textId="77777777">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4099DC19"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New Memberships</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699D861E"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1,800</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5B2F215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CRM / Sales Reports</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3A1EC46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High conversion driven by targeted offer segmentation and referral program.</w:t>
            </w:r>
          </w:p>
        </w:tc>
      </w:tr>
      <w:tr w:rsidR="00000000" w14:paraId="121CD99D" w14:textId="77777777">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57F63D46"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lastRenderedPageBreak/>
              <w:t>Average Engagement Rate</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1C9981FF"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18.2%</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481CC5C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Social Media Analytics (Instagram &amp; TikTok)</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12DBB78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Strong engagement attributed to influencer collaborations and live class content.</w:t>
            </w:r>
          </w:p>
        </w:tc>
      </w:tr>
      <w:tr w:rsidR="00000000" w14:paraId="006AB710" w14:textId="77777777">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77D52383"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ROI</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46C063BB"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4,780%</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5DBEE29C"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Marketing Budget Tracker &amp; Attribution Dashboard</w:t>
            </w:r>
          </w:p>
        </w:tc>
        <w:tc>
          <w:tcPr>
            <w:tcW w:w="0" w:type="auto"/>
            <w:tcBorders>
              <w:top w:val="single" w:sz="6" w:space="0" w:color="BFA15D"/>
              <w:left w:val="single" w:sz="6" w:space="0" w:color="BFA15D"/>
              <w:bottom w:val="single" w:sz="6" w:space="0" w:color="BFA15D"/>
              <w:right w:val="single" w:sz="6" w:space="0" w:color="BFA15D"/>
            </w:tcBorders>
            <w:tcMar>
              <w:top w:w="150" w:type="dxa"/>
              <w:left w:w="225" w:type="dxa"/>
              <w:bottom w:w="150" w:type="dxa"/>
              <w:right w:w="225" w:type="dxa"/>
            </w:tcMar>
            <w:vAlign w:val="center"/>
            <w:hideMark/>
          </w:tcPr>
          <w:p w14:paraId="7F08672A" w14:textId="77777777" w:rsidR="00000000" w:rsidRDefault="00000000">
            <w:pPr>
              <w:spacing w:before="375" w:after="375"/>
              <w:jc w:val="center"/>
              <w:rPr>
                <w:rFonts w:eastAsia="Times New Roman"/>
                <w:color w:val="5A3E36"/>
                <w:sz w:val="27"/>
                <w:szCs w:val="27"/>
              </w:rPr>
            </w:pPr>
            <w:r>
              <w:rPr>
                <w:rFonts w:eastAsia="Times New Roman"/>
                <w:color w:val="5A3E36"/>
                <w:sz w:val="27"/>
                <w:szCs w:val="27"/>
              </w:rPr>
              <w:t>Exceptional ROI achieved through organic amplification and low CPA via retargeting.</w:t>
            </w:r>
          </w:p>
        </w:tc>
      </w:tr>
    </w:tbl>
    <w:p w14:paraId="18FD9D95" w14:textId="77777777" w:rsidR="00000000" w:rsidRDefault="00000000">
      <w:pPr>
        <w:pStyle w:val="Heading2"/>
        <w:rPr>
          <w:rFonts w:eastAsia="Times New Roman"/>
          <w:lang w:val="en"/>
        </w:rPr>
      </w:pPr>
      <w:r>
        <w:rPr>
          <w:rFonts w:eastAsia="Times New Roman"/>
          <w:lang w:val="en"/>
        </w:rPr>
        <w:t>4. Core Positioning Statement</w:t>
      </w:r>
    </w:p>
    <w:p w14:paraId="54931C85" w14:textId="77777777" w:rsidR="00000000" w:rsidRDefault="00000000">
      <w:pPr>
        <w:pStyle w:val="NormalWeb"/>
        <w:rPr>
          <w:color w:val="5A3E36"/>
          <w:lang w:val="en"/>
        </w:rPr>
      </w:pPr>
      <w:r>
        <w:rPr>
          <w:rStyle w:val="Emphasis"/>
          <w:color w:val="5A3E36"/>
          <w:lang w:val="en"/>
        </w:rPr>
        <w:t>“Mory Gym is Alexandria’s ultimate fitness destination, offering elite training programs, personalized coaching, and community-focused events that transform every workout into an exceptional experience.”</w:t>
      </w:r>
    </w:p>
    <w:p w14:paraId="2AB9F2EC" w14:textId="77777777" w:rsidR="00000000" w:rsidRDefault="00000000">
      <w:pPr>
        <w:pStyle w:val="NormalWeb"/>
        <w:rPr>
          <w:color w:val="5A3E36"/>
          <w:lang w:val="en"/>
        </w:rPr>
      </w:pPr>
      <w:r>
        <w:rPr>
          <w:color w:val="5A3E36"/>
          <w:lang w:val="en"/>
        </w:rPr>
        <w:t>This statement represents the brand’s distilled promise — blending exclusivity, transformation, and accessibility. It was validated through qualitative interviews and competitor benchmarking, comparing local gyms’ tone and value proposition strength.</w:t>
      </w:r>
    </w:p>
    <w:p w14:paraId="3AA90660" w14:textId="77777777" w:rsidR="00000000" w:rsidRDefault="00000000">
      <w:pPr>
        <w:pStyle w:val="Heading2"/>
        <w:rPr>
          <w:rFonts w:eastAsia="Times New Roman"/>
          <w:lang w:val="en"/>
        </w:rPr>
      </w:pPr>
      <w:r>
        <w:rPr>
          <w:rFonts w:eastAsia="Times New Roman"/>
          <w:lang w:val="en"/>
        </w:rPr>
        <w:t>5. Research, Tools &amp; Validation Methods</w:t>
      </w:r>
    </w:p>
    <w:p w14:paraId="01666506" w14:textId="77777777" w:rsidR="00000000" w:rsidRDefault="00000000">
      <w:pPr>
        <w:numPr>
          <w:ilvl w:val="0"/>
          <w:numId w:val="2"/>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Market Research Tools:</w:t>
      </w:r>
      <w:r>
        <w:rPr>
          <w:rFonts w:eastAsia="Times New Roman"/>
          <w:color w:val="5A3E36"/>
          <w:sz w:val="27"/>
          <w:szCs w:val="27"/>
          <w:lang w:val="en"/>
        </w:rPr>
        <w:t xml:space="preserve"> Google Trends, Meta Audience Insights, and SEMrush keyword data to evaluate search intent and competitive positioning.</w:t>
      </w:r>
    </w:p>
    <w:p w14:paraId="503E49FB" w14:textId="77777777" w:rsidR="00000000" w:rsidRDefault="00000000">
      <w:pPr>
        <w:numPr>
          <w:ilvl w:val="0"/>
          <w:numId w:val="2"/>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Design Tools:</w:t>
      </w:r>
      <w:r>
        <w:rPr>
          <w:rFonts w:eastAsia="Times New Roman"/>
          <w:color w:val="5A3E36"/>
          <w:sz w:val="27"/>
          <w:szCs w:val="27"/>
          <w:lang w:val="en"/>
        </w:rPr>
        <w:t xml:space="preserve"> Adobe Creative Suite (Illustrator, Photoshop) and Canva for digital assets.</w:t>
      </w:r>
    </w:p>
    <w:p w14:paraId="00A901DF" w14:textId="77777777" w:rsidR="00000000" w:rsidRDefault="00000000">
      <w:pPr>
        <w:numPr>
          <w:ilvl w:val="0"/>
          <w:numId w:val="2"/>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CRM &amp; Analytics:</w:t>
      </w:r>
      <w:r>
        <w:rPr>
          <w:rFonts w:eastAsia="Times New Roman"/>
          <w:color w:val="5A3E36"/>
          <w:sz w:val="27"/>
          <w:szCs w:val="27"/>
          <w:lang w:val="en"/>
        </w:rPr>
        <w:t xml:space="preserve"> HubSpot, Mailchimp, and Google Data Studio for tracking engagement and brand loyalty KPIs.</w:t>
      </w:r>
    </w:p>
    <w:p w14:paraId="6EB9853A" w14:textId="77777777" w:rsidR="00000000" w:rsidRDefault="00000000">
      <w:pPr>
        <w:numPr>
          <w:ilvl w:val="0"/>
          <w:numId w:val="2"/>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lastRenderedPageBreak/>
        <w:t>Data Validation:</w:t>
      </w:r>
      <w:r>
        <w:rPr>
          <w:rFonts w:eastAsia="Times New Roman"/>
          <w:color w:val="5A3E36"/>
          <w:sz w:val="27"/>
          <w:szCs w:val="27"/>
          <w:lang w:val="en"/>
        </w:rPr>
        <w:t xml:space="preserve"> Weekly cross-checking of campaign data versus CRM entries to ensure reporting accuracy.</w:t>
      </w:r>
    </w:p>
    <w:p w14:paraId="5E38EB45" w14:textId="77777777" w:rsidR="00000000" w:rsidRDefault="00000000">
      <w:pPr>
        <w:numPr>
          <w:ilvl w:val="0"/>
          <w:numId w:val="2"/>
        </w:numPr>
        <w:spacing w:before="100" w:beforeAutospacing="1" w:after="100" w:afterAutospacing="1"/>
        <w:ind w:left="1170"/>
        <w:rPr>
          <w:rFonts w:eastAsia="Times New Roman"/>
          <w:color w:val="5A3E36"/>
          <w:sz w:val="27"/>
          <w:szCs w:val="27"/>
          <w:lang w:val="en"/>
        </w:rPr>
      </w:pPr>
      <w:r>
        <w:rPr>
          <w:rStyle w:val="Strong"/>
          <w:rFonts w:eastAsia="Times New Roman"/>
          <w:color w:val="5A3E36"/>
          <w:sz w:val="27"/>
          <w:szCs w:val="27"/>
          <w:lang w:val="en"/>
        </w:rPr>
        <w:t>Consumer Validation:</w:t>
      </w:r>
      <w:r>
        <w:rPr>
          <w:rFonts w:eastAsia="Times New Roman"/>
          <w:color w:val="5A3E36"/>
          <w:sz w:val="27"/>
          <w:szCs w:val="27"/>
          <w:lang w:val="en"/>
        </w:rPr>
        <w:t xml:space="preserve"> Surveys and focus groups testing the emotional perception of the brand identity.</w:t>
      </w:r>
    </w:p>
    <w:p w14:paraId="48A69C58" w14:textId="77777777" w:rsidR="00000000" w:rsidRDefault="00000000">
      <w:pPr>
        <w:pStyle w:val="Heading2"/>
        <w:rPr>
          <w:rFonts w:eastAsia="Times New Roman"/>
          <w:lang w:val="en"/>
        </w:rPr>
      </w:pPr>
      <w:r>
        <w:rPr>
          <w:rFonts w:eastAsia="Times New Roman"/>
          <w:lang w:val="en"/>
        </w:rPr>
        <w:t>6. Key Insights &amp; Takeaways</w:t>
      </w:r>
    </w:p>
    <w:p w14:paraId="3AC8B37C" w14:textId="7002E662" w:rsidR="00000000" w:rsidRDefault="00000000">
      <w:pPr>
        <w:pStyle w:val="NormalWeb"/>
        <w:rPr>
          <w:color w:val="5A3E36"/>
          <w:lang w:val="en"/>
        </w:rPr>
      </w:pPr>
      <w:r>
        <w:rPr>
          <w:color w:val="5A3E36"/>
          <w:lang w:val="en"/>
        </w:rPr>
        <w:t>The Mory Gym brand identity successfully balances professionalism with modern lifestyle energy. Data-driven insights show a clear link between consistent tone, refined visuals, and audience engagement. The brand’s success is rooted in its human-centered narrative offering belonging, not just fitness.</w:t>
      </w:r>
    </w:p>
    <w:p w14:paraId="409A7BE1" w14:textId="77777777" w:rsidR="008769B3" w:rsidRDefault="00000000">
      <w:pPr>
        <w:pStyle w:val="NormalWeb"/>
        <w:rPr>
          <w:color w:val="5A3E36"/>
          <w:lang w:val="en"/>
        </w:rPr>
      </w:pPr>
      <w:r>
        <w:rPr>
          <w:color w:val="5A3E36"/>
          <w:lang w:val="en"/>
        </w:rPr>
        <w:t>Future iterations should focus on deepening emotional storytelling, expanding influencer partnerships, and integrating brand values into on-site experiences and digital loyalty ecosystems.</w:t>
      </w:r>
    </w:p>
    <w:sectPr w:rsidR="008769B3" w:rsidSect="00406009">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768DE"/>
    <w:multiLevelType w:val="multilevel"/>
    <w:tmpl w:val="AA7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5563A"/>
    <w:multiLevelType w:val="multilevel"/>
    <w:tmpl w:val="5CE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974515">
    <w:abstractNumId w:val="0"/>
  </w:num>
  <w:num w:numId="2" w16cid:durableId="1773865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6009"/>
    <w:rsid w:val="002F67DD"/>
    <w:rsid w:val="00406009"/>
    <w:rsid w:val="0087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03B16"/>
  <w15:chartTrackingRefBased/>
  <w15:docId w15:val="{42260FF4-D128-4ED3-A556-467E6ED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BFA15D"/>
      </w:pBdr>
      <w:spacing w:before="100" w:beforeAutospacing="1" w:after="100" w:afterAutospacing="1"/>
      <w:jc w:val="center"/>
      <w:outlineLvl w:val="0"/>
    </w:pPr>
    <w:rPr>
      <w:b/>
      <w:bCs/>
      <w:kern w:val="36"/>
      <w:sz w:val="48"/>
      <w:szCs w:val="48"/>
    </w:rPr>
  </w:style>
  <w:style w:type="paragraph" w:styleId="Heading2">
    <w:name w:val="heading 2"/>
    <w:basedOn w:val="Normal"/>
    <w:link w:val="Heading2Char"/>
    <w:uiPriority w:val="9"/>
    <w:qFormat/>
    <w:pPr>
      <w:spacing w:before="450" w:after="100" w:afterAutospacing="1"/>
      <w:outlineLvl w:val="1"/>
    </w:pPr>
    <w:rPr>
      <w:b/>
      <w:bCs/>
      <w:color w:val="5A3E36"/>
      <w:sz w:val="39"/>
      <w:szCs w:val="39"/>
    </w:rPr>
  </w:style>
  <w:style w:type="paragraph" w:styleId="Heading3">
    <w:name w:val="heading 3"/>
    <w:basedOn w:val="Normal"/>
    <w:link w:val="Heading3Char"/>
    <w:uiPriority w:val="9"/>
    <w:qFormat/>
    <w:pPr>
      <w:spacing w:before="100" w:beforeAutospacing="1" w:after="100" w:afterAutospacing="1"/>
      <w:outlineLvl w:val="2"/>
    </w:pPr>
    <w:rPr>
      <w:b/>
      <w:bCs/>
      <w:color w:val="5A3E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rPr>
      <w:sz w:val="27"/>
      <w:szCs w:val="27"/>
    </w:rPr>
  </w:style>
  <w:style w:type="paragraph" w:styleId="NormalWeb">
    <w:name w:val="Normal (Web)"/>
    <w:basedOn w:val="Normal"/>
    <w:uiPriority w:val="99"/>
    <w:semiHidden/>
    <w:unhideWhenUsed/>
    <w:pPr>
      <w:spacing w:before="100" w:beforeAutospacing="1" w:after="100" w:afterAutospacing="1"/>
    </w:pPr>
    <w:rPr>
      <w:sz w:val="27"/>
      <w:szCs w:val="27"/>
    </w:rPr>
  </w:style>
  <w:style w:type="paragraph" w:customStyle="1" w:styleId="separator">
    <w:name w:val="separator"/>
    <w:basedOn w:val="Normal"/>
    <w:pPr>
      <w:pBdr>
        <w:top w:val="single" w:sz="12" w:space="0" w:color="BFA15D"/>
      </w:pBdr>
      <w:spacing w:before="600" w:after="600"/>
    </w:pPr>
    <w:rPr>
      <w:sz w:val="27"/>
      <w:szCs w:val="27"/>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 Brand Identity &amp; Core Positioning (Extracted Marketing File)</dc:title>
  <dc:subject/>
  <dc:creator>Moe AbdelRazek</dc:creator>
  <cp:keywords/>
  <dc:description/>
  <cp:lastModifiedBy>Moe AbdelRazek</cp:lastModifiedBy>
  <cp:revision>2</cp:revision>
  <dcterms:created xsi:type="dcterms:W3CDTF">2025-10-16T15:16:00Z</dcterms:created>
  <dcterms:modified xsi:type="dcterms:W3CDTF">2025-10-16T15:16:00Z</dcterms:modified>
</cp:coreProperties>
</file>