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5A587" w14:textId="77777777" w:rsidR="0087365C" w:rsidRPr="0087365C" w:rsidRDefault="0087365C" w:rsidP="0087365C">
      <w:pPr>
        <w:rPr>
          <w:b/>
          <w:bCs/>
        </w:rPr>
      </w:pPr>
      <w:r w:rsidRPr="0087365C">
        <w:rPr>
          <w:b/>
          <w:bCs/>
        </w:rPr>
        <w:t>SMART Goals &amp; Performance</w:t>
      </w:r>
    </w:p>
    <w:p w14:paraId="450BFCBE" w14:textId="77777777" w:rsidR="0087365C" w:rsidRPr="0087365C" w:rsidRDefault="0087365C" w:rsidP="0087365C">
      <w:r w:rsidRPr="0087365C">
        <w:rPr>
          <w:b/>
          <w:bCs/>
        </w:rPr>
        <w:t>Overview</w:t>
      </w:r>
      <w:r w:rsidRPr="0087365C">
        <w:br/>
        <w:t xml:space="preserve">This section outlines the </w:t>
      </w:r>
      <w:r w:rsidRPr="0087365C">
        <w:rPr>
          <w:b/>
          <w:bCs/>
        </w:rPr>
        <w:t>high-value, measurable objectives</w:t>
      </w:r>
      <w:r w:rsidRPr="0087365C">
        <w:t xml:space="preserve"> of the </w:t>
      </w:r>
      <w:proofErr w:type="spellStart"/>
      <w:r w:rsidRPr="0087365C">
        <w:t>Haksoss</w:t>
      </w:r>
      <w:proofErr w:type="spellEnd"/>
      <w:r w:rsidRPr="0087365C">
        <w:t xml:space="preserve"> Café campaign. Each goal adheres to the SMART framework—Specific, Measurable, Achievable, Relevant, Time-bound—ensuring that all campaign efforts directly contributed to revenue growth, brand loyalty, and customer engagement.</w:t>
      </w:r>
    </w:p>
    <w:p w14:paraId="77EBD08C" w14:textId="77777777" w:rsidR="0087365C" w:rsidRPr="0087365C" w:rsidRDefault="0087365C" w:rsidP="0087365C">
      <w:r w:rsidRPr="0087365C">
        <w:pict w14:anchorId="5499D72C">
          <v:rect id="_x0000_i1037" style="width:0;height:1.5pt" o:hralign="center" o:hrstd="t" o:hr="t" fillcolor="#a0a0a0" stroked="f"/>
        </w:pict>
      </w:r>
    </w:p>
    <w:p w14:paraId="2CAC8EA9" w14:textId="77777777" w:rsidR="0087365C" w:rsidRPr="0087365C" w:rsidRDefault="0087365C" w:rsidP="0087365C">
      <w:pPr>
        <w:rPr>
          <w:b/>
          <w:bCs/>
        </w:rPr>
      </w:pPr>
      <w:r w:rsidRPr="0087365C">
        <w:rPr>
          <w:b/>
          <w:bCs/>
        </w:rPr>
        <w:t>SMART Goals</w:t>
      </w:r>
    </w:p>
    <w:p w14:paraId="72E9B059" w14:textId="77777777" w:rsidR="0087365C" w:rsidRPr="0087365C" w:rsidRDefault="0087365C" w:rsidP="0087365C">
      <w:pPr>
        <w:rPr>
          <w:b/>
          <w:bCs/>
        </w:rPr>
      </w:pPr>
      <w:r w:rsidRPr="0087365C">
        <w:rPr>
          <w:b/>
          <w:bCs/>
        </w:rPr>
        <w:t>1. Specific</w:t>
      </w:r>
    </w:p>
    <w:p w14:paraId="0A1F4710" w14:textId="77777777" w:rsidR="0087365C" w:rsidRPr="0087365C" w:rsidRDefault="0087365C" w:rsidP="0087365C">
      <w:r w:rsidRPr="0087365C">
        <w:rPr>
          <w:b/>
          <w:bCs/>
        </w:rPr>
        <w:t>Objective:</w:t>
      </w:r>
      <w:r w:rsidRPr="0087365C">
        <w:t xml:space="preserve"> Establish </w:t>
      </w:r>
      <w:proofErr w:type="spellStart"/>
      <w:r w:rsidRPr="0087365C">
        <w:t>Haksoss</w:t>
      </w:r>
      <w:proofErr w:type="spellEnd"/>
      <w:r w:rsidRPr="0087365C">
        <w:t xml:space="preserve"> Café as Alexandria’s top luxury morning destination via premium loyalty conversion.</w:t>
      </w:r>
      <w:r w:rsidRPr="0087365C">
        <w:br/>
      </w:r>
      <w:r w:rsidRPr="0087365C">
        <w:rPr>
          <w:b/>
          <w:bCs/>
        </w:rPr>
        <w:t>Target:</w:t>
      </w:r>
      <w:r w:rsidRPr="0087365C">
        <w:t xml:space="preserve"> 1,000 loyalty program sign-ups</w:t>
      </w:r>
      <w:r w:rsidRPr="0087365C">
        <w:br/>
      </w:r>
      <w:r w:rsidRPr="0087365C">
        <w:rPr>
          <w:b/>
          <w:bCs/>
        </w:rPr>
        <w:t>Actual Achievement:</w:t>
      </w:r>
      <w:r w:rsidRPr="0087365C">
        <w:t xml:space="preserve"> 1,070 sign-ups </w:t>
      </w:r>
      <w:r w:rsidRPr="0087365C">
        <w:rPr>
          <w:rFonts w:ascii="Segoe UI Emoji" w:hAnsi="Segoe UI Emoji" w:cs="Segoe UI Emoji"/>
        </w:rPr>
        <w:t>✅</w:t>
      </w:r>
      <w:r w:rsidRPr="0087365C">
        <w:br/>
      </w:r>
      <w:r w:rsidRPr="0087365C">
        <w:rPr>
          <w:i/>
          <w:iCs/>
        </w:rPr>
        <w:t>Insight:</w:t>
      </w:r>
      <w:r w:rsidRPr="0087365C">
        <w:t xml:space="preserve"> The campaign exceeded its specific goal, demonstrating strong appeal of the loyalty program among target audiences.</w:t>
      </w:r>
    </w:p>
    <w:p w14:paraId="6CF5E6AF" w14:textId="77777777" w:rsidR="0087365C" w:rsidRPr="0087365C" w:rsidRDefault="0087365C" w:rsidP="0087365C">
      <w:pPr>
        <w:rPr>
          <w:b/>
          <w:bCs/>
        </w:rPr>
      </w:pPr>
      <w:r w:rsidRPr="0087365C">
        <w:rPr>
          <w:b/>
          <w:bCs/>
        </w:rPr>
        <w:t>2. Measurable</w:t>
      </w:r>
    </w:p>
    <w:p w14:paraId="309FB86B" w14:textId="77777777" w:rsidR="0087365C" w:rsidRPr="0087365C" w:rsidRDefault="0087365C" w:rsidP="0087365C">
      <w:r w:rsidRPr="0087365C">
        <w:rPr>
          <w:b/>
          <w:bCs/>
        </w:rPr>
        <w:t>Objective:</w:t>
      </w:r>
      <w:r w:rsidRPr="0087365C">
        <w:t xml:space="preserve"> Maximize financial efficiency and scalability of digital spend.</w:t>
      </w:r>
      <w:r w:rsidRPr="0087365C">
        <w:br/>
      </w:r>
      <w:r w:rsidRPr="0087365C">
        <w:rPr>
          <w:b/>
          <w:bCs/>
        </w:rPr>
        <w:t>Target ROI:</w:t>
      </w:r>
      <w:r w:rsidRPr="0087365C">
        <w:t xml:space="preserve"> 350%</w:t>
      </w:r>
      <w:r w:rsidRPr="0087365C">
        <w:br/>
      </w:r>
      <w:r w:rsidRPr="0087365C">
        <w:rPr>
          <w:b/>
          <w:bCs/>
        </w:rPr>
        <w:t>Actual ROI:</w:t>
      </w:r>
      <w:r w:rsidRPr="0087365C">
        <w:t xml:space="preserve"> 411% </w:t>
      </w:r>
      <w:r w:rsidRPr="0087365C">
        <w:rPr>
          <w:rFonts w:ascii="Segoe UI Emoji" w:hAnsi="Segoe UI Emoji" w:cs="Segoe UI Emoji"/>
        </w:rPr>
        <w:t>✅</w:t>
      </w:r>
      <w:r w:rsidRPr="0087365C">
        <w:br/>
      </w:r>
      <w:r w:rsidRPr="0087365C">
        <w:rPr>
          <w:i/>
          <w:iCs/>
        </w:rPr>
        <w:t>Insight:</w:t>
      </w:r>
      <w:r w:rsidRPr="0087365C">
        <w:t xml:space="preserve"> Campaign investment produced highly efficient returns, validating creative and media strategy.</w:t>
      </w:r>
    </w:p>
    <w:p w14:paraId="7A72A9A0" w14:textId="77777777" w:rsidR="0087365C" w:rsidRPr="0087365C" w:rsidRDefault="0087365C" w:rsidP="0087365C">
      <w:pPr>
        <w:rPr>
          <w:b/>
          <w:bCs/>
        </w:rPr>
      </w:pPr>
      <w:r w:rsidRPr="0087365C">
        <w:rPr>
          <w:b/>
          <w:bCs/>
        </w:rPr>
        <w:t>3. Achievable</w:t>
      </w:r>
    </w:p>
    <w:p w14:paraId="1BE24747" w14:textId="77777777" w:rsidR="0087365C" w:rsidRPr="0087365C" w:rsidRDefault="0087365C" w:rsidP="0087365C">
      <w:r w:rsidRPr="0087365C">
        <w:rPr>
          <w:b/>
          <w:bCs/>
        </w:rPr>
        <w:t>Objective:</w:t>
      </w:r>
      <w:r w:rsidRPr="0087365C">
        <w:t xml:space="preserve"> Leverage superior creative assets to generate interest and engagement among the target audience.</w:t>
      </w:r>
      <w:r w:rsidRPr="0087365C">
        <w:br/>
      </w:r>
      <w:r w:rsidRPr="0087365C">
        <w:rPr>
          <w:b/>
          <w:bCs/>
        </w:rPr>
        <w:t>Target Reach:</w:t>
      </w:r>
      <w:r w:rsidRPr="0087365C">
        <w:t xml:space="preserve"> 75,000 unique users</w:t>
      </w:r>
      <w:r w:rsidRPr="0087365C">
        <w:br/>
      </w:r>
      <w:r w:rsidRPr="0087365C">
        <w:rPr>
          <w:b/>
          <w:bCs/>
        </w:rPr>
        <w:t>Actual Reach:</w:t>
      </w:r>
      <w:r w:rsidRPr="0087365C">
        <w:t xml:space="preserve"> 80,800 unique users </w:t>
      </w:r>
      <w:r w:rsidRPr="0087365C">
        <w:rPr>
          <w:rFonts w:ascii="Segoe UI Emoji" w:hAnsi="Segoe UI Emoji" w:cs="Segoe UI Emoji"/>
        </w:rPr>
        <w:t>✅</w:t>
      </w:r>
      <w:r w:rsidRPr="0087365C">
        <w:br/>
      </w:r>
      <w:r w:rsidRPr="0087365C">
        <w:rPr>
          <w:i/>
          <w:iCs/>
        </w:rPr>
        <w:t>Insight:</w:t>
      </w:r>
      <w:r w:rsidRPr="0087365C">
        <w:t xml:space="preserve"> Distribution and targeting strategy successfully engaged a wider audience than anticipated.</w:t>
      </w:r>
    </w:p>
    <w:p w14:paraId="52D534DA" w14:textId="77777777" w:rsidR="0087365C" w:rsidRPr="0087365C" w:rsidRDefault="0087365C" w:rsidP="0087365C">
      <w:pPr>
        <w:rPr>
          <w:b/>
          <w:bCs/>
        </w:rPr>
      </w:pPr>
      <w:r w:rsidRPr="0087365C">
        <w:rPr>
          <w:b/>
          <w:bCs/>
        </w:rPr>
        <w:t>4. Relevant</w:t>
      </w:r>
    </w:p>
    <w:p w14:paraId="585962AA" w14:textId="77777777" w:rsidR="0087365C" w:rsidRPr="0087365C" w:rsidRDefault="0087365C" w:rsidP="0087365C">
      <w:r w:rsidRPr="0087365C">
        <w:rPr>
          <w:b/>
          <w:bCs/>
        </w:rPr>
        <w:t>Objective:</w:t>
      </w:r>
      <w:r w:rsidRPr="0087365C">
        <w:t xml:space="preserve"> Support the brand vision of delivering the “Ultimate Luxury Morning Experience.”</w:t>
      </w:r>
      <w:r w:rsidRPr="0087365C">
        <w:br/>
      </w:r>
      <w:r w:rsidRPr="0087365C">
        <w:rPr>
          <w:b/>
          <w:bCs/>
        </w:rPr>
        <w:t>Target Sales Mix:</w:t>
      </w:r>
      <w:r w:rsidRPr="0087365C">
        <w:t xml:space="preserve"> 50%</w:t>
      </w:r>
      <w:r w:rsidRPr="0087365C">
        <w:br/>
      </w:r>
      <w:r w:rsidRPr="0087365C">
        <w:rPr>
          <w:b/>
          <w:bCs/>
        </w:rPr>
        <w:lastRenderedPageBreak/>
        <w:t>Actual Sales Mix:</w:t>
      </w:r>
      <w:r w:rsidRPr="0087365C">
        <w:t xml:space="preserve"> 58% </w:t>
      </w:r>
      <w:r w:rsidRPr="0087365C">
        <w:rPr>
          <w:rFonts w:ascii="Segoe UI Emoji" w:hAnsi="Segoe UI Emoji" w:cs="Segoe UI Emoji"/>
        </w:rPr>
        <w:t>✅</w:t>
      </w:r>
      <w:r w:rsidRPr="0087365C">
        <w:br/>
      </w:r>
      <w:r w:rsidRPr="0087365C">
        <w:rPr>
          <w:i/>
          <w:iCs/>
        </w:rPr>
        <w:t>Insight:</w:t>
      </w:r>
      <w:r w:rsidRPr="0087365C">
        <w:t xml:space="preserve"> The campaign’s initiatives aligned perfectly with the brand’s strategic vision and value proposition.</w:t>
      </w:r>
    </w:p>
    <w:p w14:paraId="782AFAEE" w14:textId="77777777" w:rsidR="0087365C" w:rsidRPr="0087365C" w:rsidRDefault="0087365C" w:rsidP="0087365C">
      <w:pPr>
        <w:rPr>
          <w:b/>
          <w:bCs/>
        </w:rPr>
      </w:pPr>
      <w:r w:rsidRPr="0087365C">
        <w:rPr>
          <w:b/>
          <w:bCs/>
        </w:rPr>
        <w:t>5. Time-bound</w:t>
      </w:r>
    </w:p>
    <w:p w14:paraId="23E9813C" w14:textId="77777777" w:rsidR="0087365C" w:rsidRPr="0087365C" w:rsidRDefault="0087365C" w:rsidP="0087365C">
      <w:r w:rsidRPr="0087365C">
        <w:rPr>
          <w:b/>
          <w:bCs/>
        </w:rPr>
        <w:t>Objective:</w:t>
      </w:r>
      <w:r w:rsidRPr="0087365C">
        <w:t xml:space="preserve"> Execute full 10-step campaign sequence within 90 days.</w:t>
      </w:r>
      <w:r w:rsidRPr="0087365C">
        <w:br/>
      </w:r>
      <w:r w:rsidRPr="0087365C">
        <w:rPr>
          <w:b/>
          <w:bCs/>
        </w:rPr>
        <w:t>Duration:</w:t>
      </w:r>
      <w:r w:rsidRPr="0087365C">
        <w:t xml:space="preserve"> 90 Days</w:t>
      </w:r>
      <w:r w:rsidRPr="0087365C">
        <w:br/>
      </w:r>
      <w:r w:rsidRPr="0087365C">
        <w:rPr>
          <w:b/>
          <w:bCs/>
        </w:rPr>
        <w:t>Status:</w:t>
      </w:r>
      <w:r w:rsidRPr="0087365C">
        <w:t xml:space="preserve"> Achieved </w:t>
      </w:r>
      <w:r w:rsidRPr="0087365C">
        <w:rPr>
          <w:rFonts w:ascii="Segoe UI Emoji" w:hAnsi="Segoe UI Emoji" w:cs="Segoe UI Emoji"/>
        </w:rPr>
        <w:t>✅</w:t>
      </w:r>
      <w:r w:rsidRPr="0087365C">
        <w:br/>
      </w:r>
      <w:r w:rsidRPr="0087365C">
        <w:rPr>
          <w:i/>
          <w:iCs/>
        </w:rPr>
        <w:t>Insight:</w:t>
      </w:r>
      <w:r w:rsidRPr="0087365C">
        <w:t xml:space="preserve"> Efficient project management ensured timely delivery without compromising quality or performance.</w:t>
      </w:r>
    </w:p>
    <w:p w14:paraId="500FAF8A" w14:textId="77777777" w:rsidR="0087365C" w:rsidRPr="0087365C" w:rsidRDefault="0087365C" w:rsidP="0087365C">
      <w:r w:rsidRPr="0087365C">
        <w:pict w14:anchorId="2CE0A34E">
          <v:rect id="_x0000_i1038" style="width:0;height:1.5pt" o:hralign="center" o:hrstd="t" o:hr="t" fillcolor="#a0a0a0" stroked="f"/>
        </w:pict>
      </w:r>
    </w:p>
    <w:p w14:paraId="04CE2BAF" w14:textId="77777777" w:rsidR="0087365C" w:rsidRPr="0087365C" w:rsidRDefault="0087365C" w:rsidP="0087365C">
      <w:pPr>
        <w:rPr>
          <w:b/>
          <w:bCs/>
        </w:rPr>
      </w:pPr>
      <w:r w:rsidRPr="0087365C">
        <w:rPr>
          <w:b/>
          <w:bCs/>
        </w:rPr>
        <w:t>KPI Performance Overview</w:t>
      </w:r>
    </w:p>
    <w:p w14:paraId="746E9749" w14:textId="77777777" w:rsidR="0087365C" w:rsidRPr="0087365C" w:rsidRDefault="0087365C" w:rsidP="0087365C">
      <w:r w:rsidRPr="0087365C">
        <w:rPr>
          <w:b/>
          <w:bCs/>
        </w:rPr>
        <w:t>Key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70"/>
        <w:gridCol w:w="770"/>
        <w:gridCol w:w="5582"/>
      </w:tblGrid>
      <w:tr w:rsidR="0087365C" w:rsidRPr="0087365C" w14:paraId="404E5D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ECCFF" w14:textId="77777777" w:rsidR="0087365C" w:rsidRPr="0087365C" w:rsidRDefault="0087365C" w:rsidP="0087365C">
            <w:pPr>
              <w:rPr>
                <w:b/>
                <w:bCs/>
              </w:rPr>
            </w:pPr>
            <w:r w:rsidRPr="0087365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9FB27AE" w14:textId="77777777" w:rsidR="0087365C" w:rsidRPr="0087365C" w:rsidRDefault="0087365C" w:rsidP="0087365C">
            <w:pPr>
              <w:rPr>
                <w:b/>
                <w:bCs/>
              </w:rPr>
            </w:pPr>
            <w:r w:rsidRPr="0087365C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732E1E44" w14:textId="77777777" w:rsidR="0087365C" w:rsidRPr="0087365C" w:rsidRDefault="0087365C" w:rsidP="0087365C">
            <w:pPr>
              <w:rPr>
                <w:b/>
                <w:bCs/>
              </w:rPr>
            </w:pPr>
            <w:r w:rsidRPr="0087365C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4B4C11A9" w14:textId="77777777" w:rsidR="0087365C" w:rsidRPr="0087365C" w:rsidRDefault="0087365C" w:rsidP="0087365C">
            <w:pPr>
              <w:rPr>
                <w:b/>
                <w:bCs/>
              </w:rPr>
            </w:pPr>
            <w:r w:rsidRPr="0087365C">
              <w:rPr>
                <w:b/>
                <w:bCs/>
              </w:rPr>
              <w:t>Insight</w:t>
            </w:r>
          </w:p>
        </w:tc>
      </w:tr>
      <w:tr w:rsidR="0087365C" w:rsidRPr="0087365C" w14:paraId="401F7D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BC8F" w14:textId="77777777" w:rsidR="0087365C" w:rsidRPr="0087365C" w:rsidRDefault="0087365C" w:rsidP="0087365C">
            <w:r w:rsidRPr="0087365C">
              <w:t>Reach</w:t>
            </w:r>
          </w:p>
        </w:tc>
        <w:tc>
          <w:tcPr>
            <w:tcW w:w="0" w:type="auto"/>
            <w:vAlign w:val="center"/>
            <w:hideMark/>
          </w:tcPr>
          <w:p w14:paraId="092F69D5" w14:textId="77777777" w:rsidR="0087365C" w:rsidRPr="0087365C" w:rsidRDefault="0087365C" w:rsidP="0087365C">
            <w:r w:rsidRPr="0087365C">
              <w:t>75,000</w:t>
            </w:r>
          </w:p>
        </w:tc>
        <w:tc>
          <w:tcPr>
            <w:tcW w:w="0" w:type="auto"/>
            <w:vAlign w:val="center"/>
            <w:hideMark/>
          </w:tcPr>
          <w:p w14:paraId="7AFBC679" w14:textId="77777777" w:rsidR="0087365C" w:rsidRPr="0087365C" w:rsidRDefault="0087365C" w:rsidP="0087365C">
            <w:r w:rsidRPr="0087365C">
              <w:t>80,800</w:t>
            </w:r>
          </w:p>
        </w:tc>
        <w:tc>
          <w:tcPr>
            <w:tcW w:w="0" w:type="auto"/>
            <w:vAlign w:val="center"/>
            <w:hideMark/>
          </w:tcPr>
          <w:p w14:paraId="27FA15B5" w14:textId="77777777" w:rsidR="0087365C" w:rsidRPr="0087365C" w:rsidRDefault="0087365C" w:rsidP="0087365C">
            <w:r w:rsidRPr="0087365C">
              <w:t>Exceeded expectations; strong audience engagement</w:t>
            </w:r>
          </w:p>
        </w:tc>
      </w:tr>
      <w:tr w:rsidR="0087365C" w:rsidRPr="0087365C" w14:paraId="2E12BA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DFDD9" w14:textId="77777777" w:rsidR="0087365C" w:rsidRPr="0087365C" w:rsidRDefault="0087365C" w:rsidP="0087365C">
            <w:r w:rsidRPr="0087365C">
              <w:t>Loyalty Sign-ups</w:t>
            </w:r>
          </w:p>
        </w:tc>
        <w:tc>
          <w:tcPr>
            <w:tcW w:w="0" w:type="auto"/>
            <w:vAlign w:val="center"/>
            <w:hideMark/>
          </w:tcPr>
          <w:p w14:paraId="1AD02D4D" w14:textId="77777777" w:rsidR="0087365C" w:rsidRPr="0087365C" w:rsidRDefault="0087365C" w:rsidP="0087365C">
            <w:r w:rsidRPr="0087365C">
              <w:t>1,000</w:t>
            </w:r>
          </w:p>
        </w:tc>
        <w:tc>
          <w:tcPr>
            <w:tcW w:w="0" w:type="auto"/>
            <w:vAlign w:val="center"/>
            <w:hideMark/>
          </w:tcPr>
          <w:p w14:paraId="3F6690AE" w14:textId="77777777" w:rsidR="0087365C" w:rsidRPr="0087365C" w:rsidRDefault="0087365C" w:rsidP="0087365C">
            <w:r w:rsidRPr="0087365C">
              <w:t>1,070</w:t>
            </w:r>
          </w:p>
        </w:tc>
        <w:tc>
          <w:tcPr>
            <w:tcW w:w="0" w:type="auto"/>
            <w:vAlign w:val="center"/>
            <w:hideMark/>
          </w:tcPr>
          <w:p w14:paraId="5CC93568" w14:textId="77777777" w:rsidR="0087365C" w:rsidRPr="0087365C" w:rsidRDefault="0087365C" w:rsidP="0087365C">
            <w:r w:rsidRPr="0087365C">
              <w:t>High uptake of VIP program</w:t>
            </w:r>
          </w:p>
        </w:tc>
      </w:tr>
      <w:tr w:rsidR="0087365C" w:rsidRPr="0087365C" w14:paraId="4693DE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CE43C" w14:textId="77777777" w:rsidR="0087365C" w:rsidRPr="0087365C" w:rsidRDefault="0087365C" w:rsidP="0087365C">
            <w:r w:rsidRPr="0087365C">
              <w:t>Conversion Rate</w:t>
            </w:r>
          </w:p>
        </w:tc>
        <w:tc>
          <w:tcPr>
            <w:tcW w:w="0" w:type="auto"/>
            <w:vAlign w:val="center"/>
            <w:hideMark/>
          </w:tcPr>
          <w:p w14:paraId="7B1CA02B" w14:textId="77777777" w:rsidR="0087365C" w:rsidRPr="0087365C" w:rsidRDefault="0087365C" w:rsidP="0087365C">
            <w:r w:rsidRPr="0087365C">
              <w:t>6%</w:t>
            </w:r>
          </w:p>
        </w:tc>
        <w:tc>
          <w:tcPr>
            <w:tcW w:w="0" w:type="auto"/>
            <w:vAlign w:val="center"/>
            <w:hideMark/>
          </w:tcPr>
          <w:p w14:paraId="143991AD" w14:textId="77777777" w:rsidR="0087365C" w:rsidRPr="0087365C" w:rsidRDefault="0087365C" w:rsidP="0087365C">
            <w:r w:rsidRPr="0087365C">
              <w:t>6.2%</w:t>
            </w:r>
          </w:p>
        </w:tc>
        <w:tc>
          <w:tcPr>
            <w:tcW w:w="0" w:type="auto"/>
            <w:vAlign w:val="center"/>
            <w:hideMark/>
          </w:tcPr>
          <w:p w14:paraId="7F965DA7" w14:textId="77777777" w:rsidR="0087365C" w:rsidRPr="0087365C" w:rsidRDefault="0087365C" w:rsidP="0087365C">
            <w:r w:rsidRPr="0087365C">
              <w:t>Effective targeting and persuasive messaging</w:t>
            </w:r>
          </w:p>
        </w:tc>
      </w:tr>
      <w:tr w:rsidR="0087365C" w:rsidRPr="0087365C" w14:paraId="601EA7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0B635" w14:textId="77777777" w:rsidR="0087365C" w:rsidRPr="0087365C" w:rsidRDefault="0087365C" w:rsidP="0087365C">
            <w:r w:rsidRPr="0087365C">
              <w:t>ROI</w:t>
            </w:r>
          </w:p>
        </w:tc>
        <w:tc>
          <w:tcPr>
            <w:tcW w:w="0" w:type="auto"/>
            <w:vAlign w:val="center"/>
            <w:hideMark/>
          </w:tcPr>
          <w:p w14:paraId="2EEAE26D" w14:textId="77777777" w:rsidR="0087365C" w:rsidRPr="0087365C" w:rsidRDefault="0087365C" w:rsidP="0087365C">
            <w:r w:rsidRPr="0087365C">
              <w:t>350%</w:t>
            </w:r>
          </w:p>
        </w:tc>
        <w:tc>
          <w:tcPr>
            <w:tcW w:w="0" w:type="auto"/>
            <w:vAlign w:val="center"/>
            <w:hideMark/>
          </w:tcPr>
          <w:p w14:paraId="03FD3AE8" w14:textId="77777777" w:rsidR="0087365C" w:rsidRPr="0087365C" w:rsidRDefault="0087365C" w:rsidP="0087365C">
            <w:r w:rsidRPr="0087365C">
              <w:t>411%</w:t>
            </w:r>
          </w:p>
        </w:tc>
        <w:tc>
          <w:tcPr>
            <w:tcW w:w="0" w:type="auto"/>
            <w:vAlign w:val="center"/>
            <w:hideMark/>
          </w:tcPr>
          <w:p w14:paraId="24C97873" w14:textId="77777777" w:rsidR="0087365C" w:rsidRPr="0087365C" w:rsidRDefault="0087365C" w:rsidP="0087365C">
            <w:r w:rsidRPr="0087365C">
              <w:t>Campaign highly cost-efficient</w:t>
            </w:r>
          </w:p>
        </w:tc>
      </w:tr>
    </w:tbl>
    <w:p w14:paraId="12FA6374" w14:textId="77777777" w:rsidR="0087365C" w:rsidRPr="0087365C" w:rsidRDefault="0087365C" w:rsidP="0087365C">
      <w:r w:rsidRPr="0087365C">
        <w:rPr>
          <w:b/>
          <w:bCs/>
        </w:rPr>
        <w:t>Visual Representation:</w:t>
      </w:r>
    </w:p>
    <w:p w14:paraId="2AC61D8D" w14:textId="77777777" w:rsidR="0087365C" w:rsidRPr="0087365C" w:rsidRDefault="0087365C" w:rsidP="0087365C">
      <w:pPr>
        <w:numPr>
          <w:ilvl w:val="0"/>
          <w:numId w:val="1"/>
        </w:numPr>
      </w:pPr>
      <w:r w:rsidRPr="0087365C">
        <w:t xml:space="preserve">A bar chart representing </w:t>
      </w:r>
      <w:r w:rsidRPr="0087365C">
        <w:rPr>
          <w:b/>
          <w:bCs/>
        </w:rPr>
        <w:t>Reach, Sign-ups, Conversion %, and ROI %</w:t>
      </w:r>
      <w:r w:rsidRPr="0087365C">
        <w:t xml:space="preserve"> demonstrates campaign performance at a glance.</w:t>
      </w:r>
    </w:p>
    <w:p w14:paraId="0D687DD9" w14:textId="77777777" w:rsidR="0087365C" w:rsidRPr="0087365C" w:rsidRDefault="0087365C" w:rsidP="0087365C">
      <w:pPr>
        <w:numPr>
          <w:ilvl w:val="0"/>
          <w:numId w:val="1"/>
        </w:numPr>
      </w:pPr>
      <w:r w:rsidRPr="0087365C">
        <w:t>KPI circles summarize achievements for quick reference:</w:t>
      </w:r>
    </w:p>
    <w:p w14:paraId="7CB09637" w14:textId="77777777" w:rsidR="0087365C" w:rsidRPr="0087365C" w:rsidRDefault="0087365C" w:rsidP="0087365C">
      <w:pPr>
        <w:numPr>
          <w:ilvl w:val="1"/>
          <w:numId w:val="1"/>
        </w:numPr>
      </w:pPr>
      <w:r w:rsidRPr="0087365C">
        <w:rPr>
          <w:b/>
          <w:bCs/>
        </w:rPr>
        <w:t>Reach:</w:t>
      </w:r>
      <w:r w:rsidRPr="0087365C">
        <w:t xml:space="preserve"> 80k</w:t>
      </w:r>
    </w:p>
    <w:p w14:paraId="1D7FB884" w14:textId="77777777" w:rsidR="0087365C" w:rsidRPr="0087365C" w:rsidRDefault="0087365C" w:rsidP="0087365C">
      <w:pPr>
        <w:numPr>
          <w:ilvl w:val="1"/>
          <w:numId w:val="1"/>
        </w:numPr>
      </w:pPr>
      <w:r w:rsidRPr="0087365C">
        <w:rPr>
          <w:b/>
          <w:bCs/>
        </w:rPr>
        <w:t>Sign-ups:</w:t>
      </w:r>
      <w:r w:rsidRPr="0087365C">
        <w:t xml:space="preserve"> 1,070</w:t>
      </w:r>
    </w:p>
    <w:p w14:paraId="47D64F3C" w14:textId="77777777" w:rsidR="0087365C" w:rsidRPr="0087365C" w:rsidRDefault="0087365C" w:rsidP="0087365C">
      <w:pPr>
        <w:numPr>
          <w:ilvl w:val="1"/>
          <w:numId w:val="1"/>
        </w:numPr>
      </w:pPr>
      <w:r w:rsidRPr="0087365C">
        <w:rPr>
          <w:b/>
          <w:bCs/>
        </w:rPr>
        <w:t>Conversion Rate:</w:t>
      </w:r>
      <w:r w:rsidRPr="0087365C">
        <w:t xml:space="preserve"> 6.2%</w:t>
      </w:r>
    </w:p>
    <w:p w14:paraId="03AA7BE1" w14:textId="77777777" w:rsidR="0087365C" w:rsidRPr="0087365C" w:rsidRDefault="0087365C" w:rsidP="0087365C">
      <w:pPr>
        <w:numPr>
          <w:ilvl w:val="1"/>
          <w:numId w:val="1"/>
        </w:numPr>
      </w:pPr>
      <w:r w:rsidRPr="0087365C">
        <w:rPr>
          <w:b/>
          <w:bCs/>
        </w:rPr>
        <w:t>ROI:</w:t>
      </w:r>
      <w:r w:rsidRPr="0087365C">
        <w:t xml:space="preserve"> 411%</w:t>
      </w:r>
    </w:p>
    <w:p w14:paraId="3E5F1A5D" w14:textId="77777777" w:rsidR="0087365C" w:rsidRPr="0087365C" w:rsidRDefault="0087365C" w:rsidP="0087365C">
      <w:r w:rsidRPr="0087365C">
        <w:rPr>
          <w:i/>
          <w:iCs/>
        </w:rPr>
        <w:t>Insight:</w:t>
      </w:r>
      <w:r w:rsidRPr="0087365C">
        <w:t xml:space="preserve"> These metrics confirm the campaign’s success across all SMART dimensions, validating strategy, execution, and creative direction.</w:t>
      </w:r>
    </w:p>
    <w:p w14:paraId="666B96E3" w14:textId="77777777" w:rsidR="00E4475C" w:rsidRDefault="00E4475C"/>
    <w:sectPr w:rsidR="00E44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4791D"/>
    <w:multiLevelType w:val="multilevel"/>
    <w:tmpl w:val="28A0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31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5C"/>
    <w:rsid w:val="0087365C"/>
    <w:rsid w:val="00C52053"/>
    <w:rsid w:val="00E4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DD4EC-3BC9-4C3F-996B-E9C89BF2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2</cp:revision>
  <dcterms:created xsi:type="dcterms:W3CDTF">2025-10-13T01:10:00Z</dcterms:created>
  <dcterms:modified xsi:type="dcterms:W3CDTF">2025-10-13T01:11:00Z</dcterms:modified>
</cp:coreProperties>
</file>