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3E6" w:rsidRPr="00BC1BC0" w:rsidRDefault="005F5EBD" w:rsidP="00BC1BC0">
      <w:pPr>
        <w:pStyle w:val="Heading1"/>
        <w:tabs>
          <w:tab w:val="left" w:pos="6210"/>
        </w:tabs>
        <w:rPr>
          <w:rFonts w:ascii="Arial" w:eastAsiaTheme="minorHAnsi" w:hAnsi="Arial" w:cs="Arial"/>
          <w:color w:val="000000"/>
          <w:sz w:val="20"/>
          <w:szCs w:val="20"/>
        </w:rPr>
      </w:pPr>
      <w:r>
        <w:rPr>
          <w:rFonts w:ascii="Arial" w:eastAsiaTheme="minorHAnsi" w:hAnsi="Arial" w:cs="Arial"/>
          <w:color w:val="000000"/>
          <w:sz w:val="20"/>
          <w:szCs w:val="20"/>
        </w:rPr>
        <w:t xml:space="preserve">How to </w:t>
      </w:r>
      <w:r w:rsidR="00E273E6" w:rsidRPr="00BC1BC0">
        <w:rPr>
          <w:rFonts w:ascii="Arial" w:eastAsiaTheme="minorHAnsi" w:hAnsi="Arial" w:cs="Arial"/>
          <w:color w:val="000000"/>
          <w:sz w:val="20"/>
          <w:szCs w:val="20"/>
        </w:rPr>
        <w:t>Stop Foreclosure</w:t>
      </w:r>
    </w:p>
    <w:tbl>
      <w:tblPr>
        <w:tblW w:w="0" w:type="auto"/>
        <w:jc w:val="center"/>
        <w:tblCellSpacing w:w="15" w:type="dxa"/>
        <w:tblLayout w:type="fixed"/>
        <w:tblLook w:val="04A0" w:firstRow="1" w:lastRow="0" w:firstColumn="1" w:lastColumn="0" w:noHBand="0" w:noVBand="1"/>
      </w:tblPr>
      <w:tblGrid>
        <w:gridCol w:w="9214"/>
        <w:gridCol w:w="236"/>
      </w:tblGrid>
      <w:tr w:rsidR="00E273E6" w:rsidRPr="00BC1BC0" w:rsidTr="00AD6BC7">
        <w:trPr>
          <w:tblCellSpacing w:w="15" w:type="dxa"/>
          <w:jc w:val="center"/>
        </w:trPr>
        <w:tc>
          <w:tcPr>
            <w:tcW w:w="9169" w:type="dxa"/>
            <w:tcMar>
              <w:top w:w="15" w:type="dxa"/>
              <w:left w:w="15" w:type="dxa"/>
              <w:bottom w:w="15" w:type="dxa"/>
              <w:right w:w="15" w:type="dxa"/>
            </w:tcMar>
          </w:tcPr>
          <w:tbl>
            <w:tblPr>
              <w:tblW w:w="9000" w:type="dxa"/>
              <w:tblCellSpacing w:w="15" w:type="dxa"/>
              <w:tblLayout w:type="fixed"/>
              <w:tblLook w:val="04A0" w:firstRow="1" w:lastRow="0" w:firstColumn="1" w:lastColumn="0" w:noHBand="0" w:noVBand="1"/>
            </w:tblPr>
            <w:tblGrid>
              <w:gridCol w:w="9000"/>
            </w:tblGrid>
            <w:tr w:rsidR="00E273E6" w:rsidRPr="00BC1BC0" w:rsidTr="00BC1BC0">
              <w:trPr>
                <w:tblCellSpacing w:w="15" w:type="dxa"/>
              </w:trPr>
              <w:tc>
                <w:tcPr>
                  <w:tcW w:w="8940" w:type="dxa"/>
                  <w:tcMar>
                    <w:top w:w="15" w:type="dxa"/>
                    <w:left w:w="15" w:type="dxa"/>
                    <w:bottom w:w="15" w:type="dxa"/>
                    <w:right w:w="15" w:type="dxa"/>
                  </w:tcMar>
                  <w:vAlign w:val="center"/>
                  <w:hideMark/>
                </w:tcPr>
                <w:p w:rsidR="00E273E6" w:rsidRPr="00BC1BC0" w:rsidRDefault="005F5EBD">
                  <w:pPr>
                    <w:pStyle w:val="Heading2"/>
                    <w:rPr>
                      <w:rFonts w:eastAsiaTheme="minorEastAsia"/>
                      <w:sz w:val="20"/>
                      <w:szCs w:val="20"/>
                    </w:rPr>
                  </w:pPr>
                  <w:r>
                    <w:rPr>
                      <w:rFonts w:eastAsiaTheme="minorEastAsia"/>
                      <w:sz w:val="20"/>
                      <w:szCs w:val="20"/>
                    </w:rPr>
                    <w:t>Keep Your Home and Protect Your Credit Card.</w:t>
                  </w:r>
                </w:p>
                <w:p w:rsidR="00617F3E" w:rsidRDefault="00617F3E">
                  <w:pPr>
                    <w:rPr>
                      <w:sz w:val="20"/>
                      <w:szCs w:val="20"/>
                    </w:rPr>
                  </w:pPr>
                </w:p>
                <w:p w:rsidR="005F5EBD" w:rsidRDefault="00617F3E" w:rsidP="005F5EBD">
                  <w:pPr>
                    <w:rPr>
                      <w:sz w:val="20"/>
                      <w:szCs w:val="20"/>
                    </w:rPr>
                  </w:pPr>
                  <w:r>
                    <w:rPr>
                      <w:sz w:val="20"/>
                      <w:szCs w:val="20"/>
                    </w:rPr>
                    <w:t>Many people in the United states are getting themselves in debt</w:t>
                  </w:r>
                  <w:r w:rsidR="005F5EBD">
                    <w:rPr>
                      <w:sz w:val="20"/>
                      <w:szCs w:val="20"/>
                    </w:rPr>
                    <w:t>, majorly, through no fault of their own. A perfect example is John, who lost his manufacturing job because of mass layoffs, and getting a reliable work has become a major challenge for him, since then.</w:t>
                  </w:r>
                </w:p>
                <w:p w:rsidR="005F5EBD" w:rsidRDefault="005F5EBD" w:rsidP="005F5EBD">
                  <w:pPr>
                    <w:rPr>
                      <w:sz w:val="20"/>
                      <w:szCs w:val="20"/>
                    </w:rPr>
                  </w:pPr>
                  <w:r>
                    <w:rPr>
                      <w:sz w:val="20"/>
                      <w:szCs w:val="20"/>
                    </w:rPr>
                    <w:t xml:space="preserve"> </w:t>
                  </w:r>
                </w:p>
                <w:p w:rsidR="005F5EBD" w:rsidRDefault="005F5EBD" w:rsidP="005F5EBD">
                  <w:pPr>
                    <w:rPr>
                      <w:sz w:val="20"/>
                      <w:szCs w:val="20"/>
                    </w:rPr>
                  </w:pPr>
                  <w:r>
                    <w:rPr>
                      <w:sz w:val="20"/>
                      <w:szCs w:val="20"/>
                    </w:rPr>
                    <w:t>Only two months ago, Mary had to deal with a devastating period when her husband abandoned her, leaving her with the burden of taking care of the children and paying bills. These are only few examples, out of very many, of how people find themselves in financial mess that threatens loss of assets and their home due to foreclosure.</w:t>
                  </w:r>
                </w:p>
                <w:p w:rsidR="005F5EBD" w:rsidRDefault="005F5EBD" w:rsidP="005F5EBD">
                  <w:pPr>
                    <w:rPr>
                      <w:sz w:val="20"/>
                      <w:szCs w:val="20"/>
                    </w:rPr>
                  </w:pPr>
                </w:p>
                <w:p w:rsidR="00617F3E" w:rsidRDefault="005F5EBD" w:rsidP="005F5EBD">
                  <w:pPr>
                    <w:rPr>
                      <w:sz w:val="20"/>
                      <w:szCs w:val="20"/>
                    </w:rPr>
                  </w:pPr>
                  <w:r>
                    <w:rPr>
                      <w:sz w:val="20"/>
                      <w:szCs w:val="20"/>
                    </w:rPr>
                    <w:t xml:space="preserve">The good news is that you can avoid foreclosure through a number of ways.  </w:t>
                  </w:r>
                </w:p>
                <w:p w:rsidR="005F5EBD" w:rsidRPr="00BC1BC0" w:rsidRDefault="005F5EBD" w:rsidP="005F5EBD">
                  <w:pPr>
                    <w:rPr>
                      <w:sz w:val="20"/>
                      <w:szCs w:val="20"/>
                    </w:rPr>
                  </w:pPr>
                </w:p>
              </w:tc>
            </w:tr>
          </w:tbl>
          <w:p w:rsidR="00E273E6" w:rsidRPr="00BC1BC0" w:rsidRDefault="00E273E6">
            <w:pPr>
              <w:rPr>
                <w:vanish/>
                <w:sz w:val="20"/>
                <w:szCs w:val="20"/>
              </w:rPr>
            </w:pPr>
          </w:p>
          <w:tbl>
            <w:tblPr>
              <w:tblW w:w="0" w:type="auto"/>
              <w:tblCellSpacing w:w="15" w:type="dxa"/>
              <w:tblLayout w:type="fixed"/>
              <w:tblLook w:val="04A0" w:firstRow="1" w:lastRow="0" w:firstColumn="1" w:lastColumn="0" w:noHBand="0" w:noVBand="1"/>
            </w:tblPr>
            <w:tblGrid>
              <w:gridCol w:w="9090"/>
            </w:tblGrid>
            <w:tr w:rsidR="00E273E6" w:rsidRPr="00BC1BC0" w:rsidTr="00AD6BC7">
              <w:trPr>
                <w:tblCellSpacing w:w="15" w:type="dxa"/>
              </w:trPr>
              <w:tc>
                <w:tcPr>
                  <w:tcW w:w="9030" w:type="dxa"/>
                  <w:tcMar>
                    <w:top w:w="15" w:type="dxa"/>
                    <w:left w:w="15" w:type="dxa"/>
                    <w:bottom w:w="15" w:type="dxa"/>
                    <w:right w:w="15" w:type="dxa"/>
                  </w:tcMar>
                  <w:vAlign w:val="center"/>
                </w:tcPr>
                <w:p w:rsidR="00E273E6" w:rsidRPr="00BC1BC0" w:rsidRDefault="008B3273">
                  <w:pPr>
                    <w:pStyle w:val="Heading2"/>
                    <w:rPr>
                      <w:rFonts w:eastAsiaTheme="minorEastAsia"/>
                      <w:sz w:val="20"/>
                      <w:szCs w:val="20"/>
                    </w:rPr>
                  </w:pPr>
                  <w:proofErr w:type="gramStart"/>
                  <w:r>
                    <w:rPr>
                      <w:rFonts w:eastAsiaTheme="minorEastAsia"/>
                      <w:sz w:val="20"/>
                      <w:szCs w:val="20"/>
                    </w:rPr>
                    <w:t>Understanding foreclosure.</w:t>
                  </w:r>
                  <w:proofErr w:type="gramEnd"/>
                </w:p>
                <w:p w:rsidR="00191624" w:rsidRDefault="00191624">
                  <w:pPr>
                    <w:rPr>
                      <w:sz w:val="20"/>
                      <w:szCs w:val="20"/>
                    </w:rPr>
                  </w:pPr>
                  <w:r>
                    <w:rPr>
                      <w:sz w:val="20"/>
                      <w:szCs w:val="20"/>
                    </w:rPr>
                    <w:t>Foreclosure is the process by which the lender assumes ownership of asset used as collateral of mortgage in case of default. To understand this better, assume you buy a home. There are two parties involved in the process that is the mortgagor (You) and the mortgagee (The Lender). Although you own the home, the mortgage holds a lien on the property so that in case you default, the mortgagee can get court order to repossess the property.st</w:t>
                  </w:r>
                </w:p>
                <w:p w:rsidR="008B3273" w:rsidRDefault="008B3273">
                  <w:pPr>
                    <w:rPr>
                      <w:sz w:val="20"/>
                      <w:szCs w:val="20"/>
                    </w:rPr>
                  </w:pPr>
                </w:p>
                <w:p w:rsidR="00191624" w:rsidRDefault="00191624">
                  <w:pPr>
                    <w:rPr>
                      <w:sz w:val="20"/>
                      <w:szCs w:val="20"/>
                    </w:rPr>
                  </w:pPr>
                  <w:r>
                    <w:rPr>
                      <w:sz w:val="20"/>
                      <w:szCs w:val="20"/>
                    </w:rPr>
                    <w:t xml:space="preserve">All other states use The Title of trust. Title of trust is similar to mortgage except that it involves three parties; You (the </w:t>
                  </w:r>
                  <w:proofErr w:type="spellStart"/>
                  <w:r>
                    <w:rPr>
                      <w:sz w:val="20"/>
                      <w:szCs w:val="20"/>
                    </w:rPr>
                    <w:t>trustor</w:t>
                  </w:r>
                  <w:proofErr w:type="spellEnd"/>
                  <w:r>
                    <w:rPr>
                      <w:sz w:val="20"/>
                      <w:szCs w:val="20"/>
                    </w:rPr>
                    <w:t>), the Mortgagee and the trustee who holds temporary title on the home until the outstanding balance is redeemed in full.</w:t>
                  </w:r>
                  <w:r w:rsidR="008B3273">
                    <w:rPr>
                      <w:sz w:val="20"/>
                      <w:szCs w:val="20"/>
                    </w:rPr>
                    <w:t xml:space="preserve"> In that case the trustee can sell your home if you default.  The difference between mortgage and deeds of trust is in the foreclosure process. While, in mortgage, the lender has to go through court process to sell your home, with the deeds of trust, the trustee is free to sell the home without the court process as long as he fulfills certain requirements. Therefore, the process of foreclosure is much faster in deeds of trust than in the mortgage.</w:t>
                  </w:r>
                </w:p>
                <w:p w:rsidR="00191624" w:rsidRDefault="00191624">
                  <w:pPr>
                    <w:rPr>
                      <w:sz w:val="20"/>
                      <w:szCs w:val="20"/>
                    </w:rPr>
                  </w:pPr>
                </w:p>
                <w:p w:rsidR="00E273E6" w:rsidRPr="00BC1BC0" w:rsidRDefault="00E273E6">
                  <w:pPr>
                    <w:rPr>
                      <w:sz w:val="20"/>
                      <w:szCs w:val="20"/>
                    </w:rPr>
                  </w:pPr>
                  <w:r w:rsidRPr="00BC1BC0">
                    <w:rPr>
                      <w:sz w:val="20"/>
                      <w:szCs w:val="20"/>
                    </w:rPr>
                    <w:t>.</w:t>
                  </w:r>
                </w:p>
                <w:p w:rsidR="00E273E6" w:rsidRPr="00BC1BC0" w:rsidRDefault="008B3273">
                  <w:pPr>
                    <w:pStyle w:val="Heading2"/>
                    <w:rPr>
                      <w:rFonts w:eastAsiaTheme="minorEastAsia"/>
                      <w:sz w:val="20"/>
                      <w:szCs w:val="20"/>
                    </w:rPr>
                  </w:pPr>
                  <w:r>
                    <w:rPr>
                      <w:rFonts w:eastAsiaTheme="minorEastAsia"/>
                      <w:sz w:val="20"/>
                      <w:szCs w:val="20"/>
                    </w:rPr>
                    <w:t>How Do You Stop Foreclosure?</w:t>
                  </w:r>
                </w:p>
                <w:p w:rsidR="00E273E6" w:rsidRPr="00BC1BC0" w:rsidRDefault="00E273E6">
                  <w:pPr>
                    <w:rPr>
                      <w:sz w:val="20"/>
                      <w:szCs w:val="20"/>
                    </w:rPr>
                  </w:pPr>
                </w:p>
                <w:p w:rsidR="00E273E6" w:rsidRPr="00BC1BC0" w:rsidRDefault="00353324">
                  <w:pPr>
                    <w:pStyle w:val="Heading3"/>
                    <w:rPr>
                      <w:rFonts w:eastAsiaTheme="minorEastAsia"/>
                      <w:sz w:val="20"/>
                      <w:szCs w:val="20"/>
                    </w:rPr>
                  </w:pPr>
                  <w:r>
                    <w:rPr>
                      <w:rFonts w:eastAsiaTheme="minorEastAsia"/>
                      <w:sz w:val="20"/>
                      <w:szCs w:val="20"/>
                    </w:rPr>
                    <w:t>Get in Touch With</w:t>
                  </w:r>
                  <w:r w:rsidR="00E273E6" w:rsidRPr="00BC1BC0">
                    <w:rPr>
                      <w:rFonts w:eastAsiaTheme="minorEastAsia"/>
                      <w:sz w:val="20"/>
                      <w:szCs w:val="20"/>
                    </w:rPr>
                    <w:t xml:space="preserve"> the Lender</w:t>
                  </w:r>
                </w:p>
                <w:p w:rsidR="008B3273" w:rsidRDefault="008B3273">
                  <w:pPr>
                    <w:rPr>
                      <w:sz w:val="20"/>
                      <w:szCs w:val="20"/>
                    </w:rPr>
                  </w:pPr>
                  <w:r>
                    <w:rPr>
                      <w:sz w:val="20"/>
                      <w:szCs w:val="20"/>
                    </w:rPr>
                    <w:t xml:space="preserve">Sometimes, just contacting the lender to explain your situation can at least prevent foreclosure. In most cases, you can agree on a temporally repayment adjustment until your situation changes. Some people make the mistake of ignoring the demand notices, calls and warnings from their lenders. As a matter of fact, most lenders are always willing to work with you through the situation, but, if you are not co-operative, they will be left with no alternative than to revert to foreclosure process. </w:t>
                  </w:r>
                </w:p>
                <w:p w:rsidR="00E273E6" w:rsidRPr="00BC1BC0" w:rsidRDefault="00353324">
                  <w:pPr>
                    <w:pStyle w:val="Heading3"/>
                    <w:rPr>
                      <w:rFonts w:eastAsiaTheme="minorEastAsia"/>
                      <w:sz w:val="20"/>
                      <w:szCs w:val="20"/>
                    </w:rPr>
                  </w:pPr>
                  <w:r>
                    <w:rPr>
                      <w:rFonts w:eastAsiaTheme="minorEastAsia"/>
                      <w:sz w:val="20"/>
                      <w:szCs w:val="20"/>
                    </w:rPr>
                    <w:t>Refinance your Mortgage.</w:t>
                  </w:r>
                </w:p>
                <w:p w:rsidR="00E273E6" w:rsidRPr="00BC1BC0" w:rsidRDefault="00353324">
                  <w:pPr>
                    <w:rPr>
                      <w:sz w:val="20"/>
                      <w:szCs w:val="20"/>
                    </w:rPr>
                  </w:pPr>
                  <w:r>
                    <w:rPr>
                      <w:sz w:val="20"/>
                      <w:szCs w:val="20"/>
                    </w:rPr>
                    <w:t xml:space="preserve">This is an alternative, especially if you are not too behind in your repayments. </w:t>
                  </w:r>
                  <w:r w:rsidRPr="00353324">
                    <w:rPr>
                      <w:rStyle w:val="Hyperlink"/>
                    </w:rPr>
                    <w:t>Refinancing</w:t>
                  </w:r>
                  <w:r>
                    <w:rPr>
                      <w:sz w:val="20"/>
                      <w:szCs w:val="20"/>
                    </w:rPr>
                    <w:t xml:space="preserve"> can greatly reduce your monthly repayments; at the same time reduce your mortgage. This method has widely been used to avert foreclosure.</w:t>
                  </w:r>
                </w:p>
                <w:p w:rsidR="00E273E6" w:rsidRPr="00BC1BC0" w:rsidRDefault="00353324">
                  <w:pPr>
                    <w:pStyle w:val="Heading3"/>
                    <w:rPr>
                      <w:rFonts w:eastAsiaTheme="minorEastAsia"/>
                      <w:sz w:val="20"/>
                      <w:szCs w:val="20"/>
                    </w:rPr>
                  </w:pPr>
                  <w:r>
                    <w:rPr>
                      <w:rFonts w:eastAsiaTheme="minorEastAsia"/>
                      <w:sz w:val="20"/>
                      <w:szCs w:val="20"/>
                    </w:rPr>
                    <w:lastRenderedPageBreak/>
                    <w:t>You Can Consider Selling Your House.</w:t>
                  </w:r>
                </w:p>
                <w:p w:rsidR="00353324" w:rsidRPr="00BC1BC0" w:rsidRDefault="00353324" w:rsidP="00353324">
                  <w:pPr>
                    <w:rPr>
                      <w:sz w:val="20"/>
                      <w:szCs w:val="20"/>
                    </w:rPr>
                  </w:pPr>
                  <w:r>
                    <w:rPr>
                      <w:sz w:val="20"/>
                      <w:szCs w:val="20"/>
                    </w:rPr>
                    <w:t xml:space="preserve">This is a hard decision to make. If you still need a home, and do not want to be blacklisted in the credit record, the best way to stay out of trouble would be to dispose your house.  </w:t>
                  </w:r>
                  <w:r w:rsidRPr="00353324">
                    <w:rPr>
                      <w:rStyle w:val="Hyperlink"/>
                    </w:rPr>
                    <w:t>Home buyers</w:t>
                  </w:r>
                  <w:r>
                    <w:rPr>
                      <w:sz w:val="20"/>
                      <w:szCs w:val="20"/>
                    </w:rPr>
                    <w:t xml:space="preserve"> make the process of selling a house much faster. In fact, they can sell as soon as 10 days or less. However, there are numerous scams who pose as </w:t>
                  </w:r>
                  <w:hyperlink r:id="rId5" w:history="1">
                    <w:r>
                      <w:rPr>
                        <w:rStyle w:val="Hyperlink"/>
                        <w:sz w:val="20"/>
                        <w:szCs w:val="20"/>
                      </w:rPr>
                      <w:t>“</w:t>
                    </w:r>
                    <w:r w:rsidRPr="00BC1BC0">
                      <w:rPr>
                        <w:rStyle w:val="Hyperlink"/>
                        <w:sz w:val="20"/>
                        <w:szCs w:val="20"/>
                      </w:rPr>
                      <w:t>We Buy Houses</w:t>
                    </w:r>
                    <w:r>
                      <w:rPr>
                        <w:rStyle w:val="Hyperlink"/>
                        <w:sz w:val="20"/>
                        <w:szCs w:val="20"/>
                      </w:rPr>
                      <w:t>”</w:t>
                    </w:r>
                    <w:r w:rsidRPr="00BC1BC0">
                      <w:rPr>
                        <w:rStyle w:val="Hyperlink"/>
                        <w:sz w:val="20"/>
                        <w:szCs w:val="20"/>
                      </w:rPr>
                      <w:t xml:space="preserve"> Scams — How to Spot Them and How to Avoid Them</w:t>
                    </w:r>
                  </w:hyperlink>
                  <w:r w:rsidRPr="00BC1BC0">
                    <w:rPr>
                      <w:sz w:val="20"/>
                      <w:szCs w:val="20"/>
                    </w:rPr>
                    <w:t>.</w:t>
                  </w:r>
                  <w:r>
                    <w:rPr>
                      <w:sz w:val="20"/>
                      <w:szCs w:val="20"/>
                    </w:rPr>
                    <w:t xml:space="preserve"> These are like Trojans who pretend to be friends, yet you could be conned of your cash if you are not careful.</w:t>
                  </w:r>
                </w:p>
                <w:p w:rsidR="00353324" w:rsidRDefault="00353324">
                  <w:pPr>
                    <w:rPr>
                      <w:sz w:val="20"/>
                      <w:szCs w:val="20"/>
                    </w:rPr>
                  </w:pPr>
                </w:p>
                <w:p w:rsidR="00353324" w:rsidRDefault="00353324">
                  <w:pPr>
                    <w:rPr>
                      <w:sz w:val="20"/>
                      <w:szCs w:val="20"/>
                    </w:rPr>
                  </w:pPr>
                </w:p>
                <w:p w:rsidR="00E273E6" w:rsidRPr="00BC1BC0" w:rsidRDefault="00475CF3">
                  <w:pPr>
                    <w:pStyle w:val="Heading2"/>
                    <w:rPr>
                      <w:rFonts w:eastAsiaTheme="minorEastAsia"/>
                      <w:sz w:val="20"/>
                      <w:szCs w:val="20"/>
                    </w:rPr>
                  </w:pPr>
                  <w:r>
                    <w:rPr>
                      <w:rFonts w:eastAsiaTheme="minorEastAsia"/>
                      <w:sz w:val="20"/>
                      <w:szCs w:val="20"/>
                    </w:rPr>
                    <w:t>You Need to Protect Your Credit</w:t>
                  </w:r>
                </w:p>
                <w:p w:rsidR="00475CF3" w:rsidRDefault="00475CF3">
                  <w:pPr>
                    <w:rPr>
                      <w:sz w:val="20"/>
                      <w:szCs w:val="20"/>
                    </w:rPr>
                  </w:pPr>
                  <w:r>
                    <w:rPr>
                      <w:sz w:val="20"/>
                      <w:szCs w:val="20"/>
                    </w:rPr>
                    <w:t xml:space="preserve">Nothing is as important as protecting your credit record, because the record will be with you for as long as you live, and it may prevent you from accessing credit opportunities in future. Avoid the mark of foreclosure in your credit record as much as you can no matter how difficult it seems at first. Remember that the benefits will outweigh other shortcuts in the long run. </w:t>
                  </w:r>
                  <w:bookmarkStart w:id="0" w:name="_GoBack"/>
                  <w:bookmarkEnd w:id="0"/>
                </w:p>
                <w:p w:rsidR="00E273E6" w:rsidRPr="00BC1BC0" w:rsidRDefault="00E273E6">
                  <w:pPr>
                    <w:rPr>
                      <w:sz w:val="20"/>
                      <w:szCs w:val="20"/>
                    </w:rPr>
                  </w:pPr>
                </w:p>
              </w:tc>
            </w:tr>
          </w:tbl>
          <w:p w:rsidR="00E273E6" w:rsidRPr="00BC1BC0" w:rsidRDefault="00E273E6">
            <w:pPr>
              <w:rPr>
                <w:rFonts w:asciiTheme="minorHAnsi" w:eastAsiaTheme="minorEastAsia" w:hAnsiTheme="minorHAnsi"/>
                <w:sz w:val="20"/>
                <w:szCs w:val="20"/>
              </w:rPr>
            </w:pPr>
          </w:p>
        </w:tc>
        <w:tc>
          <w:tcPr>
            <w:tcW w:w="191" w:type="dxa"/>
            <w:tcMar>
              <w:top w:w="15" w:type="dxa"/>
              <w:left w:w="15" w:type="dxa"/>
              <w:bottom w:w="15" w:type="dxa"/>
              <w:right w:w="15" w:type="dxa"/>
            </w:tcMar>
            <w:hideMark/>
          </w:tcPr>
          <w:tbl>
            <w:tblPr>
              <w:tblW w:w="6000" w:type="dxa"/>
              <w:jc w:val="center"/>
              <w:tblCellSpacing w:w="15" w:type="dxa"/>
              <w:tblLayout w:type="fixed"/>
              <w:tblLook w:val="04A0" w:firstRow="1" w:lastRow="0" w:firstColumn="1" w:lastColumn="0" w:noHBand="0" w:noVBand="1"/>
            </w:tblPr>
            <w:tblGrid>
              <w:gridCol w:w="6000"/>
            </w:tblGrid>
            <w:tr w:rsidR="00E273E6" w:rsidRPr="00BC1BC0" w:rsidTr="00BC1BC0">
              <w:trPr>
                <w:tblCellSpacing w:w="15" w:type="dxa"/>
                <w:jc w:val="center"/>
              </w:trPr>
              <w:tc>
                <w:tcPr>
                  <w:tcW w:w="5940" w:type="dxa"/>
                  <w:tcMar>
                    <w:top w:w="15" w:type="dxa"/>
                    <w:left w:w="15" w:type="dxa"/>
                    <w:bottom w:w="15" w:type="dxa"/>
                    <w:right w:w="15" w:type="dxa"/>
                  </w:tcMar>
                  <w:vAlign w:val="center"/>
                  <w:hideMark/>
                </w:tcPr>
                <w:tbl>
                  <w:tblPr>
                    <w:tblW w:w="0" w:type="auto"/>
                    <w:tblCellSpacing w:w="15" w:type="dxa"/>
                    <w:shd w:val="clear" w:color="auto" w:fill="6AA1C3"/>
                    <w:tblLayout w:type="fixed"/>
                    <w:tblLook w:val="04A0" w:firstRow="1" w:lastRow="0" w:firstColumn="1" w:lastColumn="0" w:noHBand="0" w:noVBand="1"/>
                  </w:tblPr>
                  <w:tblGrid>
                    <w:gridCol w:w="110"/>
                  </w:tblGrid>
                  <w:tr w:rsidR="00E273E6" w:rsidRPr="00BC1BC0" w:rsidTr="00BC1BC0">
                    <w:trPr>
                      <w:tblCellSpacing w:w="15" w:type="dxa"/>
                    </w:trPr>
                    <w:tc>
                      <w:tcPr>
                        <w:tcW w:w="36" w:type="dxa"/>
                        <w:shd w:val="clear" w:color="auto" w:fill="6AA1C3"/>
                        <w:tcMar>
                          <w:top w:w="15" w:type="dxa"/>
                          <w:left w:w="15" w:type="dxa"/>
                          <w:bottom w:w="15" w:type="dxa"/>
                          <w:right w:w="15" w:type="dxa"/>
                        </w:tcMar>
                        <w:vAlign w:val="center"/>
                      </w:tcPr>
                      <w:p w:rsidR="00E273E6" w:rsidRPr="00BC1BC0" w:rsidRDefault="00E273E6">
                        <w:pPr>
                          <w:jc w:val="center"/>
                          <w:rPr>
                            <w:rFonts w:asciiTheme="minorHAnsi" w:eastAsiaTheme="minorEastAsia" w:hAnsiTheme="minorHAnsi"/>
                            <w:sz w:val="20"/>
                            <w:szCs w:val="20"/>
                          </w:rPr>
                        </w:pPr>
                      </w:p>
                    </w:tc>
                  </w:tr>
                </w:tbl>
                <w:p w:rsidR="00E273E6" w:rsidRPr="00BC1BC0" w:rsidRDefault="00E273E6">
                  <w:pPr>
                    <w:rPr>
                      <w:rFonts w:asciiTheme="minorHAnsi" w:eastAsiaTheme="minorEastAsia" w:hAnsiTheme="minorHAnsi"/>
                      <w:sz w:val="20"/>
                      <w:szCs w:val="20"/>
                    </w:rPr>
                  </w:pPr>
                </w:p>
              </w:tc>
            </w:tr>
          </w:tbl>
          <w:p w:rsidR="00E273E6" w:rsidRPr="00BC1BC0" w:rsidRDefault="00E273E6">
            <w:pPr>
              <w:jc w:val="center"/>
              <w:rPr>
                <w:rFonts w:asciiTheme="minorHAnsi" w:eastAsiaTheme="minorEastAsia" w:hAnsiTheme="minorHAnsi"/>
                <w:sz w:val="20"/>
                <w:szCs w:val="20"/>
              </w:rPr>
            </w:pPr>
          </w:p>
        </w:tc>
      </w:tr>
    </w:tbl>
    <w:p w:rsidR="00405F0B" w:rsidRPr="00BC1BC0" w:rsidRDefault="00475CF3" w:rsidP="00475CF3">
      <w:pPr>
        <w:rPr>
          <w:sz w:val="20"/>
          <w:szCs w:val="20"/>
        </w:rPr>
      </w:pPr>
    </w:p>
    <w:sectPr w:rsidR="00405F0B" w:rsidRPr="00BC1BC0" w:rsidSect="000B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3E6"/>
    <w:rsid w:val="000359CC"/>
    <w:rsid w:val="0009186F"/>
    <w:rsid w:val="000B7671"/>
    <w:rsid w:val="000E0368"/>
    <w:rsid w:val="0011621B"/>
    <w:rsid w:val="00123E24"/>
    <w:rsid w:val="00146A7E"/>
    <w:rsid w:val="0017797A"/>
    <w:rsid w:val="00191624"/>
    <w:rsid w:val="001C70B7"/>
    <w:rsid w:val="00252F46"/>
    <w:rsid w:val="002835A5"/>
    <w:rsid w:val="002E2D8B"/>
    <w:rsid w:val="002E6286"/>
    <w:rsid w:val="0030252C"/>
    <w:rsid w:val="00331B79"/>
    <w:rsid w:val="00353324"/>
    <w:rsid w:val="0036640E"/>
    <w:rsid w:val="003759CB"/>
    <w:rsid w:val="00381373"/>
    <w:rsid w:val="003C4A17"/>
    <w:rsid w:val="00436298"/>
    <w:rsid w:val="00475CF3"/>
    <w:rsid w:val="004D1A26"/>
    <w:rsid w:val="00543C80"/>
    <w:rsid w:val="005773E8"/>
    <w:rsid w:val="00581C67"/>
    <w:rsid w:val="005C352E"/>
    <w:rsid w:val="005F5EBD"/>
    <w:rsid w:val="0061757B"/>
    <w:rsid w:val="00617F3E"/>
    <w:rsid w:val="006C7F49"/>
    <w:rsid w:val="006E1B3B"/>
    <w:rsid w:val="00706E83"/>
    <w:rsid w:val="00740EAB"/>
    <w:rsid w:val="00785E8A"/>
    <w:rsid w:val="007B179E"/>
    <w:rsid w:val="007C797F"/>
    <w:rsid w:val="007D0573"/>
    <w:rsid w:val="007E6D0A"/>
    <w:rsid w:val="00857EBA"/>
    <w:rsid w:val="00866396"/>
    <w:rsid w:val="008B3273"/>
    <w:rsid w:val="008C0866"/>
    <w:rsid w:val="009111F4"/>
    <w:rsid w:val="00927C03"/>
    <w:rsid w:val="0094794F"/>
    <w:rsid w:val="0099302E"/>
    <w:rsid w:val="009E429F"/>
    <w:rsid w:val="00A6192D"/>
    <w:rsid w:val="00A80EFD"/>
    <w:rsid w:val="00AD6BC7"/>
    <w:rsid w:val="00B14174"/>
    <w:rsid w:val="00B423E8"/>
    <w:rsid w:val="00B64406"/>
    <w:rsid w:val="00B701DB"/>
    <w:rsid w:val="00BA1B4C"/>
    <w:rsid w:val="00BC1A87"/>
    <w:rsid w:val="00BC1BC0"/>
    <w:rsid w:val="00BC25A9"/>
    <w:rsid w:val="00BC595C"/>
    <w:rsid w:val="00C1020F"/>
    <w:rsid w:val="00C939D6"/>
    <w:rsid w:val="00C95DEB"/>
    <w:rsid w:val="00CB74A5"/>
    <w:rsid w:val="00DB2725"/>
    <w:rsid w:val="00DE3EA5"/>
    <w:rsid w:val="00E14E5D"/>
    <w:rsid w:val="00E273E6"/>
    <w:rsid w:val="00E46C04"/>
    <w:rsid w:val="00ED04D2"/>
    <w:rsid w:val="00F31A33"/>
    <w:rsid w:val="00F876FA"/>
    <w:rsid w:val="00FA1FE0"/>
    <w:rsid w:val="00FD4882"/>
    <w:rsid w:val="00FF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E6"/>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E273E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semiHidden/>
    <w:unhideWhenUsed/>
    <w:qFormat/>
    <w:rsid w:val="00E273E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semiHidden/>
    <w:unhideWhenUsed/>
    <w:qFormat/>
    <w:rsid w:val="00E273E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273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273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273E6"/>
    <w:rPr>
      <w:color w:val="0000FF"/>
      <w:u w:val="single"/>
    </w:rPr>
  </w:style>
  <w:style w:type="paragraph" w:styleId="BalloonText">
    <w:name w:val="Balloon Text"/>
    <w:basedOn w:val="Normal"/>
    <w:link w:val="BalloonTextChar"/>
    <w:uiPriority w:val="99"/>
    <w:semiHidden/>
    <w:unhideWhenUsed/>
    <w:rsid w:val="00E273E6"/>
    <w:rPr>
      <w:rFonts w:ascii="Tahoma" w:hAnsi="Tahoma" w:cs="Tahoma"/>
      <w:sz w:val="16"/>
      <w:szCs w:val="16"/>
    </w:rPr>
  </w:style>
  <w:style w:type="character" w:customStyle="1" w:styleId="BalloonTextChar">
    <w:name w:val="Balloon Text Char"/>
    <w:basedOn w:val="DefaultParagraphFont"/>
    <w:link w:val="BalloonText"/>
    <w:uiPriority w:val="99"/>
    <w:semiHidden/>
    <w:rsid w:val="00E27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E6"/>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E273E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semiHidden/>
    <w:unhideWhenUsed/>
    <w:qFormat/>
    <w:rsid w:val="00E273E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semiHidden/>
    <w:unhideWhenUsed/>
    <w:qFormat/>
    <w:rsid w:val="00E273E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273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273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273E6"/>
    <w:rPr>
      <w:color w:val="0000FF"/>
      <w:u w:val="single"/>
    </w:rPr>
  </w:style>
  <w:style w:type="paragraph" w:styleId="BalloonText">
    <w:name w:val="Balloon Text"/>
    <w:basedOn w:val="Normal"/>
    <w:link w:val="BalloonTextChar"/>
    <w:uiPriority w:val="99"/>
    <w:semiHidden/>
    <w:unhideWhenUsed/>
    <w:rsid w:val="00E273E6"/>
    <w:rPr>
      <w:rFonts w:ascii="Tahoma" w:hAnsi="Tahoma" w:cs="Tahoma"/>
      <w:sz w:val="16"/>
      <w:szCs w:val="16"/>
    </w:rPr>
  </w:style>
  <w:style w:type="character" w:customStyle="1" w:styleId="BalloonTextChar">
    <w:name w:val="Balloon Text Char"/>
    <w:basedOn w:val="DefaultParagraphFont"/>
    <w:link w:val="BalloonText"/>
    <w:uiPriority w:val="99"/>
    <w:semiHidden/>
    <w:rsid w:val="00E27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99603">
      <w:bodyDiv w:val="1"/>
      <w:marLeft w:val="0"/>
      <w:marRight w:val="0"/>
      <w:marTop w:val="0"/>
      <w:marBottom w:val="0"/>
      <w:divBdr>
        <w:top w:val="none" w:sz="0" w:space="0" w:color="auto"/>
        <w:left w:val="none" w:sz="0" w:space="0" w:color="auto"/>
        <w:bottom w:val="none" w:sz="0" w:space="0" w:color="auto"/>
        <w:right w:val="none" w:sz="0" w:space="0" w:color="auto"/>
      </w:divBdr>
    </w:div>
    <w:div w:id="148755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ousebuyernetwork.com/resources/advice/HowToAvoidWeBuyHousesScam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8 x Ten</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Samples</dc:creator>
  <cp:lastModifiedBy>benard</cp:lastModifiedBy>
  <cp:revision>2</cp:revision>
  <dcterms:created xsi:type="dcterms:W3CDTF">2012-11-26T16:57:00Z</dcterms:created>
  <dcterms:modified xsi:type="dcterms:W3CDTF">2012-11-26T16:57:00Z</dcterms:modified>
</cp:coreProperties>
</file>