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Real Estate Small Business Bank Account Strategies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Real estate is without a doubt one of the most lucrative business ventures in the world today. As the world economy continues to develop, the need for more decent housing units keeps growing rapidly, and this presents an opportunity for any serious investor to make good income over time. However, it is important to point out that without proper banking and managerial skills, the business may not be as productive as it should be.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Choosing the right banking institution is just one step towards successful investment in the real estate industry. The next step should be opening a bank account and maintaining a stable balance over a period of time. This banking strategy can be helpful in a number of ways.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First of all, a stable bank account can be maintained by allowing tenants to deposit their monthly payments directly into the account. This will ensure that the bank has a record of monthly activity. All tenants should be given instructions regarding when to pay and how to make payments. If you have hired a real estate management company, it will have a clear structure on how to go about such payments and banking.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Another thing that should be done in order to maintain a stable bank account is limiting withdrawals. Different banking institutions may have varied regulations that govern this issue, and it is therefore up to you to find out the institution that presents the best options for your needs. By limiting withdrawals, you will be sure to maintain a reasonable balance at all times.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Having a stable bank account will enable you to enjoy certain benefits. One of these benefits can be in the form of securing a loan. If at any time you wish to expand your business, but lack enough funds, you may easily approach your banking institution for assistance. The bank will then assess your account and approve your loan request. Loan approvals are normally done when a bank deems your account to be worthy or consistent.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Apart from the benefits mentioned above, it is equally important to mention that a good bank account will help you keep records of all transactions. This will make running your real estate business much easier. This is because you will have clearly documented records that can be used to evaluate the performance of the business over a given period of time.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Estate Small Business Bank Account Strategies.docx</dc:title>
</cp:coreProperties>
</file>