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252" w:rsidRDefault="00271252" w:rsidP="00271252">
      <w:pPr>
        <w:spacing w:line="240" w:lineRule="auto"/>
        <w:contextualSpacing/>
      </w:pPr>
      <w:r>
        <w:t>&lt;h1&gt;</w:t>
      </w:r>
      <w:r w:rsidR="0056489D">
        <w:t>T</w:t>
      </w:r>
      <w:r>
        <w:t xml:space="preserve">he Engagement Is Off, but at Least You </w:t>
      </w:r>
      <w:r w:rsidR="00F57C2B">
        <w:t>Get</w:t>
      </w:r>
      <w:r>
        <w:t xml:space="preserve"> the Ring, Right?&lt;/h1&gt;</w:t>
      </w:r>
    </w:p>
    <w:p w:rsidR="00271252" w:rsidRDefault="00271252" w:rsidP="00271252">
      <w:pPr>
        <w:spacing w:line="240" w:lineRule="auto"/>
        <w:contextualSpacing/>
      </w:pPr>
      <w:r>
        <w:t>&lt;p&gt;</w:t>
      </w:r>
      <w:r w:rsidR="0056489D">
        <w:t>They</w:t>
      </w:r>
      <w:r>
        <w:t xml:space="preserve"> say the hardest part of breaking up is getting back your stuff.  Of course, in this instance, “they” refers to a </w:t>
      </w:r>
      <w:r w:rsidR="00F57C2B">
        <w:t>forgettable</w:t>
      </w:r>
      <w:r>
        <w:t xml:space="preserve">, flash-in-the-pan boy band from the late nineties, but the point remains valid.  When an engagement ends, both parties often assert a valid claim to the ring, but who prevails ultimately depends </w:t>
      </w:r>
      <w:r w:rsidR="00F57C2B">
        <w:t>on state law.&lt;/h1&gt;</w:t>
      </w:r>
    </w:p>
    <w:p w:rsidR="00F57C2B" w:rsidRDefault="00F57C2B" w:rsidP="00271252">
      <w:pPr>
        <w:spacing w:line="240" w:lineRule="auto"/>
        <w:contextualSpacing/>
      </w:pPr>
      <w:r>
        <w:t>&lt;h2&gt;</w:t>
      </w:r>
      <w:r w:rsidR="007A4BC5">
        <w:t xml:space="preserve">A </w:t>
      </w:r>
      <w:r w:rsidR="007D77FC">
        <w:t>Crash Course in Gift Law</w:t>
      </w:r>
      <w:r w:rsidR="00BF6200">
        <w:t>: Conditional vs. Unconditional</w:t>
      </w:r>
      <w:r w:rsidR="007D77FC">
        <w:t>&lt;/h2&gt;</w:t>
      </w:r>
    </w:p>
    <w:p w:rsidR="0009581C" w:rsidRDefault="007D77FC" w:rsidP="00271252">
      <w:pPr>
        <w:spacing w:line="240" w:lineRule="auto"/>
        <w:contextualSpacing/>
      </w:pPr>
      <w:r>
        <w:t>&lt;p&gt;At common law, a gift becomes a gift when three conditions are satisfied: 1) t</w:t>
      </w:r>
      <w:r w:rsidR="00214CE3">
        <w:t>he giver (donor) has</w:t>
      </w:r>
      <w:r>
        <w:t xml:space="preserve"> donative intent, 2) delivery to the r</w:t>
      </w:r>
      <w:r w:rsidR="00214CE3">
        <w:t xml:space="preserve">ecipient (donee) </w:t>
      </w:r>
      <w:r>
        <w:t>occur</w:t>
      </w:r>
      <w:r w:rsidR="00214CE3">
        <w:t>s, and 3) the donee</w:t>
      </w:r>
      <w:r>
        <w:t xml:space="preserve"> accept</w:t>
      </w:r>
      <w:r w:rsidR="00214CE3">
        <w:t>s</w:t>
      </w:r>
      <w:r>
        <w:t xml:space="preserve"> the gift upon delivery.  The gift becomes the donee’s property if he/she can prove those three elements.</w:t>
      </w:r>
      <w:r w:rsidR="0009581C">
        <w:t>&lt;/p&gt;</w:t>
      </w:r>
    </w:p>
    <w:p w:rsidR="007D77FC" w:rsidRDefault="0009581C" w:rsidP="00271252">
      <w:pPr>
        <w:spacing w:line="240" w:lineRule="auto"/>
        <w:contextualSpacing/>
      </w:pPr>
      <w:r>
        <w:t>&lt;p&gt;</w:t>
      </w:r>
      <w:r w:rsidR="002F5D6F">
        <w:t xml:space="preserve">However, courts also recognize conditional gifts, or those given in contemplation of </w:t>
      </w:r>
      <w:r w:rsidR="00BF6200">
        <w:t>s</w:t>
      </w:r>
      <w:r w:rsidR="002F5D6F">
        <w:t xml:space="preserve">ome future event, such as marriage.  With conditional gifts, the item does not become the property of the donee until </w:t>
      </w:r>
      <w:r>
        <w:t xml:space="preserve">the event </w:t>
      </w:r>
      <w:r w:rsidR="002F5D6F">
        <w:t xml:space="preserve">upon which the gift was </w:t>
      </w:r>
      <w:r w:rsidR="00FC2461">
        <w:t xml:space="preserve">impliedly </w:t>
      </w:r>
      <w:r w:rsidR="002F5D6F">
        <w:t>conditioned</w:t>
      </w:r>
      <w:r w:rsidR="00214CE3">
        <w:t xml:space="preserve"> occurs</w:t>
      </w:r>
      <w:r w:rsidR="002F5D6F">
        <w:t>.</w:t>
      </w:r>
      <w:r>
        <w:t xml:space="preserve">  Unless and until that event occurs, the gift, regardless of possession, remains the property of the donor.</w:t>
      </w:r>
      <w:r w:rsidR="00FC2461">
        <w:t xml:space="preserve">  More than 20 states have adopted this position toward engagement rings</w:t>
      </w:r>
      <w:r w:rsidR="00AF41B5">
        <w:t>, but they remain the minority</w:t>
      </w:r>
      <w:r w:rsidR="00FC2461">
        <w:t>.</w:t>
      </w:r>
      <w:r w:rsidR="007D77FC">
        <w:t>&lt;/p&gt;</w:t>
      </w:r>
    </w:p>
    <w:p w:rsidR="00FC2461" w:rsidRDefault="00FC2461" w:rsidP="00271252">
      <w:pPr>
        <w:spacing w:line="240" w:lineRule="auto"/>
        <w:contextualSpacing/>
      </w:pPr>
      <w:r>
        <w:t>&lt;h2&gt;</w:t>
      </w:r>
      <w:r w:rsidR="007A4BC5">
        <w:t xml:space="preserve">A </w:t>
      </w:r>
      <w:r>
        <w:t>Consolation Prize</w:t>
      </w:r>
      <w:r w:rsidR="007A4BC5">
        <w:t xml:space="preserve"> for the Jilted</w:t>
      </w:r>
      <w:r>
        <w:t>: the Fault Approach&lt;/h2&gt;</w:t>
      </w:r>
    </w:p>
    <w:p w:rsidR="00FC2461" w:rsidRDefault="00FC2461" w:rsidP="00271252">
      <w:pPr>
        <w:spacing w:line="240" w:lineRule="auto"/>
        <w:contextualSpacing/>
      </w:pPr>
      <w:r>
        <w:t>&lt;p&gt;</w:t>
      </w:r>
      <w:r w:rsidR="00AF41B5">
        <w:t>The idea that the guilty party in an engagement’</w:t>
      </w:r>
      <w:r w:rsidR="00F532C8">
        <w:t>s dissolution</w:t>
      </w:r>
      <w:r w:rsidR="00AF41B5">
        <w:t xml:space="preserve"> should ever end up with the ring offends traditional notions of justice, which is why </w:t>
      </w:r>
      <w:r w:rsidR="008235CE">
        <w:t>most</w:t>
      </w:r>
      <w:r w:rsidR="00AF41B5">
        <w:t xml:space="preserve"> states have adopted a fault approach to </w:t>
      </w:r>
      <w:r w:rsidR="008235CE">
        <w:t xml:space="preserve">determine </w:t>
      </w:r>
      <w:r w:rsidR="00AF41B5">
        <w:t xml:space="preserve">engagement-ring property rights.  </w:t>
      </w:r>
      <w:r w:rsidR="00F532C8">
        <w:t xml:space="preserve">In other words, the courts of these states consider the reasons for the engagement’s termination, including any </w:t>
      </w:r>
      <w:r w:rsidR="008235CE">
        <w:t xml:space="preserve">wrongdoing </w:t>
      </w:r>
      <w:r w:rsidR="007A4BC5">
        <w:t xml:space="preserve">or infidelity </w:t>
      </w:r>
      <w:r w:rsidR="008235CE">
        <w:t xml:space="preserve">of either party, in deciding who </w:t>
      </w:r>
      <w:r w:rsidR="00FD0EF8">
        <w:t>gets</w:t>
      </w:r>
      <w:r w:rsidR="008235CE">
        <w:t xml:space="preserve"> the ring.  For example, a Pennsylvania court allowed </w:t>
      </w:r>
      <w:r w:rsidR="00C35C16">
        <w:t>an older man ensconced in a May-December romance with his nubile fiancée to keep the ring when he sued her after she disappeared with his money and his ring to marry another man.&lt;/p&gt;</w:t>
      </w:r>
    </w:p>
    <w:p w:rsidR="00C35C16" w:rsidRDefault="00C35C16" w:rsidP="00271252">
      <w:pPr>
        <w:spacing w:line="240" w:lineRule="auto"/>
        <w:contextualSpacing/>
      </w:pPr>
      <w:r>
        <w:t>&lt;p&gt;</w:t>
      </w:r>
      <w:r w:rsidR="00A60F70">
        <w:t xml:space="preserve">In states applying the fault-based approach, courts rely more on contract than property law to justify their holdings.  The party who breaches the contract, </w:t>
      </w:r>
      <w:r w:rsidR="00F44C65">
        <w:t xml:space="preserve">based on an agreement to marry, should not be unjustly enriched for doing so and </w:t>
      </w:r>
      <w:r w:rsidR="00EE0F68">
        <w:t>is thereby</w:t>
      </w:r>
      <w:r w:rsidR="00F44C65">
        <w:t xml:space="preserve"> not entitled to the ring.&lt;/p&gt;</w:t>
      </w:r>
    </w:p>
    <w:p w:rsidR="00F44C65" w:rsidRDefault="00AB477F" w:rsidP="00271252">
      <w:pPr>
        <w:spacing w:line="240" w:lineRule="auto"/>
        <w:contextualSpacing/>
      </w:pPr>
      <w:r>
        <w:t xml:space="preserve">&lt;h2&gt;Receivers, Keepers: </w:t>
      </w:r>
      <w:r w:rsidR="00F44C65">
        <w:t>Exceptions to</w:t>
      </w:r>
      <w:r>
        <w:t xml:space="preserve"> Traditional Engagement</w:t>
      </w:r>
      <w:r w:rsidR="00F44C65">
        <w:t xml:space="preserve"> Ring </w:t>
      </w:r>
      <w:r w:rsidR="007A4BC5">
        <w:t>Law</w:t>
      </w:r>
      <w:bookmarkStart w:id="0" w:name="_GoBack"/>
      <w:bookmarkEnd w:id="0"/>
      <w:r w:rsidR="00F44C65">
        <w:t>&lt;//h2&gt;</w:t>
      </w:r>
    </w:p>
    <w:p w:rsidR="00271252" w:rsidRDefault="00F44C65" w:rsidP="00271252">
      <w:pPr>
        <w:spacing w:line="240" w:lineRule="auto"/>
        <w:contextualSpacing/>
      </w:pPr>
      <w:r>
        <w:t>&lt;p&gt;</w:t>
      </w:r>
      <w:r w:rsidR="00AB477F">
        <w:t xml:space="preserve">Most states will make exceptions to precedent on engagement-ring property law in two cases: if the engagement ring is a family heirloom or if the couple actually married.  In the former case, the donor bears the burden of proof in convincing the court that the ring holds </w:t>
      </w:r>
      <w:r w:rsidR="0056489D">
        <w:t>sentimental</w:t>
      </w:r>
      <w:r w:rsidR="00AB477F">
        <w:t xml:space="preserve"> significance and should thus be returned.  In the </w:t>
      </w:r>
      <w:r w:rsidR="0056489D">
        <w:t>case of a completed marriage</w:t>
      </w:r>
      <w:r w:rsidR="00AB477F">
        <w:t>, the donee has satisfied the condition upon which the gi</w:t>
      </w:r>
      <w:r w:rsidR="0056489D">
        <w:t xml:space="preserve">ft, the ring, </w:t>
      </w:r>
      <w:r w:rsidR="00AB477F">
        <w:t>was given.  As a result, in the event of divorce, the gifts given to each respective spouse are considered separate property, and the recipient of the ring would likely retain possession.&lt;/p&gt;</w:t>
      </w:r>
    </w:p>
    <w:p w:rsidR="00AB477F" w:rsidRDefault="00AB477F" w:rsidP="00271252">
      <w:pPr>
        <w:spacing w:line="240" w:lineRule="auto"/>
        <w:contextualSpacing/>
      </w:pPr>
      <w:r>
        <w:t>&lt;p&gt;</w:t>
      </w:r>
      <w:r w:rsidR="004B703E">
        <w:t>The bottom line</w:t>
      </w:r>
      <w:r>
        <w:t xml:space="preserve">?  No one expects love to end.  All couples beginning a relationship believe they are the exception, not the rule.  </w:t>
      </w:r>
      <w:r w:rsidR="0056489D">
        <w:t xml:space="preserve">Not to rain on that parade of romantic optimism, but </w:t>
      </w:r>
      <w:r w:rsidR="004B703E">
        <w:t>if you believe you are the exception, at least know the rule on engagement-ring property law in your state before you take the leap</w:t>
      </w:r>
      <w:r w:rsidR="00EE0F68">
        <w:t>.&lt;/p&gt;</w:t>
      </w:r>
    </w:p>
    <w:sectPr w:rsidR="00AB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52"/>
    <w:rsid w:val="0009581C"/>
    <w:rsid w:val="001D3FA3"/>
    <w:rsid w:val="00214CE3"/>
    <w:rsid w:val="00271252"/>
    <w:rsid w:val="002F5D6F"/>
    <w:rsid w:val="00401DED"/>
    <w:rsid w:val="004B703E"/>
    <w:rsid w:val="004C22F8"/>
    <w:rsid w:val="0051546E"/>
    <w:rsid w:val="0056489D"/>
    <w:rsid w:val="007A4BC5"/>
    <w:rsid w:val="007D77FC"/>
    <w:rsid w:val="008235CE"/>
    <w:rsid w:val="008A2232"/>
    <w:rsid w:val="00A60F70"/>
    <w:rsid w:val="00AB477F"/>
    <w:rsid w:val="00AF41B5"/>
    <w:rsid w:val="00BF6200"/>
    <w:rsid w:val="00C35C16"/>
    <w:rsid w:val="00EE0F68"/>
    <w:rsid w:val="00F35ACF"/>
    <w:rsid w:val="00F44C65"/>
    <w:rsid w:val="00F532C8"/>
    <w:rsid w:val="00F57C2B"/>
    <w:rsid w:val="00FC2461"/>
    <w:rsid w:val="00F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CarreraSarah</dc:creator>
  <cp:lastModifiedBy>CarreraSarah</cp:lastModifiedBy>
  <cp:revision>14</cp:revision>
  <dcterms:created xsi:type="dcterms:W3CDTF">2014-03-17T17:55:00Z</dcterms:created>
  <dcterms:modified xsi:type="dcterms:W3CDTF">2014-03-17T21:37:00Z</dcterms:modified>
</cp:coreProperties>
</file>