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A50" w:rsidRPr="00934D6F" w:rsidRDefault="00543C1C" w:rsidP="003A1A50">
      <w:pPr>
        <w:rPr>
          <w:b/>
          <w:sz w:val="28"/>
          <w:szCs w:val="28"/>
        </w:rPr>
      </w:pPr>
      <w:r>
        <w:rPr>
          <w:b/>
          <w:sz w:val="28"/>
          <w:szCs w:val="28"/>
        </w:rPr>
        <w:t>SAMPLE No:-1</w:t>
      </w:r>
    </w:p>
    <w:p w:rsidR="003A1A50" w:rsidRPr="00916D76" w:rsidRDefault="003A1A50" w:rsidP="003A1A50">
      <w:pPr>
        <w:jc w:val="center"/>
        <w:rPr>
          <w:b/>
        </w:rPr>
      </w:pPr>
    </w:p>
    <w:p w:rsidR="003A1A50" w:rsidRPr="00916D76" w:rsidRDefault="003A1A50" w:rsidP="003A1A50">
      <w:pPr>
        <w:jc w:val="center"/>
        <w:rPr>
          <w:b/>
        </w:rPr>
      </w:pPr>
    </w:p>
    <w:p w:rsidR="003A1A50" w:rsidRPr="00916D76" w:rsidRDefault="003A1A50" w:rsidP="003A1A50">
      <w:pPr>
        <w:jc w:val="center"/>
        <w:rPr>
          <w:b/>
        </w:rPr>
      </w:pPr>
    </w:p>
    <w:p w:rsidR="003A1A50" w:rsidRPr="00916D76" w:rsidRDefault="003A1A50" w:rsidP="003A1A50">
      <w:pPr>
        <w:jc w:val="center"/>
        <w:rPr>
          <w:b/>
        </w:rPr>
      </w:pPr>
    </w:p>
    <w:p w:rsidR="003A1A50" w:rsidRPr="00916D76" w:rsidRDefault="003A1A50" w:rsidP="003A1A50">
      <w:pPr>
        <w:jc w:val="center"/>
        <w:rPr>
          <w:b/>
        </w:rPr>
      </w:pPr>
    </w:p>
    <w:p w:rsidR="003A1A50" w:rsidRPr="00916D76" w:rsidRDefault="003A1A50" w:rsidP="003A1A50">
      <w:pPr>
        <w:jc w:val="center"/>
        <w:rPr>
          <w:b/>
        </w:rPr>
      </w:pPr>
    </w:p>
    <w:p w:rsidR="003A1A50" w:rsidRPr="00916D76" w:rsidRDefault="003A1A50" w:rsidP="003A1A50">
      <w:pPr>
        <w:jc w:val="center"/>
        <w:rPr>
          <w:b/>
        </w:rPr>
      </w:pPr>
    </w:p>
    <w:p w:rsidR="003A1A50" w:rsidRPr="00916D76" w:rsidRDefault="003A1A50" w:rsidP="003A1A50">
      <w:pPr>
        <w:jc w:val="center"/>
        <w:rPr>
          <w:b/>
        </w:rPr>
      </w:pPr>
    </w:p>
    <w:p w:rsidR="003A1A50" w:rsidRPr="00916D76" w:rsidRDefault="003A1A50" w:rsidP="003A1A50">
      <w:pPr>
        <w:jc w:val="center"/>
        <w:rPr>
          <w:b/>
        </w:rPr>
      </w:pPr>
    </w:p>
    <w:p w:rsidR="003A1A50" w:rsidRPr="004640A9" w:rsidRDefault="003A1A50" w:rsidP="003A1A50">
      <w:pPr>
        <w:jc w:val="center"/>
        <w:rPr>
          <w:b/>
          <w:sz w:val="28"/>
          <w:szCs w:val="28"/>
        </w:rPr>
      </w:pPr>
      <w:r w:rsidRPr="004640A9">
        <w:rPr>
          <w:b/>
          <w:sz w:val="28"/>
          <w:szCs w:val="28"/>
        </w:rPr>
        <w:t xml:space="preserve">Essay </w:t>
      </w:r>
      <w:r>
        <w:rPr>
          <w:b/>
          <w:sz w:val="28"/>
          <w:szCs w:val="28"/>
        </w:rPr>
        <w:t>Title:</w:t>
      </w:r>
    </w:p>
    <w:p w:rsidR="003A1A50" w:rsidRPr="004640A9" w:rsidRDefault="003A1A50" w:rsidP="003A1A50">
      <w:pPr>
        <w:jc w:val="center"/>
        <w:rPr>
          <w:b/>
          <w:sz w:val="28"/>
          <w:szCs w:val="28"/>
        </w:rPr>
      </w:pPr>
    </w:p>
    <w:p w:rsidR="003A1A50" w:rsidRPr="003A1A50" w:rsidRDefault="003A1A50" w:rsidP="003A1A50">
      <w:pPr>
        <w:jc w:val="center"/>
        <w:rPr>
          <w:b/>
        </w:rPr>
      </w:pPr>
      <w:r>
        <w:t>‘</w:t>
      </w:r>
      <w:r w:rsidRPr="003A1A50">
        <w:rPr>
          <w:b/>
        </w:rPr>
        <w:t>The HRA 1998 has had little impact upon protecting the basic liberties of British subjects and could be repealed without any consequence’. Discuss.</w:t>
      </w:r>
    </w:p>
    <w:p w:rsidR="003A1A50" w:rsidRPr="003A1A50" w:rsidRDefault="003A1A50" w:rsidP="003A1A50">
      <w:pPr>
        <w:jc w:val="center"/>
        <w:rPr>
          <w:b/>
          <w:sz w:val="28"/>
          <w:szCs w:val="28"/>
        </w:rPr>
      </w:pPr>
    </w:p>
    <w:p w:rsidR="003A1A50" w:rsidRPr="004640A9" w:rsidRDefault="003A1A50" w:rsidP="003A1A50">
      <w:pPr>
        <w:jc w:val="center"/>
        <w:rPr>
          <w:b/>
          <w:sz w:val="28"/>
          <w:szCs w:val="28"/>
        </w:rPr>
      </w:pPr>
    </w:p>
    <w:p w:rsidR="003A1A50" w:rsidRPr="004640A9" w:rsidRDefault="003A1A50" w:rsidP="003A1A50">
      <w:pPr>
        <w:jc w:val="center"/>
        <w:rPr>
          <w:b/>
          <w:sz w:val="28"/>
          <w:szCs w:val="28"/>
        </w:rPr>
      </w:pPr>
    </w:p>
    <w:p w:rsidR="003A1A50" w:rsidRPr="004640A9" w:rsidRDefault="003A1A50" w:rsidP="003A1A50">
      <w:pPr>
        <w:jc w:val="center"/>
        <w:rPr>
          <w:b/>
          <w:sz w:val="28"/>
          <w:szCs w:val="28"/>
        </w:rPr>
      </w:pPr>
    </w:p>
    <w:p w:rsidR="003A1A50" w:rsidRPr="004640A9" w:rsidRDefault="003A1A50" w:rsidP="003A1A50">
      <w:pPr>
        <w:jc w:val="center"/>
        <w:rPr>
          <w:b/>
          <w:sz w:val="28"/>
          <w:szCs w:val="28"/>
        </w:rPr>
      </w:pPr>
    </w:p>
    <w:p w:rsidR="003A1A50" w:rsidRPr="004640A9" w:rsidRDefault="003A1A50" w:rsidP="003A1A50">
      <w:pPr>
        <w:jc w:val="center"/>
        <w:rPr>
          <w:b/>
          <w:sz w:val="28"/>
          <w:szCs w:val="28"/>
        </w:rPr>
      </w:pPr>
    </w:p>
    <w:p w:rsidR="003A1A50" w:rsidRPr="004640A9" w:rsidRDefault="003A1A50" w:rsidP="003A1A50">
      <w:pPr>
        <w:jc w:val="center"/>
        <w:rPr>
          <w:b/>
          <w:sz w:val="28"/>
          <w:szCs w:val="28"/>
        </w:rPr>
      </w:pPr>
    </w:p>
    <w:p w:rsidR="003A1A50" w:rsidRPr="004640A9" w:rsidRDefault="003A1A50" w:rsidP="003A1A50">
      <w:pPr>
        <w:rPr>
          <w:b/>
          <w:sz w:val="28"/>
          <w:szCs w:val="28"/>
        </w:rPr>
      </w:pPr>
    </w:p>
    <w:p w:rsidR="003A1A50" w:rsidRPr="00916D76" w:rsidRDefault="003A1A50" w:rsidP="003A1A50">
      <w:pPr>
        <w:jc w:val="both"/>
      </w:pPr>
    </w:p>
    <w:p w:rsidR="003A1A50" w:rsidRDefault="003A1A50" w:rsidP="003A1A50">
      <w:pPr>
        <w:jc w:val="both"/>
      </w:pPr>
    </w:p>
    <w:p w:rsidR="003A1A50" w:rsidRDefault="003A1A50" w:rsidP="003A1A50"/>
    <w:p w:rsidR="003A1A50" w:rsidRPr="00280FDC" w:rsidRDefault="003A1A50" w:rsidP="003A1A50">
      <w:pPr>
        <w:spacing w:line="360" w:lineRule="auto"/>
        <w:jc w:val="both"/>
      </w:pPr>
      <w:r>
        <w:br w:type="page"/>
      </w:r>
      <w:r w:rsidRPr="00280FDC">
        <w:lastRenderedPageBreak/>
        <w:t>The Human Rights Act 1998 (HRA) incorporates the majority of rights protected under the European Convention on Human Rights into domestic law. In his foreword to the Blackstone Guide to the Act, the then Home Secretary Jack Straw wrote</w:t>
      </w:r>
      <w:r w:rsidRPr="00280FDC">
        <w:rPr>
          <w:rStyle w:val="FootnoteReference"/>
        </w:rPr>
        <w:footnoteReference w:id="2"/>
      </w:r>
      <w:r>
        <w:t>; ‘</w:t>
      </w:r>
      <w:r w:rsidRPr="00280FDC">
        <w:t>The Human Rights Act 1998 is the most significant statement of human rights in domestic law since the 1689 Bill of Rights. …The Act will guarantee to everyone the means to enforce a set of basic civil and political rights, establishing a floor below which standards will not be allowed to fall.’ Thus the enactment of the Human Rights Act 1998 (HRA) and the incorporation of European Convention on Human Rights (ECHR) in United Kingdom law marked a turning point in United Kingdom's legal and constitutional history. This new epoch has brought about greater domestic respect for human rights under the rule of law, resulting in significant changes in public law, both in substance and in the conduct of judicial review proceedings.</w:t>
      </w:r>
    </w:p>
    <w:p w:rsidR="003A1A50" w:rsidRPr="00280FDC" w:rsidRDefault="003A1A50" w:rsidP="003A1A50">
      <w:pPr>
        <w:pStyle w:val="NormalWeb"/>
        <w:spacing w:line="360" w:lineRule="auto"/>
        <w:jc w:val="both"/>
      </w:pPr>
      <w:r w:rsidRPr="00280FDC">
        <w:t>The Human Rights Act 1998 (HRA 1998) attempts to provide some fundamental guarantee of individual rights and freedoms but this does not come close to a constitutional Bill of Rights due to the inherent characteristics of parliamentary sovereignty and the fact the European Convention of Human Rights (ECHR) which is incorporated by the HRA 1998 may be out of date. The European Convention on Human Rights (ECHR) was adopted under the auspices of the Council of Europe in 1950 to protect human rights and fundamental freedoms.</w:t>
      </w:r>
    </w:p>
    <w:p w:rsidR="003A1A50" w:rsidRPr="00280FDC" w:rsidRDefault="003A1A50" w:rsidP="003A1A50">
      <w:pPr>
        <w:pStyle w:val="NormalWeb"/>
        <w:spacing w:line="360" w:lineRule="auto"/>
        <w:jc w:val="both"/>
      </w:pPr>
      <w:r w:rsidRPr="00280FDC">
        <w:t>Not all articles of the ECHR have been incorporated. Of notable exclusion are Articles 1 and 13. The significant exclusions are Articles 1 which imposes a duty on signatory states to ensure that those within their jurisdiction can enjoy the rights and freedoms guaranteed by the Convention. Its exclusion would effectively remove the protective blanket covering all the rights afforded by the ECHR. Another significant exclusion is Article 13 which guarantees citizens whose fundamental rights are violated an effective remedy before a national authority. Thus the UK Parliament is excluded - effectively protecting parliamentary sovereignty but not citizen sovereignty.</w:t>
      </w:r>
    </w:p>
    <w:p w:rsidR="003A1A50" w:rsidRPr="00280FDC" w:rsidRDefault="003A1A50" w:rsidP="003A1A50">
      <w:pPr>
        <w:pStyle w:val="NormalWeb"/>
        <w:tabs>
          <w:tab w:val="left" w:pos="360"/>
          <w:tab w:val="left" w:pos="3600"/>
        </w:tabs>
        <w:spacing w:line="360" w:lineRule="auto"/>
        <w:jc w:val="both"/>
      </w:pPr>
      <w:r w:rsidRPr="00280FDC">
        <w:t xml:space="preserve">While Articles 2,3,4,7 and 14 provide absolute rights the rest are subject to legal restrictions such as are necessary in the interest of national security or public safety. Article 15 of the ECHR </w:t>
      </w:r>
      <w:r w:rsidRPr="00280FDC">
        <w:lastRenderedPageBreak/>
        <w:t>allows domestic legislation to derogate from Articles 5,8,9,10,11</w:t>
      </w:r>
      <w:r>
        <w:t xml:space="preserve"> </w:t>
      </w:r>
      <w:r w:rsidRPr="00280FDC">
        <w:t>and 14 of the ECHR in time of war or other public emergency threatening the life and security of the nation. This power to derogate can be abu</w:t>
      </w:r>
      <w:r>
        <w:t xml:space="preserve">sed at the expense </w:t>
      </w:r>
      <w:r w:rsidRPr="00280FDC">
        <w:t xml:space="preserve">of the citizen. </w:t>
      </w:r>
      <w:r w:rsidRPr="00280FDC">
        <w:br/>
      </w:r>
      <w:r w:rsidRPr="00280FDC">
        <w:br/>
        <w:t>The UK entered into such a derogation in relation to the Terrorism Act 2000 which enhanced police powers and allowed wider stop and search powers and the power to detail suspects after arrest for up to 28 days without trial as well as the Anti-terrorism, Crime and Security Act 2001 which allows for the detention without trial of foreign citizens suspected of being involved in terrorist activity and grants the Home Secretary the power to deport or detain</w:t>
      </w:r>
      <w:r>
        <w:t xml:space="preserve"> indefinitely any non-citizen reasonably believed to be a </w:t>
      </w:r>
      <w:r w:rsidRPr="00280FDC">
        <w:t>terrorist.</w:t>
      </w:r>
      <w:r>
        <w:t xml:space="preserve"> </w:t>
      </w:r>
      <w:r>
        <w:br/>
      </w:r>
      <w:r>
        <w:br/>
        <w:t xml:space="preserve">Case law however has </w:t>
      </w:r>
      <w:r w:rsidRPr="00280FDC">
        <w:t xml:space="preserve">limited these powers of derogation. In the case of </w:t>
      </w:r>
      <w:r w:rsidRPr="00CC0EB7">
        <w:rPr>
          <w:rStyle w:val="Emphasis"/>
          <w:u w:val="single"/>
        </w:rPr>
        <w:t>A and others v Secretary of State for the Home Department</w:t>
      </w:r>
      <w:r w:rsidRPr="00CC0EB7">
        <w:rPr>
          <w:u w:val="single"/>
        </w:rPr>
        <w:t xml:space="preserve"> and </w:t>
      </w:r>
      <w:r w:rsidRPr="00CC0EB7">
        <w:rPr>
          <w:rStyle w:val="Emphasis"/>
          <w:u w:val="single"/>
        </w:rPr>
        <w:t>X and another v Secretary of State for the Home Department</w:t>
      </w:r>
      <w:r w:rsidRPr="00280FDC">
        <w:rPr>
          <w:rStyle w:val="Emphasis"/>
        </w:rPr>
        <w:t xml:space="preserve"> </w:t>
      </w:r>
      <w:r w:rsidRPr="00280FDC">
        <w:t xml:space="preserve">it was decided by the House of Lords that section 23 of ACTSA 2001 was incompatible with Articles 5 which is the right to liberty and Article 14 which is freedom from discrimination because the section permitted the detention of suspected international terrorists that discriminated against them on grounds of nationality. The courts viewed that there was </w:t>
      </w:r>
      <w:r w:rsidRPr="00280FDC">
        <w:rPr>
          <w:rStyle w:val="Strong"/>
        </w:rPr>
        <w:t xml:space="preserve">no sense of proportion </w:t>
      </w:r>
      <w:r w:rsidRPr="00280FDC">
        <w:t xml:space="preserve">attached to the rights of the individual as opposed to the level of threat to national security for there to be derogation.  However Derdre M. Dwyer in her article "Rights Brought Home" argues that the effect was only political and not legal. The Act remained and could not be declared invalid. The most that could be done was to enact further legislation as happened in the case of </w:t>
      </w:r>
      <w:r w:rsidRPr="006E2C6A">
        <w:rPr>
          <w:rStyle w:val="Emphasis"/>
          <w:u w:val="single"/>
        </w:rPr>
        <w:t>Bellinger v Bellinge</w:t>
      </w:r>
      <w:r>
        <w:rPr>
          <w:rStyle w:val="Emphasis"/>
          <w:u w:val="single"/>
        </w:rPr>
        <w:t>r</w:t>
      </w:r>
      <w:r w:rsidRPr="006E2C6A">
        <w:rPr>
          <w:rStyle w:val="FootnoteReference"/>
          <w:iCs/>
        </w:rPr>
        <w:footnoteReference w:id="3"/>
      </w:r>
      <w:r w:rsidRPr="006E2C6A">
        <w:t xml:space="preserve"> </w:t>
      </w:r>
      <w:r w:rsidRPr="00280FDC">
        <w:t>where the Gender Recognition Act 2004 and the Civil Partnership Act 2004 was legislated to cater to the declaration of incompatibility of section 11</w:t>
      </w:r>
      <w:r>
        <w:t>(</w:t>
      </w:r>
      <w:r w:rsidRPr="00280FDC">
        <w:t>c</w:t>
      </w:r>
      <w:r>
        <w:t>)</w:t>
      </w:r>
      <w:r w:rsidRPr="00280FDC">
        <w:t xml:space="preserve"> of the Matrimonial Causes Act 1973 which went against the right to a family for single sex couples. </w:t>
      </w:r>
      <w:r w:rsidRPr="00280FDC">
        <w:br/>
      </w:r>
      <w:r w:rsidRPr="00280FDC">
        <w:br/>
        <w:t xml:space="preserve">An example of a fundamental guarantee is Article </w:t>
      </w:r>
      <w:r>
        <w:t xml:space="preserve">6 of the ECHR, which is the right to </w:t>
      </w:r>
      <w:r w:rsidRPr="00280FDC">
        <w:t>be heard by an unbiased tribunal</w:t>
      </w:r>
      <w:r>
        <w:t>,</w:t>
      </w:r>
      <w:r w:rsidRPr="00280FDC">
        <w:t xml:space="preserve"> the right to have notice of cha</w:t>
      </w:r>
      <w:r>
        <w:t>rges of misc</w:t>
      </w:r>
      <w:r w:rsidRPr="00280FDC">
        <w:t xml:space="preserve">onduct </w:t>
      </w:r>
      <w:r>
        <w:t xml:space="preserve">and the right to be heard in answer to these charges. </w:t>
      </w:r>
      <w:r w:rsidRPr="00280FDC">
        <w:t xml:space="preserve">However in </w:t>
      </w:r>
      <w:r w:rsidRPr="00310C52">
        <w:rPr>
          <w:rStyle w:val="Emphasis"/>
          <w:u w:val="single"/>
        </w:rPr>
        <w:t>Fiscal v Brown</w:t>
      </w:r>
      <w:r w:rsidRPr="00280FDC">
        <w:t xml:space="preserve"> it was decided that the right to a fair trial under Article 6 would not overwhelm the requirement of local traffic legislation on the </w:t>
      </w:r>
      <w:r w:rsidRPr="00280FDC">
        <w:lastRenderedPageBreak/>
        <w:t xml:space="preserve">basis that the rights of individuals had to give way to the wider interests of the community. In the case of </w:t>
      </w:r>
      <w:r>
        <w:rPr>
          <w:rStyle w:val="Emphasis"/>
          <w:u w:val="single"/>
        </w:rPr>
        <w:t xml:space="preserve">Venables v Thompson v Newsgroup </w:t>
      </w:r>
      <w:r w:rsidRPr="00310C52">
        <w:rPr>
          <w:rStyle w:val="Emphasis"/>
          <w:u w:val="single"/>
        </w:rPr>
        <w:t>Newspapers</w:t>
      </w:r>
      <w:r>
        <w:rPr>
          <w:rStyle w:val="Emphasis"/>
          <w:i w:val="0"/>
        </w:rPr>
        <w:t xml:space="preserve"> it was held</w:t>
      </w:r>
      <w:r w:rsidRPr="00280FDC">
        <w:rPr>
          <w:rStyle w:val="Emphasis"/>
        </w:rPr>
        <w:t xml:space="preserve"> </w:t>
      </w:r>
      <w:r w:rsidRPr="00280FDC">
        <w:t xml:space="preserve">that the courts would only apply the Convention in exceptional cases where it was strictly necessary. In the case of </w:t>
      </w:r>
      <w:r w:rsidRPr="00280FDC">
        <w:rPr>
          <w:rStyle w:val="Emphasis"/>
        </w:rPr>
        <w:t xml:space="preserve">Campbell </w:t>
      </w:r>
      <w:r w:rsidRPr="00310C52">
        <w:rPr>
          <w:rStyle w:val="Emphasis"/>
          <w:u w:val="single"/>
        </w:rPr>
        <w:t>(Naomi) v Mirror Group Newspapers</w:t>
      </w:r>
      <w:r w:rsidRPr="00310C52">
        <w:rPr>
          <w:rStyle w:val="FootnoteReference"/>
          <w:iCs/>
        </w:rPr>
        <w:footnoteReference w:id="4"/>
      </w:r>
      <w:r w:rsidRPr="00280FDC">
        <w:t xml:space="preserve">, the courts would look into the balancing of competing interests whether the right to privacy under Article 8 outweighed the freedom of expression under Article 10. </w:t>
      </w:r>
      <w:r w:rsidRPr="00280FDC">
        <w:br/>
      </w:r>
      <w:r w:rsidRPr="00280FDC">
        <w:br/>
        <w:t xml:space="preserve">The dualist approach to incorporating the ECHR into </w:t>
      </w:r>
      <w:smartTag w:uri="urn:schemas-microsoft-com:office:smarttags" w:element="country-region">
        <w:smartTag w:uri="urn:schemas-microsoft-com:office:smarttags" w:element="place">
          <w:r w:rsidRPr="00280FDC">
            <w:t>UK</w:t>
          </w:r>
        </w:smartTag>
      </w:smartTag>
      <w:r w:rsidRPr="00280FDC">
        <w:t xml:space="preserve"> domestic law through the HRA1998 has whittled down the effects of the ECHR. Because the ECHR is not entrenched into domestic law a provision of the Convention can be breached with impunity. The HRA 1998 is still an Act of Parliament and not an entrenched Bill of Rights and can be repealed by a future Act of Parliament</w:t>
      </w:r>
      <w:r>
        <w:t xml:space="preserve"> on the basis of supremacy of Parliament</w:t>
      </w:r>
      <w:r w:rsidRPr="00280FDC">
        <w:t>.</w:t>
      </w:r>
      <w:r>
        <w:t xml:space="preserve"> </w:t>
      </w:r>
      <w:r>
        <w:br/>
      </w:r>
      <w:r>
        <w:br/>
        <w:t>Section 2 of the Act requires</w:t>
      </w:r>
      <w:r w:rsidRPr="00280FDC">
        <w:t xml:space="preserve"> future courts to take into account any previous decision of the ECtHR. The operative phrase here is ‘take into account’ which does not mean that they are bound by it. Judicial decisions will continue to be made in light of judicial decisions made by </w:t>
      </w:r>
      <w:smartTag w:uri="urn:schemas-microsoft-com:office:smarttags" w:element="country-region">
        <w:r w:rsidRPr="00280FDC">
          <w:t>UK</w:t>
        </w:r>
      </w:smartTag>
      <w:r w:rsidRPr="00280FDC">
        <w:t xml:space="preserve"> courts regardless of decisions outside the </w:t>
      </w:r>
      <w:smartTag w:uri="urn:schemas-microsoft-com:office:smarttags" w:element="country-region">
        <w:smartTag w:uri="urn:schemas-microsoft-com:office:smarttags" w:element="place">
          <w:r w:rsidRPr="00280FDC">
            <w:t>UK</w:t>
          </w:r>
        </w:smartTag>
      </w:smartTag>
      <w:r w:rsidRPr="00280FDC">
        <w:t xml:space="preserve">. The decision in the case of </w:t>
      </w:r>
      <w:r w:rsidRPr="00310C52">
        <w:rPr>
          <w:rStyle w:val="Emphasis"/>
          <w:u w:val="single"/>
        </w:rPr>
        <w:t>Harrow LBC v Qazi</w:t>
      </w:r>
      <w:r w:rsidRPr="00280FDC">
        <w:t xml:space="preserve"> was incompatible with the decision of the ECtHR case of </w:t>
      </w:r>
      <w:r w:rsidRPr="00E71640">
        <w:rPr>
          <w:rStyle w:val="Emphasis"/>
          <w:u w:val="single"/>
        </w:rPr>
        <w:t xml:space="preserve">Connors v </w:t>
      </w:r>
      <w:smartTag w:uri="urn:schemas-microsoft-com:office:smarttags" w:element="country-region">
        <w:smartTag w:uri="urn:schemas-microsoft-com:office:smarttags" w:element="place">
          <w:r w:rsidRPr="00E71640">
            <w:rPr>
              <w:rStyle w:val="Emphasis"/>
              <w:u w:val="single"/>
            </w:rPr>
            <w:t>UK</w:t>
          </w:r>
        </w:smartTag>
      </w:smartTag>
      <w:r w:rsidRPr="00E71640">
        <w:rPr>
          <w:rStyle w:val="FootnoteReference"/>
          <w:i/>
          <w:iCs/>
          <w:u w:val="single"/>
        </w:rPr>
        <w:footnoteReference w:id="5"/>
      </w:r>
      <w:r w:rsidRPr="00E71640">
        <w:rPr>
          <w:u w:val="single"/>
        </w:rPr>
        <w:t xml:space="preserve">. In the case of </w:t>
      </w:r>
      <w:r w:rsidRPr="00E71640">
        <w:rPr>
          <w:rStyle w:val="Emphasis"/>
          <w:u w:val="single"/>
        </w:rPr>
        <w:t>Price v Leeds City Council</w:t>
      </w:r>
      <w:r w:rsidRPr="00E71640">
        <w:rPr>
          <w:rStyle w:val="FootnoteReference"/>
          <w:iCs/>
        </w:rPr>
        <w:footnoteReference w:id="6"/>
      </w:r>
      <w:r w:rsidRPr="00E71640">
        <w:t>,</w:t>
      </w:r>
      <w:r w:rsidRPr="00280FDC">
        <w:t xml:space="preserve"> the Court of Appeal held that where there were contradictory rulings from the House of Lords and the ECtHR, </w:t>
      </w:r>
      <w:smartTag w:uri="urn:schemas-microsoft-com:office:smarttags" w:element="place">
        <w:smartTag w:uri="urn:schemas-microsoft-com:office:smarttags" w:element="country-region">
          <w:r w:rsidRPr="00280FDC">
            <w:t>UK</w:t>
          </w:r>
        </w:smartTag>
      </w:smartTag>
      <w:r w:rsidRPr="00280FDC">
        <w:t xml:space="preserve"> courts were required to follow the ruling of the House of Lords. </w:t>
      </w:r>
      <w:r w:rsidRPr="00280FDC">
        <w:br/>
      </w:r>
      <w:r w:rsidRPr="00280FDC">
        <w:br/>
        <w:t>Section 3 of the Act requires all legislation to be read, so far as possible, to give effect to the rights provided under the ECHR and Section. According to Section 4</w:t>
      </w:r>
      <w:r>
        <w:t xml:space="preserve"> </w:t>
      </w:r>
      <w:r w:rsidRPr="00280FDC">
        <w:t>courts may</w:t>
      </w:r>
      <w:r>
        <w:t xml:space="preserve"> </w:t>
      </w:r>
      <w:r w:rsidRPr="00280FDC">
        <w:t xml:space="preserve">make a declaration of incompatibility if it finds that a provision in a </w:t>
      </w:r>
      <w:smartTag w:uri="urn:schemas-microsoft-com:office:smarttags" w:element="country-region">
        <w:smartTag w:uri="urn:schemas-microsoft-com:office:smarttags" w:element="place">
          <w:r w:rsidRPr="00280FDC">
            <w:t>UK</w:t>
          </w:r>
        </w:smartTag>
      </w:smartTag>
      <w:r w:rsidRPr="00280FDC">
        <w:t xml:space="preserve"> </w:t>
      </w:r>
      <w:r>
        <w:t>statute is incompatible with a C</w:t>
      </w:r>
      <w:r w:rsidRPr="00280FDC">
        <w:t xml:space="preserve">onvention right. Taken together the impact of Section 3 and 4 would mean that the courts were able to protect individuals sufficiently. However this has been curtailed by parliamentary sovereignty and the courts are loath to go against Parliament. </w:t>
      </w:r>
      <w:r w:rsidRPr="00280FDC">
        <w:br/>
      </w:r>
      <w:r w:rsidRPr="00280FDC">
        <w:br/>
      </w:r>
      <w:r w:rsidRPr="00280FDC">
        <w:lastRenderedPageBreak/>
        <w:t xml:space="preserve">The courts have interpreted the phrase ‘so far as possible’ narrowly and will only go so far in giving effect to rights. In deciding on the legality of any derogation, courts are required not just to be convinced that there is a need for the derogation but they must also be sure that the State’s action has been proportionate to the need. </w:t>
      </w:r>
      <w:r w:rsidRPr="00280FDC">
        <w:br/>
      </w:r>
      <w:r w:rsidRPr="00280FDC">
        <w:br/>
        <w:t>Section 6 requires that public authorities act lawfully in a way that is compatible with the ECHR. Although some bodies are clearly public authorities such as government departments, local authorities, the police and the Inland Revenue the Act does not define public authority and quasi public authoriti</w:t>
      </w:r>
      <w:r>
        <w:t>es can fall outside this ambit, such as in</w:t>
      </w:r>
      <w:r w:rsidRPr="00280FDC">
        <w:t xml:space="preserve"> </w:t>
      </w:r>
      <w:r w:rsidRPr="00B72D90">
        <w:rPr>
          <w:rStyle w:val="Emphasis"/>
          <w:u w:val="single"/>
        </w:rPr>
        <w:t>Donoghue v Poplar Housing and Regeneration Community Association Ltd</w:t>
      </w:r>
      <w:r w:rsidRPr="00280FDC">
        <w:t xml:space="preserve"> </w:t>
      </w:r>
      <w:r>
        <w:t>which limited</w:t>
      </w:r>
      <w:r w:rsidRPr="00280FDC">
        <w:t xml:space="preserve"> the action one </w:t>
      </w:r>
      <w:r>
        <w:t xml:space="preserve">could take against a body that </w:t>
      </w:r>
      <w:r w:rsidRPr="00280FDC">
        <w:t xml:space="preserve">was clearly not a public authority. </w:t>
      </w:r>
      <w:r w:rsidRPr="00280FDC">
        <w:br/>
      </w:r>
      <w:r w:rsidRPr="00280FDC">
        <w:br/>
        <w:t>It is not mandatory that an Act of Parliament needs to be compatible with ECHR rights. Section 19 of the HRA 1998 allows for a minister responsible for the passage of a Bill through Parliament to make a statement that the bill does not comply with ECHR rights. Alternatively by virtue of Section 10 a Minister could subsequently amend an offending legislation by a fast-track procedure which avoids the full parliamentary process.</w:t>
      </w:r>
    </w:p>
    <w:p w:rsidR="003A1A50" w:rsidRDefault="003A1A50" w:rsidP="003A1A50">
      <w:pPr>
        <w:spacing w:line="360" w:lineRule="auto"/>
        <w:jc w:val="both"/>
      </w:pPr>
      <w:r w:rsidRPr="00280FDC">
        <w:t xml:space="preserve">Consistent with the concept of Parliamentary sovereignty, the Human Right Act has no higher status in law than any other statute. It can accordingly be amended or repealed, although the non-legal, moral and political constraints would make this difficult. Parliamentary supremacy is also protected in that judges may not declare Acts of Parliament invalid, but may grant ‘declaration </w:t>
      </w:r>
      <w:r>
        <w:t>of incompatibility</w:t>
      </w:r>
      <w:r w:rsidRPr="00280FDC">
        <w:t>’. This device also protects the separation of powers between the judiciary and Parliament. However the importance of the Act and the need to protect it from amendment by implied repeal, it has been declared that the Human Right Act is a ‘Constitutional statute’ which may not be impliedly repealed, as seen in the case of</w:t>
      </w:r>
      <w:r w:rsidRPr="00280FDC">
        <w:rPr>
          <w:i/>
        </w:rPr>
        <w:t xml:space="preserve"> </w:t>
      </w:r>
      <w:r w:rsidRPr="002C18F0">
        <w:rPr>
          <w:i/>
          <w:u w:val="single"/>
        </w:rPr>
        <w:t>R v Secretary of state for the Home Department ex parte Simms</w:t>
      </w:r>
      <w:r w:rsidRPr="002C18F0">
        <w:rPr>
          <w:rStyle w:val="FootnoteReference"/>
        </w:rPr>
        <w:footnoteReference w:id="7"/>
      </w:r>
      <w:r w:rsidRPr="00280FDC">
        <w:rPr>
          <w:i/>
        </w:rPr>
        <w:t xml:space="preserve">. </w:t>
      </w:r>
      <w:r w:rsidRPr="00280FDC">
        <w:t xml:space="preserve"> </w:t>
      </w:r>
    </w:p>
    <w:p w:rsidR="003A1A50" w:rsidRPr="00280FDC" w:rsidRDefault="003A1A50" w:rsidP="003A1A50">
      <w:pPr>
        <w:spacing w:line="360" w:lineRule="auto"/>
        <w:jc w:val="both"/>
      </w:pPr>
    </w:p>
    <w:p w:rsidR="003A1A50" w:rsidRPr="00280FDC" w:rsidRDefault="003A1A50" w:rsidP="003A1A50">
      <w:pPr>
        <w:spacing w:line="360" w:lineRule="auto"/>
        <w:jc w:val="both"/>
      </w:pPr>
      <w:r w:rsidRPr="00280FDC">
        <w:t xml:space="preserve">The incorporation </w:t>
      </w:r>
      <w:r>
        <w:t xml:space="preserve">of </w:t>
      </w:r>
      <w:r w:rsidRPr="00280FDC">
        <w:t xml:space="preserve">Convention rights into domestic law under the Human Right Act 1998 was a logical step forward for a government seriously committed to individual rights and freedoms </w:t>
      </w:r>
      <w:r w:rsidRPr="00280FDC">
        <w:lastRenderedPageBreak/>
        <w:t xml:space="preserve">and represents a significant extension of the rule of law. Incorporation may also </w:t>
      </w:r>
      <w:r>
        <w:t xml:space="preserve">have </w:t>
      </w:r>
      <w:r w:rsidRPr="00280FDC">
        <w:t xml:space="preserve">change the traditional public conception of individual freedoms in favor of rights, and </w:t>
      </w:r>
      <w:r>
        <w:t>thus brought</w:t>
      </w:r>
      <w:r w:rsidRPr="00280FDC">
        <w:t xml:space="preserve"> a greater clarity to the law relating to both civil liberties and human rights. The Act preserves the traditional </w:t>
      </w:r>
      <w:r>
        <w:t xml:space="preserve">principles </w:t>
      </w:r>
      <w:r w:rsidRPr="00280FDC">
        <w:t xml:space="preserve">in the constitution, ensuring that Parliament alone can reform the law but enabling Judges of the higher courts to grant a Declaration of Incompatibility where a violation of a right which cannot be remedied by interpretation of the relevant domestic law is found. The Declaration does not invalidate the offending law but puts government and Parliament on notice that a reform is called for. Nevertheless, at the same time, the HRA 1998 attempts to reconcile </w:t>
      </w:r>
      <w:smartTag w:uri="urn:schemas-microsoft-com:office:smarttags" w:element="country-region">
        <w:smartTag w:uri="urn:schemas-microsoft-com:office:smarttags" w:element="place">
          <w:r w:rsidRPr="00280FDC">
            <w:t>UK</w:t>
          </w:r>
        </w:smartTag>
      </w:smartTag>
      <w:r w:rsidRPr="00280FDC">
        <w:t xml:space="preserve"> law with the ECHR which has been recognized as a de facto Bill of Rights among members of the EU. However the ECHR has limited effect in the </w:t>
      </w:r>
      <w:smartTag w:uri="urn:schemas-microsoft-com:office:smarttags" w:element="place">
        <w:smartTag w:uri="urn:schemas-microsoft-com:office:smarttags" w:element="country-region">
          <w:r w:rsidRPr="00280FDC">
            <w:t>UK</w:t>
          </w:r>
        </w:smartTag>
      </w:smartTag>
      <w:r w:rsidRPr="00280FDC">
        <w:t xml:space="preserve"> and the HRA 1998 falls short of an entrenched constitutional Bill of Rights.</w:t>
      </w:r>
    </w:p>
    <w:p w:rsidR="003A1A50" w:rsidRDefault="003A1A50" w:rsidP="003A1A50">
      <w:pPr>
        <w:jc w:val="center"/>
      </w:pPr>
      <w:r>
        <w:t>_________________________________</w:t>
      </w:r>
    </w:p>
    <w:p w:rsidR="003A1A50" w:rsidRDefault="003A1A50" w:rsidP="003A1A50"/>
    <w:p w:rsidR="003A1A50" w:rsidRDefault="003A1A50" w:rsidP="003A1A50"/>
    <w:p w:rsidR="003A1A50" w:rsidRDefault="003A1A50" w:rsidP="003A1A50">
      <w:r>
        <w:t>(Words: 1,702)</w:t>
      </w:r>
    </w:p>
    <w:p w:rsidR="003A1A50" w:rsidRDefault="003A1A50" w:rsidP="003A1A50"/>
    <w:p w:rsidR="003A1A50" w:rsidRPr="00F03778" w:rsidRDefault="003A1A50" w:rsidP="003A1A50">
      <w:pPr>
        <w:jc w:val="center"/>
        <w:rPr>
          <w:b/>
        </w:rPr>
      </w:pPr>
      <w:r w:rsidRPr="00F03778">
        <w:rPr>
          <w:b/>
        </w:rPr>
        <w:t>Bibliography</w:t>
      </w:r>
    </w:p>
    <w:p w:rsidR="003A1A50" w:rsidRPr="00F03778" w:rsidRDefault="003A1A50" w:rsidP="003A1A50">
      <w:r w:rsidRPr="00F03778">
        <w:t xml:space="preserve">   </w:t>
      </w:r>
    </w:p>
    <w:p w:rsidR="003A1A50" w:rsidRPr="00F03778" w:rsidRDefault="003A1A50" w:rsidP="003A1A50">
      <w:pPr>
        <w:numPr>
          <w:ilvl w:val="0"/>
          <w:numId w:val="1"/>
        </w:numPr>
      </w:pPr>
      <w:r w:rsidRPr="00F03778">
        <w:t xml:space="preserve">Hilaire Barnett &amp; Marinos Diamantides, Public Law Subject Guide (2007),University </w:t>
      </w:r>
      <w:smartTag w:uri="urn:schemas-microsoft-com:office:smarttags" w:element="place">
        <w:smartTag w:uri="urn:schemas-microsoft-com:office:smarttags" w:element="City">
          <w:r w:rsidRPr="00F03778">
            <w:t>London</w:t>
          </w:r>
        </w:smartTag>
      </w:smartTag>
      <w:r w:rsidRPr="00F03778">
        <w:t xml:space="preserve"> Press.</w:t>
      </w:r>
    </w:p>
    <w:p w:rsidR="003A1A50" w:rsidRPr="00F03778" w:rsidRDefault="003A1A50" w:rsidP="003A1A50">
      <w:pPr>
        <w:numPr>
          <w:ilvl w:val="0"/>
          <w:numId w:val="1"/>
        </w:numPr>
      </w:pPr>
      <w:r w:rsidRPr="00F03778">
        <w:t>Hilari Barnett, Constitution &amp;Administrarion Law 8</w:t>
      </w:r>
      <w:r w:rsidRPr="00F03778">
        <w:rPr>
          <w:vertAlign w:val="superscript"/>
        </w:rPr>
        <w:t>th</w:t>
      </w:r>
      <w:r w:rsidRPr="00F03778">
        <w:t xml:space="preserve"> Edition.</w:t>
      </w:r>
    </w:p>
    <w:p w:rsidR="003A1A50" w:rsidRPr="00F03778" w:rsidRDefault="003A1A50" w:rsidP="003A1A50">
      <w:pPr>
        <w:numPr>
          <w:ilvl w:val="0"/>
          <w:numId w:val="1"/>
        </w:numPr>
      </w:pPr>
      <w:r w:rsidRPr="00F03778">
        <w:t xml:space="preserve">Dworkin, Ronald; A Bill of Rights for </w:t>
      </w:r>
      <w:smartTag w:uri="urn:schemas-microsoft-com:office:smarttags" w:element="country-region">
        <w:r w:rsidRPr="00F03778">
          <w:t>Britain</w:t>
        </w:r>
      </w:smartTag>
      <w:r w:rsidRPr="00F03778">
        <w:t xml:space="preserve">, </w:t>
      </w:r>
      <w:smartTag w:uri="urn:schemas-microsoft-com:office:smarttags" w:element="City">
        <w:smartTag w:uri="urn:schemas-microsoft-com:office:smarttags" w:element="place">
          <w:r w:rsidRPr="00F03778">
            <w:t>London</w:t>
          </w:r>
        </w:smartTag>
      </w:smartTag>
      <w:r w:rsidRPr="00F03778">
        <w:t xml:space="preserve"> (1990) Chatto &amp; Windus</w:t>
      </w:r>
    </w:p>
    <w:p w:rsidR="003A1A50" w:rsidRPr="00F03778" w:rsidRDefault="003A1A50" w:rsidP="003A1A50">
      <w:pPr>
        <w:numPr>
          <w:ilvl w:val="0"/>
          <w:numId w:val="1"/>
        </w:numPr>
      </w:pPr>
      <w:r w:rsidRPr="00F03778">
        <w:t>Adam Gearey, Wayne Morrison &amp; Robert Jago, The Politics of Common Law (2010), Routledge-Cavendish.</w:t>
      </w:r>
    </w:p>
    <w:p w:rsidR="003A1A50" w:rsidRPr="00F03778" w:rsidRDefault="003A1A50" w:rsidP="003A1A50">
      <w:pPr>
        <w:numPr>
          <w:ilvl w:val="0"/>
          <w:numId w:val="1"/>
        </w:numPr>
      </w:pPr>
      <w:r w:rsidRPr="00F03778">
        <w:t xml:space="preserve">Blackstone’s Guide to the Human Rights Act, Blackstone Press, </w:t>
      </w:r>
      <w:smartTag w:uri="urn:schemas-microsoft-com:office:smarttags" w:element="City">
        <w:smartTag w:uri="urn:schemas-microsoft-com:office:smarttags" w:element="place">
          <w:r w:rsidRPr="00F03778">
            <w:t>London</w:t>
          </w:r>
        </w:smartTag>
      </w:smartTag>
      <w:r w:rsidRPr="00F03778">
        <w:t>, October 1998</w:t>
      </w:r>
    </w:p>
    <w:p w:rsidR="003A1A50" w:rsidRPr="00F03778" w:rsidRDefault="003A1A50" w:rsidP="003A1A50">
      <w:pPr>
        <w:numPr>
          <w:ilvl w:val="0"/>
          <w:numId w:val="1"/>
        </w:numPr>
      </w:pPr>
      <w:r w:rsidRPr="00F03778">
        <w:t xml:space="preserve">Helen Fenwick, Civil Liberties and Human Rights, Cavendish 2002                                             </w:t>
      </w:r>
    </w:p>
    <w:p w:rsidR="003A1A50" w:rsidRPr="00F03778" w:rsidRDefault="003A1A50" w:rsidP="003A1A50">
      <w:pPr>
        <w:rPr>
          <w:color w:val="555555"/>
        </w:rPr>
      </w:pPr>
    </w:p>
    <w:p w:rsidR="003A1A50" w:rsidRPr="00F03778" w:rsidRDefault="003A1A50" w:rsidP="003A1A50">
      <w:pPr>
        <w:jc w:val="center"/>
        <w:rPr>
          <w:b/>
        </w:rPr>
      </w:pPr>
      <w:r w:rsidRPr="00F03778">
        <w:rPr>
          <w:b/>
        </w:rPr>
        <w:t>References</w:t>
      </w:r>
    </w:p>
    <w:p w:rsidR="003A1A50" w:rsidRPr="00F03778" w:rsidRDefault="003A1A50" w:rsidP="003A1A50">
      <w:pPr>
        <w:rPr>
          <w:b/>
        </w:rPr>
      </w:pPr>
    </w:p>
    <w:p w:rsidR="003A1A50" w:rsidRPr="00F03778" w:rsidRDefault="003A1A50" w:rsidP="003A1A50">
      <w:pPr>
        <w:numPr>
          <w:ilvl w:val="0"/>
          <w:numId w:val="2"/>
        </w:numPr>
        <w:rPr>
          <w:b/>
        </w:rPr>
      </w:pPr>
      <w:r w:rsidRPr="00F03778">
        <w:t>Amos,M.(2007),‘ The Impact of the Human Rights Act on the UK’s Performance Before the European Court of Human Rights’, Public Law 655</w:t>
      </w:r>
    </w:p>
    <w:p w:rsidR="003A1A50" w:rsidRPr="00F03778" w:rsidRDefault="003A1A50" w:rsidP="003A1A50">
      <w:pPr>
        <w:numPr>
          <w:ilvl w:val="0"/>
          <w:numId w:val="2"/>
        </w:numPr>
        <w:rPr>
          <w:b/>
        </w:rPr>
      </w:pPr>
      <w:smartTag w:uri="urn:schemas-microsoft-com:office:smarttags" w:element="place">
        <w:smartTag w:uri="urn:schemas-microsoft-com:office:smarttags" w:element="City">
          <w:r w:rsidRPr="00F03778">
            <w:t>Irvine</w:t>
          </w:r>
        </w:smartTag>
      </w:smartTag>
      <w:r w:rsidRPr="00F03778">
        <w:t xml:space="preserve"> of Lairg, Lord (2003),’The Impact of the Human Rights Act: Parliament, the Courts and the Exacutive’,Public Law.</w:t>
      </w:r>
    </w:p>
    <w:p w:rsidR="003A1A50" w:rsidRPr="00F03778" w:rsidRDefault="003A1A50" w:rsidP="003A1A50">
      <w:pPr>
        <w:numPr>
          <w:ilvl w:val="0"/>
          <w:numId w:val="2"/>
        </w:numPr>
        <w:rPr>
          <w:b/>
        </w:rPr>
      </w:pPr>
      <w:r w:rsidRPr="00F03778">
        <w:t>Nicol,D.(2006),‘Law and Politics after the Human Rights Act’,Public Law,722.</w:t>
      </w:r>
    </w:p>
    <w:p w:rsidR="003A1A50" w:rsidRPr="00F03778" w:rsidRDefault="003A1A50" w:rsidP="003A1A50">
      <w:pPr>
        <w:numPr>
          <w:ilvl w:val="0"/>
          <w:numId w:val="2"/>
        </w:numPr>
        <w:rPr>
          <w:b/>
        </w:rPr>
      </w:pPr>
      <w:r w:rsidRPr="00F03778">
        <w:t>Steyn, Lord (2005) ,’Deference: A Tangled Story’, Public Law, 346</w:t>
      </w:r>
    </w:p>
    <w:p w:rsidR="003A1A50" w:rsidRPr="00F03778" w:rsidRDefault="003A1A50" w:rsidP="003A1A50">
      <w:pPr>
        <w:numPr>
          <w:ilvl w:val="0"/>
          <w:numId w:val="2"/>
        </w:numPr>
        <w:rPr>
          <w:b/>
        </w:rPr>
      </w:pPr>
      <w:r w:rsidRPr="00F03778">
        <w:t>Young, A. (2005),’ A peculiarly British Protection of Human Rights’, Modern Law Review, 68:858.</w:t>
      </w:r>
    </w:p>
    <w:p w:rsidR="003A1A50" w:rsidRDefault="003A1A50" w:rsidP="003A1A50">
      <w:pPr>
        <w:rPr>
          <w:rFonts w:ascii="Arial" w:hAnsi="Arial" w:cs="Arial"/>
          <w:color w:val="555555"/>
          <w:sz w:val="20"/>
          <w:szCs w:val="20"/>
        </w:rPr>
      </w:pPr>
    </w:p>
    <w:p w:rsidR="00024D2E" w:rsidRDefault="00024D2E"/>
    <w:p w:rsidR="00543C1C" w:rsidRDefault="00543C1C"/>
    <w:p w:rsidR="00543C1C" w:rsidRDefault="00543C1C">
      <w:r>
        <w:lastRenderedPageBreak/>
        <w:t>SAMPLE No:-2</w:t>
      </w:r>
    </w:p>
    <w:p w:rsidR="00543C1C" w:rsidRDefault="00543C1C"/>
    <w:p w:rsidR="00543C1C" w:rsidRDefault="00543C1C"/>
    <w:p w:rsidR="00543C1C" w:rsidRPr="004640A9" w:rsidRDefault="00543C1C" w:rsidP="00543C1C">
      <w:pPr>
        <w:jc w:val="center"/>
        <w:rPr>
          <w:b/>
          <w:sz w:val="28"/>
          <w:szCs w:val="28"/>
        </w:rPr>
      </w:pPr>
      <w:r w:rsidRPr="004640A9">
        <w:rPr>
          <w:b/>
          <w:sz w:val="28"/>
          <w:szCs w:val="28"/>
        </w:rPr>
        <w:t xml:space="preserve">Essay </w:t>
      </w:r>
      <w:r>
        <w:rPr>
          <w:b/>
          <w:sz w:val="28"/>
          <w:szCs w:val="28"/>
        </w:rPr>
        <w:t>Title:</w:t>
      </w:r>
    </w:p>
    <w:p w:rsidR="00543C1C" w:rsidRPr="003D4594" w:rsidRDefault="00543C1C" w:rsidP="00543C1C">
      <w:pPr>
        <w:jc w:val="center"/>
        <w:rPr>
          <w:b/>
          <w:sz w:val="28"/>
          <w:szCs w:val="28"/>
        </w:rPr>
      </w:pPr>
    </w:p>
    <w:p w:rsidR="00543C1C" w:rsidRPr="003D4594" w:rsidRDefault="00543C1C" w:rsidP="00543C1C">
      <w:pPr>
        <w:jc w:val="center"/>
        <w:rPr>
          <w:b/>
          <w:sz w:val="28"/>
          <w:szCs w:val="28"/>
        </w:rPr>
      </w:pPr>
      <w:r w:rsidRPr="003D4594">
        <w:rPr>
          <w:b/>
          <w:color w:val="2A2A2A"/>
          <w:sz w:val="28"/>
          <w:szCs w:val="28"/>
        </w:rPr>
        <w:t>‘Judicial Precedent is best understood as a Practice of the courts and not as a set of binding rules. As a practice it could be refined or changed by the courts as they wish.’ Discuss?</w:t>
      </w:r>
    </w:p>
    <w:p w:rsidR="00543C1C" w:rsidRPr="004640A9" w:rsidRDefault="00543C1C" w:rsidP="00543C1C">
      <w:pPr>
        <w:jc w:val="center"/>
        <w:rPr>
          <w:b/>
          <w:sz w:val="28"/>
          <w:szCs w:val="28"/>
        </w:rPr>
      </w:pPr>
    </w:p>
    <w:p w:rsidR="00543C1C" w:rsidRPr="004640A9" w:rsidRDefault="00543C1C" w:rsidP="00543C1C">
      <w:pPr>
        <w:jc w:val="center"/>
        <w:rPr>
          <w:b/>
          <w:sz w:val="28"/>
          <w:szCs w:val="28"/>
        </w:rPr>
      </w:pPr>
    </w:p>
    <w:p w:rsidR="00543C1C" w:rsidRPr="004640A9" w:rsidRDefault="00543C1C" w:rsidP="00543C1C">
      <w:pPr>
        <w:jc w:val="center"/>
        <w:rPr>
          <w:b/>
          <w:sz w:val="28"/>
          <w:szCs w:val="28"/>
        </w:rPr>
      </w:pPr>
    </w:p>
    <w:p w:rsidR="00543C1C" w:rsidRPr="004640A9" w:rsidRDefault="00543C1C" w:rsidP="00543C1C">
      <w:pPr>
        <w:jc w:val="center"/>
        <w:rPr>
          <w:b/>
          <w:sz w:val="28"/>
          <w:szCs w:val="28"/>
        </w:rPr>
      </w:pPr>
    </w:p>
    <w:p w:rsidR="00543C1C" w:rsidRPr="004640A9" w:rsidRDefault="00543C1C" w:rsidP="00543C1C">
      <w:pPr>
        <w:jc w:val="center"/>
        <w:rPr>
          <w:b/>
          <w:sz w:val="28"/>
          <w:szCs w:val="28"/>
        </w:rPr>
      </w:pPr>
    </w:p>
    <w:p w:rsidR="00543C1C" w:rsidRPr="004640A9" w:rsidRDefault="00543C1C" w:rsidP="00543C1C">
      <w:pPr>
        <w:jc w:val="center"/>
        <w:rPr>
          <w:b/>
          <w:sz w:val="28"/>
          <w:szCs w:val="28"/>
        </w:rPr>
      </w:pPr>
    </w:p>
    <w:p w:rsidR="00543C1C" w:rsidRPr="004640A9" w:rsidRDefault="00543C1C" w:rsidP="00543C1C">
      <w:pPr>
        <w:rPr>
          <w:b/>
          <w:sz w:val="28"/>
          <w:szCs w:val="28"/>
        </w:rPr>
      </w:pPr>
    </w:p>
    <w:p w:rsidR="00543C1C" w:rsidRPr="00916D76" w:rsidRDefault="00543C1C" w:rsidP="00543C1C">
      <w:pPr>
        <w:jc w:val="both"/>
      </w:pPr>
    </w:p>
    <w:p w:rsidR="00543C1C" w:rsidRDefault="00543C1C" w:rsidP="00543C1C">
      <w:pPr>
        <w:jc w:val="both"/>
      </w:pPr>
    </w:p>
    <w:p w:rsidR="00543C1C" w:rsidRDefault="00543C1C" w:rsidP="00543C1C"/>
    <w:p w:rsidR="00543C1C" w:rsidRDefault="00543C1C" w:rsidP="00543C1C">
      <w:pPr>
        <w:pStyle w:val="ecxmsonormal"/>
        <w:spacing w:line="360" w:lineRule="auto"/>
        <w:jc w:val="both"/>
        <w:rPr>
          <w:color w:val="2A2A2A"/>
        </w:rPr>
      </w:pPr>
    </w:p>
    <w:p w:rsidR="00543C1C" w:rsidRDefault="00543C1C" w:rsidP="00543C1C">
      <w:pPr>
        <w:pStyle w:val="ecxmsonormal"/>
        <w:spacing w:line="360" w:lineRule="auto"/>
        <w:jc w:val="both"/>
      </w:pPr>
    </w:p>
    <w:p w:rsidR="00543C1C" w:rsidRPr="00B5236D" w:rsidRDefault="00543C1C" w:rsidP="00543C1C">
      <w:pPr>
        <w:pStyle w:val="ecxmsonormal"/>
        <w:spacing w:line="360" w:lineRule="auto"/>
        <w:jc w:val="both"/>
        <w:rPr>
          <w:color w:val="2A2A2A"/>
        </w:rPr>
      </w:pPr>
      <w:r w:rsidRPr="0016082E">
        <w:br w:type="page"/>
      </w:r>
      <w:r w:rsidRPr="00AA79AE">
        <w:rPr>
          <w:bCs/>
          <w:color w:val="000000"/>
        </w:rPr>
        <w:lastRenderedPageBreak/>
        <w:t>Judicial Precedent</w:t>
      </w:r>
      <w:r w:rsidRPr="00B5236D">
        <w:rPr>
          <w:b/>
          <w:bCs/>
          <w:color w:val="000000"/>
        </w:rPr>
        <w:t xml:space="preserve"> </w:t>
      </w:r>
      <w:r w:rsidRPr="00B5236D">
        <w:rPr>
          <w:color w:val="000000"/>
        </w:rPr>
        <w:t xml:space="preserve">refers to the way in which the law is made and amended through the decisions of judges. The doctrine of judicial precedent is based on the principle of stare decisis, this means that like cases should be treated alike.  The general rule is that all courts are bound to follow decisions made by courts higher than themselves in the hierarchy and appellate courts are usually bound by their own previous decisions. Where there is no previous judicial decision on a point of law before the court then the decision made in that case on that point of law will be original precedent.  The way in </w:t>
      </w:r>
      <w:r>
        <w:rPr>
          <w:color w:val="000000"/>
        </w:rPr>
        <w:t>which a judge will come to his/her</w:t>
      </w:r>
      <w:r w:rsidRPr="00B5236D">
        <w:rPr>
          <w:color w:val="000000"/>
        </w:rPr>
        <w:t xml:space="preserve"> decision in this situation is to look at cases which are similar to the one in question.  These cases are not binding on the court but they are persuasive. To some extent it can be said that the Judicial Precedent is a practice of the courts and not a set of binding rules. By over viewing the hierarchy of the courts in light of the doctrine of Judicial Precedents it will become obvious that it is a practice that could be changed or refined by the courts as they wish.</w:t>
      </w:r>
    </w:p>
    <w:p w:rsidR="00543C1C" w:rsidRPr="00AA79AE" w:rsidRDefault="00543C1C" w:rsidP="00543C1C">
      <w:pPr>
        <w:pStyle w:val="ecxmsonormal"/>
        <w:spacing w:line="360" w:lineRule="auto"/>
        <w:jc w:val="both"/>
      </w:pPr>
      <w:r w:rsidRPr="00AA79AE">
        <w:t xml:space="preserve"> In order for the doctrine of judicial precedent to work, it is necessary to be able to determine what a point of law is. In the course of delivering a judgment, the judge will set out their reasons for reaching a decision. The reasons which are necessary for them to reach their decision amount to the </w:t>
      </w:r>
      <w:r w:rsidRPr="00AA79AE">
        <w:rPr>
          <w:i/>
          <w:iCs/>
        </w:rPr>
        <w:t>ratio decidendi</w:t>
      </w:r>
      <w:r w:rsidRPr="00AA79AE">
        <w:t xml:space="preserve"> of the case. The </w:t>
      </w:r>
      <w:r w:rsidRPr="00AA79AE">
        <w:rPr>
          <w:i/>
          <w:iCs/>
        </w:rPr>
        <w:t>ratio decidendi</w:t>
      </w:r>
      <w:r w:rsidRPr="00AA79AE">
        <w:t xml:space="preserve"> forms the legal principle</w:t>
      </w:r>
      <w:r>
        <w:t xml:space="preserve">, </w:t>
      </w:r>
      <w:r w:rsidRPr="00AA79AE">
        <w:t xml:space="preserve">which is a </w:t>
      </w:r>
      <w:hyperlink r:id="rId8" w:tgtFrame="_blank" w:history="1">
        <w:r w:rsidRPr="00AA79AE">
          <w:rPr>
            <w:rStyle w:val="Hyperlink"/>
          </w:rPr>
          <w:t>binding precedent</w:t>
        </w:r>
      </w:hyperlink>
      <w:r>
        <w:t>,</w:t>
      </w:r>
      <w:r w:rsidRPr="00AA79AE">
        <w:t xml:space="preserve"> meaning it must be followed in future cases containing the same material facts. It is important to separate the </w:t>
      </w:r>
      <w:r w:rsidRPr="00AA79AE">
        <w:rPr>
          <w:i/>
          <w:iCs/>
        </w:rPr>
        <w:t>ratio decidendi</w:t>
      </w:r>
      <w:r w:rsidRPr="00AA79AE">
        <w:t xml:space="preserve"> from the </w:t>
      </w:r>
      <w:r w:rsidRPr="00AA79AE">
        <w:rPr>
          <w:i/>
          <w:iCs/>
        </w:rPr>
        <w:t>obiter dicta</w:t>
      </w:r>
      <w:r w:rsidRPr="00AA79AE">
        <w:t xml:space="preserve">. The </w:t>
      </w:r>
      <w:r w:rsidRPr="00AA79AE">
        <w:rPr>
          <w:i/>
          <w:iCs/>
        </w:rPr>
        <w:t>obiter dicta</w:t>
      </w:r>
      <w:r>
        <w:t xml:space="preserve"> concerns matters</w:t>
      </w:r>
      <w:r w:rsidRPr="00AA79AE">
        <w:t xml:space="preserve"> stated in the course of a judgment which are not necessary for the decision.</w:t>
      </w:r>
    </w:p>
    <w:p w:rsidR="00543C1C" w:rsidRDefault="00543C1C" w:rsidP="00543C1C">
      <w:pPr>
        <w:pStyle w:val="ecxmsonormal"/>
        <w:spacing w:line="360" w:lineRule="auto"/>
        <w:jc w:val="both"/>
        <w:rPr>
          <w:color w:val="000000"/>
        </w:rPr>
      </w:pPr>
      <w:r>
        <w:rPr>
          <w:color w:val="000000"/>
        </w:rPr>
        <w:t>Different courts practice precedents differently:</w:t>
      </w:r>
    </w:p>
    <w:p w:rsidR="00543C1C" w:rsidRPr="00B5236D" w:rsidRDefault="00543C1C" w:rsidP="00543C1C">
      <w:pPr>
        <w:pStyle w:val="ecxmsonormal"/>
        <w:spacing w:line="360" w:lineRule="auto"/>
        <w:jc w:val="both"/>
        <w:rPr>
          <w:color w:val="2A2A2A"/>
        </w:rPr>
      </w:pPr>
      <w:r>
        <w:rPr>
          <w:color w:val="2A2A2A"/>
        </w:rPr>
        <w:t>In regards to the European Court of Justice, u</w:t>
      </w:r>
      <w:r w:rsidRPr="00B5236D">
        <w:rPr>
          <w:color w:val="2A2A2A"/>
        </w:rPr>
        <w:t>nder s3</w:t>
      </w:r>
      <w:r>
        <w:rPr>
          <w:color w:val="2A2A2A"/>
        </w:rPr>
        <w:t xml:space="preserve"> </w:t>
      </w:r>
      <w:r w:rsidRPr="00B5236D">
        <w:rPr>
          <w:color w:val="2A2A2A"/>
        </w:rPr>
        <w:t>(1) of the European Communities Act 1972,</w:t>
      </w:r>
      <w:r>
        <w:rPr>
          <w:color w:val="2A2A2A"/>
        </w:rPr>
        <w:t xml:space="preserve"> </w:t>
      </w:r>
      <w:r w:rsidRPr="00B5236D">
        <w:rPr>
          <w:color w:val="2A2A2A"/>
        </w:rPr>
        <w:t>decisions of the ECJ are binding, in matters of Commu</w:t>
      </w:r>
      <w:r>
        <w:rPr>
          <w:color w:val="2A2A2A"/>
        </w:rPr>
        <w:t>nity law, on all English courts</w:t>
      </w:r>
      <w:r w:rsidRPr="00B5236D">
        <w:rPr>
          <w:color w:val="2A2A2A"/>
        </w:rPr>
        <w:t>.</w:t>
      </w:r>
      <w:r>
        <w:rPr>
          <w:color w:val="2A2A2A"/>
        </w:rPr>
        <w:t xml:space="preserve"> </w:t>
      </w:r>
      <w:r w:rsidRPr="00B5236D">
        <w:rPr>
          <w:color w:val="2A2A2A"/>
        </w:rPr>
        <w:t>It is not bound by its own previous decisions.</w:t>
      </w:r>
    </w:p>
    <w:p w:rsidR="00543C1C" w:rsidRDefault="00543C1C" w:rsidP="00543C1C">
      <w:pPr>
        <w:pStyle w:val="ecxmsonormal"/>
        <w:spacing w:line="360" w:lineRule="auto"/>
        <w:jc w:val="both"/>
        <w:rPr>
          <w:color w:val="2A2A2A"/>
        </w:rPr>
      </w:pPr>
      <w:r w:rsidRPr="00B5236D">
        <w:rPr>
          <w:color w:val="2A2A2A"/>
        </w:rPr>
        <w:t xml:space="preserve">The House of Lords was not bound by its own previous decisions until the case of </w:t>
      </w:r>
      <w:smartTag w:uri="urn:schemas-microsoft-com:office:smarttags" w:element="Street">
        <w:smartTag w:uri="urn:schemas-microsoft-com:office:smarttags" w:element="address">
          <w:r w:rsidRPr="002E608B">
            <w:rPr>
              <w:i/>
              <w:iCs/>
              <w:color w:val="2A2A2A"/>
              <w:u w:val="single"/>
            </w:rPr>
            <w:t>London Street</w:t>
          </w:r>
        </w:smartTag>
      </w:smartTag>
      <w:r w:rsidRPr="002E608B">
        <w:rPr>
          <w:i/>
          <w:iCs/>
          <w:color w:val="2A2A2A"/>
          <w:u w:val="single"/>
        </w:rPr>
        <w:t xml:space="preserve"> Tramways v </w:t>
      </w:r>
      <w:smartTag w:uri="urn:schemas-microsoft-com:office:smarttags" w:element="place">
        <w:smartTag w:uri="urn:schemas-microsoft-com:office:smarttags" w:element="PlaceName">
          <w:r w:rsidRPr="002E608B">
            <w:rPr>
              <w:i/>
              <w:iCs/>
              <w:color w:val="2A2A2A"/>
              <w:u w:val="single"/>
            </w:rPr>
            <w:t>London</w:t>
          </w:r>
        </w:smartTag>
        <w:r w:rsidRPr="002E608B">
          <w:rPr>
            <w:i/>
            <w:iCs/>
            <w:color w:val="2A2A2A"/>
            <w:u w:val="single"/>
          </w:rPr>
          <w:t xml:space="preserve"> </w:t>
        </w:r>
        <w:smartTag w:uri="urn:schemas-microsoft-com:office:smarttags" w:element="PlaceType">
          <w:r w:rsidRPr="002E608B">
            <w:rPr>
              <w:i/>
              <w:iCs/>
              <w:color w:val="2A2A2A"/>
              <w:u w:val="single"/>
            </w:rPr>
            <w:t>County</w:t>
          </w:r>
        </w:smartTag>
        <w:r w:rsidRPr="002E608B">
          <w:rPr>
            <w:i/>
            <w:iCs/>
            <w:color w:val="2A2A2A"/>
            <w:u w:val="single"/>
          </w:rPr>
          <w:t xml:space="preserve"> </w:t>
        </w:r>
        <w:smartTag w:uri="urn:schemas-microsoft-com:office:smarttags" w:element="PlaceType">
          <w:r w:rsidRPr="002E608B">
            <w:rPr>
              <w:i/>
              <w:iCs/>
              <w:color w:val="2A2A2A"/>
              <w:u w:val="single"/>
            </w:rPr>
            <w:t>County</w:t>
          </w:r>
        </w:smartTag>
      </w:smartTag>
      <w:r w:rsidRPr="002E608B">
        <w:rPr>
          <w:i/>
          <w:iCs/>
          <w:color w:val="2A2A2A"/>
          <w:u w:val="single"/>
        </w:rPr>
        <w:t xml:space="preserve"> Council</w:t>
      </w:r>
      <w:r w:rsidRPr="00B5236D">
        <w:rPr>
          <w:i/>
          <w:iCs/>
          <w:color w:val="2A2A2A"/>
        </w:rPr>
        <w:t xml:space="preserve"> </w:t>
      </w:r>
      <w:r w:rsidRPr="00B5236D">
        <w:rPr>
          <w:color w:val="2A2A2A"/>
        </w:rPr>
        <w:t>(1898)</w:t>
      </w:r>
      <w:r>
        <w:rPr>
          <w:color w:val="2A2A2A"/>
        </w:rPr>
        <w:t xml:space="preserve"> </w:t>
      </w:r>
      <w:r w:rsidRPr="00B5236D">
        <w:rPr>
          <w:color w:val="2A2A2A"/>
        </w:rPr>
        <w:t>when it bound itself in the interests of certainty. Then the Practice Statement (1966), issued by the LC, stated that although the House of Lords would treat its decisions as normally binding it would depart from</w:t>
      </w:r>
      <w:r>
        <w:rPr>
          <w:color w:val="2A2A2A"/>
        </w:rPr>
        <w:t xml:space="preserve"> </w:t>
      </w:r>
      <w:r w:rsidRPr="00B5236D">
        <w:rPr>
          <w:color w:val="2A2A2A"/>
        </w:rPr>
        <w:t>these when it appeared right to do so.</w:t>
      </w:r>
    </w:p>
    <w:p w:rsidR="00543C1C" w:rsidRPr="00B5236D" w:rsidRDefault="00543C1C" w:rsidP="00543C1C">
      <w:pPr>
        <w:pStyle w:val="ecxmsonormal"/>
        <w:spacing w:line="360" w:lineRule="auto"/>
        <w:jc w:val="both"/>
        <w:rPr>
          <w:color w:val="2A2A2A"/>
        </w:rPr>
      </w:pPr>
      <w:r w:rsidRPr="00B5236D">
        <w:rPr>
          <w:color w:val="2A2A2A"/>
        </w:rPr>
        <w:lastRenderedPageBreak/>
        <w:t xml:space="preserve">The Court of Appeal is bound by decisions of the House of Lords even if it considers them to be wrong. In </w:t>
      </w:r>
      <w:r w:rsidRPr="002E608B">
        <w:rPr>
          <w:i/>
          <w:iCs/>
          <w:color w:val="2A2A2A"/>
          <w:u w:val="single"/>
        </w:rPr>
        <w:t>Young v Bristol Aeroplane Co Ltd</w:t>
      </w:r>
      <w:r w:rsidRPr="00B5236D">
        <w:rPr>
          <w:i/>
          <w:iCs/>
          <w:color w:val="2A2A2A"/>
        </w:rPr>
        <w:t xml:space="preserve"> </w:t>
      </w:r>
      <w:r>
        <w:rPr>
          <w:color w:val="2A2A2A"/>
        </w:rPr>
        <w:t>[1944]</w:t>
      </w:r>
      <w:r w:rsidRPr="00B5236D">
        <w:rPr>
          <w:color w:val="2A2A2A"/>
        </w:rPr>
        <w:t>, the Court of Appeal (civil division) held that it was</w:t>
      </w:r>
      <w:r>
        <w:rPr>
          <w:color w:val="2A2A2A"/>
        </w:rPr>
        <w:t xml:space="preserve"> </w:t>
      </w:r>
      <w:r w:rsidRPr="00B5236D">
        <w:rPr>
          <w:color w:val="2A2A2A"/>
        </w:rPr>
        <w:t xml:space="preserve">bound by its own previous decisions subject to the following three exceptions:  Where there are two conflicting decisions, the CA must decide which </w:t>
      </w:r>
      <w:r>
        <w:rPr>
          <w:color w:val="2A2A2A"/>
        </w:rPr>
        <w:t>to follow and which to reject. </w:t>
      </w:r>
      <w:r w:rsidRPr="00B5236D">
        <w:rPr>
          <w:color w:val="2A2A2A"/>
        </w:rPr>
        <w:t>Where</w:t>
      </w:r>
      <w:r>
        <w:rPr>
          <w:color w:val="2A2A2A"/>
        </w:rPr>
        <w:t>,</w:t>
      </w:r>
      <w:r w:rsidRPr="00B5236D">
        <w:rPr>
          <w:color w:val="2A2A2A"/>
        </w:rPr>
        <w:t xml:space="preserve"> a decision of its own has been</w:t>
      </w:r>
      <w:r>
        <w:rPr>
          <w:color w:val="2A2A2A"/>
        </w:rPr>
        <w:t xml:space="preserve"> </w:t>
      </w:r>
      <w:r w:rsidRPr="00B5236D">
        <w:rPr>
          <w:color w:val="2A2A2A"/>
        </w:rPr>
        <w:t xml:space="preserve">impliedly overruled by the House of Lords. The previous decision was given </w:t>
      </w:r>
      <w:r w:rsidRPr="00B5236D">
        <w:rPr>
          <w:i/>
          <w:iCs/>
          <w:color w:val="2A2A2A"/>
        </w:rPr>
        <w:t>per</w:t>
      </w:r>
      <w:r>
        <w:rPr>
          <w:i/>
          <w:iCs/>
          <w:color w:val="2A2A2A"/>
        </w:rPr>
        <w:t xml:space="preserve"> </w:t>
      </w:r>
      <w:r w:rsidRPr="00B5236D">
        <w:rPr>
          <w:i/>
          <w:iCs/>
          <w:color w:val="2A2A2A"/>
        </w:rPr>
        <w:t xml:space="preserve">incuriam </w:t>
      </w:r>
      <w:r w:rsidRPr="00B5236D">
        <w:rPr>
          <w:color w:val="2A2A2A"/>
        </w:rPr>
        <w:t xml:space="preserve">(by carelessness or mistake). In the criminal division, in addition to the </w:t>
      </w:r>
      <w:r w:rsidRPr="00B5236D">
        <w:rPr>
          <w:i/>
          <w:iCs/>
          <w:color w:val="2A2A2A"/>
        </w:rPr>
        <w:t>Young</w:t>
      </w:r>
      <w:r w:rsidRPr="00B5236D">
        <w:rPr>
          <w:color w:val="2A2A2A"/>
        </w:rPr>
        <w:t xml:space="preserve"> exceptions, precedent is not followed as rigidly because a person's liberty may be at stake. In </w:t>
      </w:r>
      <w:r w:rsidRPr="00624A78">
        <w:rPr>
          <w:i/>
          <w:iCs/>
          <w:color w:val="2A2A2A"/>
          <w:u w:val="single"/>
        </w:rPr>
        <w:t xml:space="preserve">R v </w:t>
      </w:r>
      <w:smartTag w:uri="urn:schemas-microsoft-com:office:smarttags" w:element="place">
        <w:smartTag w:uri="urn:schemas-microsoft-com:office:smarttags" w:element="City">
          <w:r w:rsidRPr="00624A78">
            <w:rPr>
              <w:i/>
              <w:iCs/>
              <w:color w:val="2A2A2A"/>
              <w:u w:val="single"/>
            </w:rPr>
            <w:t>Taylor</w:t>
          </w:r>
        </w:smartTag>
      </w:smartTag>
      <w:r w:rsidRPr="00B5236D">
        <w:rPr>
          <w:i/>
          <w:iCs/>
          <w:color w:val="2A2A2A"/>
        </w:rPr>
        <w:t xml:space="preserve"> </w:t>
      </w:r>
      <w:r>
        <w:rPr>
          <w:color w:val="2A2A2A"/>
        </w:rPr>
        <w:t>[1950]</w:t>
      </w:r>
      <w:r w:rsidRPr="00B5236D">
        <w:rPr>
          <w:color w:val="2A2A2A"/>
        </w:rPr>
        <w:t xml:space="preserve"> the Court of Appeal held that if ‘the law has either been misapplied or misunderstood’ then it must reconsider the earlier decision.</w:t>
      </w:r>
    </w:p>
    <w:p w:rsidR="00543C1C" w:rsidRDefault="00543C1C" w:rsidP="00543C1C">
      <w:pPr>
        <w:pStyle w:val="ecxmsonormal"/>
        <w:spacing w:line="360" w:lineRule="auto"/>
        <w:jc w:val="both"/>
        <w:rPr>
          <w:color w:val="2A2A2A"/>
        </w:rPr>
      </w:pPr>
      <w:smartTag w:uri="urn:schemas-microsoft-com:office:smarttags" w:element="Street">
        <w:smartTag w:uri="urn:schemas-microsoft-com:office:smarttags" w:element="address">
          <w:r w:rsidRPr="00B5236D">
            <w:rPr>
              <w:color w:val="2A2A2A"/>
            </w:rPr>
            <w:t>A Divisional Court</w:t>
          </w:r>
        </w:smartTag>
      </w:smartTag>
      <w:r w:rsidRPr="00B5236D">
        <w:rPr>
          <w:color w:val="2A2A2A"/>
        </w:rPr>
        <w:t xml:space="preserve"> is bound by the House of Lords and the Court of Appeal and normally follows a previous decision of another </w:t>
      </w:r>
      <w:smartTag w:uri="urn:schemas-microsoft-com:office:smarttags" w:element="Street">
        <w:smartTag w:uri="urn:schemas-microsoft-com:office:smarttags" w:element="address">
          <w:r w:rsidRPr="00B5236D">
            <w:rPr>
              <w:color w:val="2A2A2A"/>
            </w:rPr>
            <w:t>Divisional Court</w:t>
          </w:r>
        </w:smartTag>
      </w:smartTag>
      <w:r w:rsidRPr="00B5236D">
        <w:rPr>
          <w:color w:val="2A2A2A"/>
        </w:rPr>
        <w:t xml:space="preserve"> but has similar exceptions to the CA.</w:t>
      </w:r>
    </w:p>
    <w:p w:rsidR="00543C1C" w:rsidRPr="00B5236D" w:rsidRDefault="00543C1C" w:rsidP="00543C1C">
      <w:pPr>
        <w:pStyle w:val="ecxmsonormal"/>
        <w:spacing w:line="360" w:lineRule="auto"/>
        <w:jc w:val="both"/>
        <w:rPr>
          <w:color w:val="2A2A2A"/>
        </w:rPr>
      </w:pPr>
      <w:r w:rsidRPr="00B5236D">
        <w:rPr>
          <w:color w:val="2A2A2A"/>
        </w:rPr>
        <w:t>The High Court is bound by the Court of Appeal and the House of Lords but is not bound by other High Court decisions. However, they are of strong persuasive authority in the High Court and are usually</w:t>
      </w:r>
      <w:r>
        <w:rPr>
          <w:color w:val="2A2A2A"/>
        </w:rPr>
        <w:t xml:space="preserve"> </w:t>
      </w:r>
      <w:r w:rsidRPr="00B5236D">
        <w:rPr>
          <w:color w:val="2A2A2A"/>
        </w:rPr>
        <w:t>followed. Decisions of individual High Court judges are binding on the county courts.</w:t>
      </w:r>
      <w:r>
        <w:rPr>
          <w:color w:val="2A2A2A"/>
        </w:rPr>
        <w:t xml:space="preserve"> However, u</w:t>
      </w:r>
      <w:r w:rsidRPr="00B5236D">
        <w:rPr>
          <w:color w:val="2A2A2A"/>
        </w:rPr>
        <w:t>nder the Human Rights Act 1998, English courts must now have regard to decisions</w:t>
      </w:r>
      <w:r>
        <w:rPr>
          <w:color w:val="2A2A2A"/>
        </w:rPr>
        <w:t xml:space="preserve"> </w:t>
      </w:r>
      <w:r w:rsidRPr="00B5236D">
        <w:rPr>
          <w:color w:val="2A2A2A"/>
        </w:rPr>
        <w:t xml:space="preserve">of the European Court of Human Rights. In </w:t>
      </w:r>
      <w:r w:rsidRPr="00624A78">
        <w:rPr>
          <w:i/>
          <w:iCs/>
          <w:color w:val="2A2A2A"/>
          <w:u w:val="single"/>
        </w:rPr>
        <w:t>Re Medicaments</w:t>
      </w:r>
      <w:r w:rsidRPr="00B5236D">
        <w:rPr>
          <w:i/>
          <w:iCs/>
          <w:color w:val="2A2A2A"/>
        </w:rPr>
        <w:t xml:space="preserve"> </w:t>
      </w:r>
      <w:r w:rsidRPr="00B5236D">
        <w:rPr>
          <w:color w:val="2A2A2A"/>
        </w:rPr>
        <w:t xml:space="preserve">(2001) the Court of Appeal refused to follow a decision of the House of Lords in </w:t>
      </w:r>
      <w:r w:rsidRPr="00624A78">
        <w:rPr>
          <w:i/>
          <w:iCs/>
          <w:color w:val="2A2A2A"/>
          <w:u w:val="single"/>
        </w:rPr>
        <w:t>R v Gough</w:t>
      </w:r>
      <w:r w:rsidRPr="00B5236D">
        <w:rPr>
          <w:i/>
          <w:iCs/>
          <w:color w:val="2A2A2A"/>
        </w:rPr>
        <w:t xml:space="preserve"> </w:t>
      </w:r>
      <w:r w:rsidRPr="00B5236D">
        <w:rPr>
          <w:color w:val="2A2A2A"/>
        </w:rPr>
        <w:t>(1996) because it was different to decisions of the ECHR.</w:t>
      </w:r>
    </w:p>
    <w:p w:rsidR="00543C1C" w:rsidRPr="00B5236D" w:rsidRDefault="00543C1C" w:rsidP="00543C1C">
      <w:pPr>
        <w:pStyle w:val="ecxmsonormal"/>
        <w:spacing w:line="360" w:lineRule="auto"/>
        <w:jc w:val="both"/>
        <w:rPr>
          <w:color w:val="2A2A2A"/>
        </w:rPr>
      </w:pPr>
      <w:r w:rsidRPr="00B5236D">
        <w:rPr>
          <w:color w:val="2A2A2A"/>
        </w:rPr>
        <w:t>Decisions made on points of law by judges sitting at the Crown Court are not binding, though they are</w:t>
      </w:r>
      <w:r>
        <w:rPr>
          <w:color w:val="2A2A2A"/>
        </w:rPr>
        <w:t xml:space="preserve"> of persuasive authority. Where</w:t>
      </w:r>
      <w:r w:rsidRPr="00B5236D">
        <w:rPr>
          <w:color w:val="2A2A2A"/>
        </w:rPr>
        <w:t>as</w:t>
      </w:r>
      <w:r>
        <w:rPr>
          <w:color w:val="2A2A2A"/>
        </w:rPr>
        <w:t>,</w:t>
      </w:r>
      <w:r w:rsidRPr="00B5236D">
        <w:rPr>
          <w:color w:val="2A2A2A"/>
        </w:rPr>
        <w:t xml:space="preserve"> in the COUNTY COURTS AND MAGISTRATES'</w:t>
      </w:r>
      <w:r>
        <w:rPr>
          <w:color w:val="2A2A2A"/>
        </w:rPr>
        <w:t xml:space="preserve"> </w:t>
      </w:r>
      <w:r w:rsidRPr="00B5236D">
        <w:rPr>
          <w:color w:val="2A2A2A"/>
        </w:rPr>
        <w:t>COURTS</w:t>
      </w:r>
      <w:r>
        <w:rPr>
          <w:color w:val="2A2A2A"/>
        </w:rPr>
        <w:t>, t</w:t>
      </w:r>
      <w:r w:rsidRPr="00B5236D">
        <w:rPr>
          <w:color w:val="2A2A2A"/>
        </w:rPr>
        <w:t>he decisions of these courts are not binding.</w:t>
      </w:r>
    </w:p>
    <w:p w:rsidR="00543C1C" w:rsidRPr="00B5236D" w:rsidRDefault="00543C1C" w:rsidP="00543C1C">
      <w:pPr>
        <w:pStyle w:val="ecxmsonormal"/>
        <w:spacing w:line="360" w:lineRule="auto"/>
        <w:jc w:val="both"/>
        <w:rPr>
          <w:color w:val="2A2A2A"/>
        </w:rPr>
      </w:pPr>
      <w:r w:rsidRPr="00B5236D">
        <w:rPr>
          <w:color w:val="2A2A2A"/>
        </w:rPr>
        <w:t>On the other hand there</w:t>
      </w:r>
      <w:r>
        <w:rPr>
          <w:color w:val="2A2A2A"/>
        </w:rPr>
        <w:t xml:space="preserve"> are also persuasive precedents</w:t>
      </w:r>
      <w:r w:rsidRPr="00B5236D">
        <w:rPr>
          <w:color w:val="2A2A2A"/>
        </w:rPr>
        <w:t>,</w:t>
      </w:r>
      <w:r>
        <w:rPr>
          <w:color w:val="2A2A2A"/>
        </w:rPr>
        <w:t xml:space="preserve"> </w:t>
      </w:r>
      <w:r w:rsidRPr="00B5236D">
        <w:rPr>
          <w:color w:val="2A2A2A"/>
        </w:rPr>
        <w:t xml:space="preserve">which are not absolutely binding on a court but which may be applied. The following are some examples: Decisions of English courts lower in the hierarchy. For example, the House of Lords may follow a Court of Appeal decision, and the Court of Appeal may follow a High Court decision, although not strictly bound to do so. For example, </w:t>
      </w:r>
      <w:r w:rsidRPr="00D86BD2">
        <w:rPr>
          <w:i/>
          <w:iCs/>
          <w:color w:val="2A2A2A"/>
          <w:u w:val="single"/>
        </w:rPr>
        <w:t>R v R</w:t>
      </w:r>
      <w:r w:rsidRPr="00B5236D">
        <w:rPr>
          <w:i/>
          <w:iCs/>
          <w:color w:val="2A2A2A"/>
        </w:rPr>
        <w:t xml:space="preserve"> </w:t>
      </w:r>
      <w:r w:rsidRPr="00B5236D">
        <w:rPr>
          <w:color w:val="2A2A2A"/>
        </w:rPr>
        <w:t>(1991) the marital rape case where the HL followed the decision of the CA and held the husband to be liable. Decisions of the Judicial Committee of the Privy Council,</w:t>
      </w:r>
      <w:r>
        <w:rPr>
          <w:color w:val="2A2A2A"/>
        </w:rPr>
        <w:t>,</w:t>
      </w:r>
      <w:r w:rsidRPr="00B5236D">
        <w:rPr>
          <w:color w:val="2A2A2A"/>
        </w:rPr>
        <w:t xml:space="preserve"> for example, </w:t>
      </w:r>
      <w:r w:rsidRPr="00D86BD2">
        <w:rPr>
          <w:i/>
          <w:iCs/>
          <w:color w:val="2A2A2A"/>
          <w:u w:val="single"/>
        </w:rPr>
        <w:t>The Wagon</w:t>
      </w:r>
      <w:r w:rsidRPr="00D86BD2">
        <w:rPr>
          <w:color w:val="2A2A2A"/>
          <w:u w:val="single"/>
        </w:rPr>
        <w:t xml:space="preserve"> </w:t>
      </w:r>
      <w:r w:rsidRPr="00D86BD2">
        <w:rPr>
          <w:i/>
          <w:iCs/>
          <w:color w:val="2A2A2A"/>
          <w:u w:val="single"/>
        </w:rPr>
        <w:t>Mound</w:t>
      </w:r>
      <w:r w:rsidRPr="00B5236D">
        <w:rPr>
          <w:i/>
          <w:iCs/>
          <w:color w:val="2A2A2A"/>
        </w:rPr>
        <w:t xml:space="preserve"> </w:t>
      </w:r>
      <w:r w:rsidRPr="00B5236D">
        <w:rPr>
          <w:color w:val="2A2A2A"/>
        </w:rPr>
        <w:t xml:space="preserve">(1961) which is the leading authority on remoteness of damage in </w:t>
      </w:r>
      <w:r w:rsidRPr="00B5236D">
        <w:rPr>
          <w:color w:val="2A2A2A"/>
        </w:rPr>
        <w:lastRenderedPageBreak/>
        <w:t xml:space="preserve">the tort of negligence. Decisions of the courts in </w:t>
      </w:r>
      <w:smartTag w:uri="urn:schemas-microsoft-com:office:smarttags" w:element="country-region">
        <w:r w:rsidRPr="00B5236D">
          <w:rPr>
            <w:color w:val="2A2A2A"/>
          </w:rPr>
          <w:t>Scotland</w:t>
        </w:r>
      </w:smartTag>
      <w:r w:rsidRPr="00B5236D">
        <w:rPr>
          <w:color w:val="2A2A2A"/>
        </w:rPr>
        <w:t xml:space="preserve">, </w:t>
      </w:r>
      <w:smartTag w:uri="urn:schemas-microsoft-com:office:smarttags" w:element="country-region">
        <w:r w:rsidRPr="00B5236D">
          <w:rPr>
            <w:color w:val="2A2A2A"/>
          </w:rPr>
          <w:t>Ireland</w:t>
        </w:r>
      </w:smartTag>
      <w:r w:rsidRPr="00B5236D">
        <w:rPr>
          <w:color w:val="2A2A2A"/>
        </w:rPr>
        <w:t xml:space="preserve">, the Commonwealth (especially </w:t>
      </w:r>
      <w:smartTag w:uri="urn:schemas-microsoft-com:office:smarttags" w:element="country-region">
        <w:r w:rsidRPr="00B5236D">
          <w:rPr>
            <w:color w:val="2A2A2A"/>
          </w:rPr>
          <w:t>Australia</w:t>
        </w:r>
      </w:smartTag>
      <w:r w:rsidRPr="00B5236D">
        <w:rPr>
          <w:color w:val="2A2A2A"/>
        </w:rPr>
        <w:t xml:space="preserve">, </w:t>
      </w:r>
      <w:smartTag w:uri="urn:schemas-microsoft-com:office:smarttags" w:element="country-region">
        <w:r w:rsidRPr="00B5236D">
          <w:rPr>
            <w:color w:val="2A2A2A"/>
          </w:rPr>
          <w:t>Canada</w:t>
        </w:r>
      </w:smartTag>
      <w:r w:rsidRPr="00B5236D">
        <w:rPr>
          <w:color w:val="2A2A2A"/>
        </w:rPr>
        <w:t xml:space="preserve"> and </w:t>
      </w:r>
      <w:smartTag w:uri="urn:schemas-microsoft-com:office:smarttags" w:element="country-region">
        <w:r w:rsidRPr="00B5236D">
          <w:rPr>
            <w:color w:val="2A2A2A"/>
          </w:rPr>
          <w:t>New Zealand</w:t>
        </w:r>
      </w:smartTag>
      <w:r w:rsidRPr="00B5236D">
        <w:rPr>
          <w:color w:val="2A2A2A"/>
        </w:rPr>
        <w:t xml:space="preserve">), and the </w:t>
      </w:r>
      <w:smartTag w:uri="urn:schemas-microsoft-com:office:smarttags" w:element="country-region">
        <w:smartTag w:uri="urn:schemas-microsoft-com:office:smarttags" w:element="place">
          <w:r w:rsidRPr="00B5236D">
            <w:rPr>
              <w:color w:val="2A2A2A"/>
            </w:rPr>
            <w:t>USA</w:t>
          </w:r>
        </w:smartTag>
      </w:smartTag>
      <w:r>
        <w:rPr>
          <w:color w:val="2A2A2A"/>
        </w:rPr>
        <w:t xml:space="preserve">, </w:t>
      </w:r>
      <w:r w:rsidRPr="00B5236D">
        <w:rPr>
          <w:color w:val="2A2A2A"/>
        </w:rPr>
        <w:t xml:space="preserve">are usually cited where there is a shortage or total lack of English authority on a point. For example, </w:t>
      </w:r>
      <w:r w:rsidRPr="00D86BD2">
        <w:rPr>
          <w:i/>
          <w:iCs/>
          <w:color w:val="2A2A2A"/>
          <w:u w:val="single"/>
        </w:rPr>
        <w:t>Re S (adult:</w:t>
      </w:r>
      <w:r w:rsidRPr="00D86BD2">
        <w:rPr>
          <w:color w:val="2A2A2A"/>
          <w:u w:val="single"/>
        </w:rPr>
        <w:t xml:space="preserve"> </w:t>
      </w:r>
      <w:r w:rsidRPr="00D86BD2">
        <w:rPr>
          <w:i/>
          <w:iCs/>
          <w:color w:val="2A2A2A"/>
          <w:u w:val="single"/>
        </w:rPr>
        <w:t>refusal of medical treatment)</w:t>
      </w:r>
      <w:r w:rsidRPr="00B5236D">
        <w:rPr>
          <w:i/>
          <w:iCs/>
          <w:color w:val="2A2A2A"/>
        </w:rPr>
        <w:t xml:space="preserve"> </w:t>
      </w:r>
      <w:r w:rsidRPr="00B5236D">
        <w:rPr>
          <w:color w:val="2A2A2A"/>
        </w:rPr>
        <w:t>(1992).</w:t>
      </w:r>
    </w:p>
    <w:p w:rsidR="00543C1C" w:rsidRPr="00FB0564" w:rsidRDefault="00543C1C" w:rsidP="00543C1C">
      <w:pPr>
        <w:pStyle w:val="ecxmsonormal"/>
        <w:spacing w:line="360" w:lineRule="auto"/>
        <w:jc w:val="both"/>
        <w:rPr>
          <w:color w:val="2A2A2A"/>
        </w:rPr>
      </w:pPr>
      <w:r w:rsidRPr="00FB0564">
        <w:rPr>
          <w:color w:val="2A2A2A"/>
        </w:rPr>
        <w:t xml:space="preserve">There are also methods of avoiding precedents which make it seem that it is a practice which can be refined or changed by the courts as they wish. Firstly the </w:t>
      </w:r>
      <w:r w:rsidRPr="00FB0564">
        <w:rPr>
          <w:bCs/>
          <w:color w:val="2A2A2A"/>
        </w:rPr>
        <w:t>Practice Statement (1966)</w:t>
      </w:r>
      <w:r>
        <w:rPr>
          <w:bCs/>
          <w:color w:val="2A2A2A"/>
        </w:rPr>
        <w:t xml:space="preserve">; </w:t>
      </w:r>
      <w:r>
        <w:rPr>
          <w:color w:val="2A2A2A"/>
        </w:rPr>
        <w:t>i</w:t>
      </w:r>
      <w:r w:rsidRPr="00FB0564">
        <w:rPr>
          <w:color w:val="2A2A2A"/>
        </w:rPr>
        <w:t xml:space="preserve">n </w:t>
      </w:r>
      <w:r w:rsidRPr="00D86BD2">
        <w:rPr>
          <w:i/>
          <w:iCs/>
          <w:color w:val="2A2A2A"/>
          <w:u w:val="single"/>
        </w:rPr>
        <w:t xml:space="preserve">R v Howe </w:t>
      </w:r>
      <w:r w:rsidRPr="00D86BD2">
        <w:rPr>
          <w:color w:val="2A2A2A"/>
          <w:u w:val="single"/>
        </w:rPr>
        <w:t>(</w:t>
      </w:r>
      <w:r w:rsidRPr="00FB0564">
        <w:rPr>
          <w:color w:val="2A2A2A"/>
        </w:rPr>
        <w:t xml:space="preserve">1987) the HL declined to follow the decision in </w:t>
      </w:r>
      <w:r w:rsidRPr="00D86BD2">
        <w:rPr>
          <w:i/>
          <w:iCs/>
          <w:color w:val="2A2A2A"/>
          <w:u w:val="single"/>
        </w:rPr>
        <w:t>Lynch v DPP for N. Ireland</w:t>
      </w:r>
      <w:r w:rsidRPr="00FB0564">
        <w:rPr>
          <w:i/>
          <w:iCs/>
          <w:color w:val="2A2A2A"/>
        </w:rPr>
        <w:t xml:space="preserve"> </w:t>
      </w:r>
      <w:r w:rsidRPr="00FB0564">
        <w:rPr>
          <w:color w:val="2A2A2A"/>
        </w:rPr>
        <w:t xml:space="preserve">(1975) where they had held that duress </w:t>
      </w:r>
      <w:r>
        <w:rPr>
          <w:color w:val="2A2A2A"/>
        </w:rPr>
        <w:t>was available as a defens</w:t>
      </w:r>
      <w:r w:rsidRPr="00FB0564">
        <w:rPr>
          <w:color w:val="2A2A2A"/>
        </w:rPr>
        <w:t xml:space="preserve">e to accomplices to murder. The practice statement was accompanied by a press release, which emphasised the importance of and the reasons for the change in practice: It would enable the House of Lords to adapt English law to meet changing social conditions.  It would enable the House to pay more attention to decisions of superior courts in the Commonwealth. The change would bring the House into line with the practice of superior courts in many other countries. In the </w:t>
      </w:r>
      <w:smartTag w:uri="urn:schemas-microsoft-com:office:smarttags" w:element="country-region">
        <w:smartTag w:uri="urn:schemas-microsoft-com:office:smarttags" w:element="place">
          <w:r w:rsidRPr="00FB0564">
            <w:rPr>
              <w:color w:val="2A2A2A"/>
            </w:rPr>
            <w:t>USA</w:t>
          </w:r>
        </w:smartTag>
      </w:smartTag>
      <w:r w:rsidRPr="00FB0564">
        <w:rPr>
          <w:color w:val="2A2A2A"/>
        </w:rPr>
        <w:t>, for example, the US Supreme Court and state supreme courts are not bound by their own previous decisions. However, the practice statement has been rarely used by the HL.</w:t>
      </w:r>
    </w:p>
    <w:p w:rsidR="00543C1C" w:rsidRPr="00B5236D" w:rsidRDefault="00543C1C" w:rsidP="00543C1C">
      <w:pPr>
        <w:pStyle w:val="ecxmsonormal"/>
        <w:spacing w:line="360" w:lineRule="auto"/>
        <w:jc w:val="both"/>
        <w:rPr>
          <w:color w:val="2A2A2A"/>
        </w:rPr>
      </w:pPr>
      <w:r w:rsidRPr="00AA79AE">
        <w:rPr>
          <w:bCs/>
          <w:color w:val="2A2A2A"/>
        </w:rPr>
        <w:t>The</w:t>
      </w:r>
      <w:r>
        <w:rPr>
          <w:bCs/>
          <w:color w:val="2A2A2A"/>
        </w:rPr>
        <w:t xml:space="preserve"> case of </w:t>
      </w:r>
      <w:r w:rsidRPr="00D86BD2">
        <w:rPr>
          <w:b/>
          <w:bCs/>
          <w:i/>
          <w:iCs/>
          <w:color w:val="2A2A2A"/>
          <w:u w:val="single"/>
        </w:rPr>
        <w:t xml:space="preserve">Young v </w:t>
      </w:r>
      <w:smartTag w:uri="urn:schemas-microsoft-com:office:smarttags" w:element="City">
        <w:smartTag w:uri="urn:schemas-microsoft-com:office:smarttags" w:element="place">
          <w:r w:rsidRPr="00D86BD2">
            <w:rPr>
              <w:b/>
              <w:bCs/>
              <w:i/>
              <w:iCs/>
              <w:color w:val="2A2A2A"/>
              <w:u w:val="single"/>
            </w:rPr>
            <w:t>Bristol</w:t>
          </w:r>
        </w:smartTag>
      </w:smartTag>
      <w:r w:rsidRPr="00D86BD2">
        <w:rPr>
          <w:b/>
          <w:bCs/>
          <w:i/>
          <w:iCs/>
          <w:color w:val="2A2A2A"/>
          <w:u w:val="single"/>
        </w:rPr>
        <w:t xml:space="preserve"> </w:t>
      </w:r>
      <w:r w:rsidRPr="00D86BD2">
        <w:rPr>
          <w:bCs/>
          <w:i/>
          <w:iCs/>
          <w:color w:val="2A2A2A"/>
          <w:u w:val="single"/>
        </w:rPr>
        <w:t>Aeroplane</w:t>
      </w:r>
      <w:r>
        <w:rPr>
          <w:bCs/>
          <w:i/>
          <w:iCs/>
          <w:color w:val="2A2A2A"/>
        </w:rPr>
        <w:t xml:space="preserve"> </w:t>
      </w:r>
      <w:r w:rsidRPr="00AA79AE">
        <w:rPr>
          <w:bCs/>
          <w:color w:val="2A2A2A"/>
        </w:rPr>
        <w:t>(1944)</w:t>
      </w:r>
      <w:r>
        <w:rPr>
          <w:bCs/>
          <w:i/>
          <w:iCs/>
          <w:color w:val="2A2A2A"/>
        </w:rPr>
        <w:t xml:space="preserve"> </w:t>
      </w:r>
      <w:r>
        <w:rPr>
          <w:color w:val="2A2A2A"/>
        </w:rPr>
        <w:t>allowed</w:t>
      </w:r>
      <w:r w:rsidRPr="00B5236D">
        <w:rPr>
          <w:color w:val="2A2A2A"/>
        </w:rPr>
        <w:t xml:space="preserve"> the CA to correct</w:t>
      </w:r>
      <w:r w:rsidRPr="00B5236D">
        <w:rPr>
          <w:b/>
          <w:bCs/>
          <w:i/>
          <w:iCs/>
          <w:color w:val="2A2A2A"/>
        </w:rPr>
        <w:t xml:space="preserve"> </w:t>
      </w:r>
      <w:r w:rsidRPr="00B5236D">
        <w:rPr>
          <w:color w:val="2A2A2A"/>
        </w:rPr>
        <w:t>its mistakes, which is especially</w:t>
      </w:r>
      <w:r>
        <w:rPr>
          <w:color w:val="2A2A2A"/>
        </w:rPr>
        <w:t xml:space="preserve"> </w:t>
      </w:r>
      <w:r w:rsidRPr="00B5236D">
        <w:rPr>
          <w:color w:val="2A2A2A"/>
        </w:rPr>
        <w:t>important as it hears the most a</w:t>
      </w:r>
      <w:r>
        <w:rPr>
          <w:color w:val="2A2A2A"/>
        </w:rPr>
        <w:t>ppeal cases</w:t>
      </w:r>
      <w:r w:rsidRPr="00B5236D">
        <w:rPr>
          <w:color w:val="2A2A2A"/>
        </w:rPr>
        <w:t>. The extra flexibility in the criminal</w:t>
      </w:r>
      <w:r>
        <w:rPr>
          <w:color w:val="2A2A2A"/>
        </w:rPr>
        <w:t xml:space="preserve"> </w:t>
      </w:r>
      <w:r w:rsidRPr="00B5236D">
        <w:rPr>
          <w:color w:val="2A2A2A"/>
        </w:rPr>
        <w:t>division is important as such cases involve the liberty of a person.</w:t>
      </w:r>
      <w:r>
        <w:rPr>
          <w:color w:val="2A2A2A"/>
        </w:rPr>
        <w:t xml:space="preserve"> </w:t>
      </w:r>
      <w:r w:rsidRPr="00AA79AE">
        <w:rPr>
          <w:bCs/>
          <w:color w:val="2A2A2A"/>
        </w:rPr>
        <w:t>Distinguishing</w:t>
      </w:r>
      <w:r w:rsidRPr="00B5236D">
        <w:rPr>
          <w:b/>
          <w:bCs/>
          <w:color w:val="2A2A2A"/>
        </w:rPr>
        <w:t xml:space="preserve"> </w:t>
      </w:r>
      <w:r w:rsidRPr="00B5236D">
        <w:rPr>
          <w:color w:val="2A2A2A"/>
        </w:rPr>
        <w:t>A previous case is only binding in a</w:t>
      </w:r>
      <w:r w:rsidRPr="00B5236D">
        <w:rPr>
          <w:b/>
          <w:bCs/>
          <w:color w:val="2A2A2A"/>
        </w:rPr>
        <w:t xml:space="preserve"> </w:t>
      </w:r>
      <w:r w:rsidRPr="00B5236D">
        <w:rPr>
          <w:color w:val="2A2A2A"/>
        </w:rPr>
        <w:t>later case if the legal principle</w:t>
      </w:r>
      <w:r w:rsidRPr="00B5236D">
        <w:rPr>
          <w:b/>
          <w:bCs/>
          <w:color w:val="2A2A2A"/>
        </w:rPr>
        <w:t xml:space="preserve"> </w:t>
      </w:r>
      <w:r w:rsidRPr="00B5236D">
        <w:rPr>
          <w:color w:val="2A2A2A"/>
        </w:rPr>
        <w:t>involved is the same and the facts</w:t>
      </w:r>
      <w:r w:rsidRPr="00B5236D">
        <w:rPr>
          <w:b/>
          <w:bCs/>
          <w:color w:val="2A2A2A"/>
        </w:rPr>
        <w:t xml:space="preserve"> </w:t>
      </w:r>
      <w:r w:rsidRPr="00B5236D">
        <w:rPr>
          <w:color w:val="2A2A2A"/>
        </w:rPr>
        <w:t>are similar. Distinguishing a case</w:t>
      </w:r>
      <w:r w:rsidRPr="00B5236D">
        <w:rPr>
          <w:b/>
          <w:bCs/>
          <w:color w:val="2A2A2A"/>
        </w:rPr>
        <w:t xml:space="preserve"> </w:t>
      </w:r>
      <w:r w:rsidRPr="00B5236D">
        <w:rPr>
          <w:color w:val="2A2A2A"/>
        </w:rPr>
        <w:t>on its facts, or on the point of law</w:t>
      </w:r>
      <w:r w:rsidRPr="00B5236D">
        <w:rPr>
          <w:b/>
          <w:bCs/>
          <w:color w:val="2A2A2A"/>
        </w:rPr>
        <w:t xml:space="preserve"> </w:t>
      </w:r>
      <w:r w:rsidRPr="00B5236D">
        <w:rPr>
          <w:color w:val="2A2A2A"/>
        </w:rPr>
        <w:t>involved, is a device used by</w:t>
      </w:r>
      <w:r w:rsidRPr="00B5236D">
        <w:rPr>
          <w:b/>
          <w:bCs/>
          <w:color w:val="2A2A2A"/>
        </w:rPr>
        <w:t xml:space="preserve"> </w:t>
      </w:r>
      <w:r w:rsidRPr="00B5236D">
        <w:rPr>
          <w:color w:val="2A2A2A"/>
        </w:rPr>
        <w:t>judges</w:t>
      </w:r>
      <w:r>
        <w:rPr>
          <w:color w:val="2A2A2A"/>
        </w:rPr>
        <w:t xml:space="preserve"> to</w:t>
      </w:r>
      <w:r w:rsidRPr="00B5236D">
        <w:rPr>
          <w:color w:val="2A2A2A"/>
        </w:rPr>
        <w:t xml:space="preserve"> avoid</w:t>
      </w:r>
      <w:r w:rsidRPr="00B5236D">
        <w:rPr>
          <w:b/>
          <w:bCs/>
          <w:color w:val="2A2A2A"/>
        </w:rPr>
        <w:t xml:space="preserve"> </w:t>
      </w:r>
      <w:r w:rsidRPr="00B5236D">
        <w:rPr>
          <w:color w:val="2A2A2A"/>
        </w:rPr>
        <w:t>the consequences of an earlier</w:t>
      </w:r>
      <w:r w:rsidRPr="00B5236D">
        <w:rPr>
          <w:b/>
          <w:bCs/>
          <w:color w:val="2A2A2A"/>
        </w:rPr>
        <w:t xml:space="preserve"> </w:t>
      </w:r>
      <w:r w:rsidRPr="00B5236D">
        <w:rPr>
          <w:color w:val="2A2A2A"/>
        </w:rPr>
        <w:t xml:space="preserve">inconvenient </w:t>
      </w:r>
      <w:r>
        <w:rPr>
          <w:color w:val="2A2A2A"/>
        </w:rPr>
        <w:t xml:space="preserve">binding </w:t>
      </w:r>
      <w:r w:rsidRPr="00B5236D">
        <w:rPr>
          <w:color w:val="2A2A2A"/>
        </w:rPr>
        <w:t>decision.</w:t>
      </w:r>
      <w:r w:rsidRPr="00B5236D">
        <w:rPr>
          <w:b/>
          <w:bCs/>
          <w:color w:val="2A2A2A"/>
        </w:rPr>
        <w:t xml:space="preserve"> </w:t>
      </w:r>
      <w:r w:rsidRPr="00B5236D">
        <w:rPr>
          <w:color w:val="2A2A2A"/>
        </w:rPr>
        <w:t>The cases where the defendants had</w:t>
      </w:r>
      <w:r w:rsidRPr="00B5236D">
        <w:rPr>
          <w:b/>
          <w:bCs/>
          <w:color w:val="2A2A2A"/>
        </w:rPr>
        <w:t xml:space="preserve"> </w:t>
      </w:r>
      <w:r w:rsidRPr="00B5236D">
        <w:rPr>
          <w:color w:val="2A2A2A"/>
        </w:rPr>
        <w:t>stabbed the victim who received</w:t>
      </w:r>
      <w:r w:rsidRPr="00B5236D">
        <w:rPr>
          <w:b/>
          <w:bCs/>
          <w:color w:val="2A2A2A"/>
        </w:rPr>
        <w:t xml:space="preserve"> </w:t>
      </w:r>
      <w:r w:rsidRPr="00B5236D">
        <w:rPr>
          <w:color w:val="2A2A2A"/>
        </w:rPr>
        <w:t>n</w:t>
      </w:r>
      <w:r>
        <w:rPr>
          <w:color w:val="2A2A2A"/>
        </w:rPr>
        <w:t>egligent medical treatment</w:t>
      </w:r>
      <w:r w:rsidRPr="00B5236D">
        <w:rPr>
          <w:color w:val="2A2A2A"/>
        </w:rPr>
        <w:t>:</w:t>
      </w:r>
      <w:r>
        <w:rPr>
          <w:color w:val="2A2A2A"/>
        </w:rPr>
        <w:t xml:space="preserve"> </w:t>
      </w:r>
      <w:r w:rsidRPr="00F83327">
        <w:rPr>
          <w:i/>
          <w:iCs/>
          <w:color w:val="2A2A2A"/>
          <w:u w:val="single"/>
        </w:rPr>
        <w:t>R v Smith</w:t>
      </w:r>
      <w:r w:rsidRPr="00B5236D">
        <w:rPr>
          <w:i/>
          <w:iCs/>
          <w:color w:val="2A2A2A"/>
        </w:rPr>
        <w:t xml:space="preserve"> </w:t>
      </w:r>
      <w:r w:rsidRPr="00B5236D">
        <w:rPr>
          <w:color w:val="2A2A2A"/>
        </w:rPr>
        <w:t xml:space="preserve">in which </w:t>
      </w:r>
      <w:r w:rsidRPr="00F83327">
        <w:rPr>
          <w:i/>
          <w:iCs/>
          <w:color w:val="2A2A2A"/>
          <w:u w:val="single"/>
        </w:rPr>
        <w:t xml:space="preserve">R v </w:t>
      </w:r>
      <w:smartTag w:uri="urn:schemas-microsoft-com:office:smarttags" w:element="place">
        <w:smartTag w:uri="urn:schemas-microsoft-com:office:smarttags" w:element="country-region">
          <w:r w:rsidRPr="00F83327">
            <w:rPr>
              <w:i/>
              <w:iCs/>
              <w:color w:val="2A2A2A"/>
              <w:u w:val="single"/>
            </w:rPr>
            <w:t>Jordan</w:t>
          </w:r>
        </w:smartTag>
      </w:smartTag>
      <w:r w:rsidRPr="00B5236D">
        <w:rPr>
          <w:i/>
          <w:iCs/>
          <w:color w:val="2A2A2A"/>
        </w:rPr>
        <w:t xml:space="preserve">, </w:t>
      </w:r>
      <w:r w:rsidRPr="00B5236D">
        <w:rPr>
          <w:color w:val="2A2A2A"/>
        </w:rPr>
        <w:t>where the victim died of</w:t>
      </w:r>
      <w:r w:rsidRPr="00B5236D">
        <w:rPr>
          <w:i/>
          <w:iCs/>
          <w:color w:val="2A2A2A"/>
        </w:rPr>
        <w:t xml:space="preserve"> </w:t>
      </w:r>
      <w:r w:rsidRPr="00B5236D">
        <w:rPr>
          <w:color w:val="2A2A2A"/>
        </w:rPr>
        <w:t>pneumonia and the chain of</w:t>
      </w:r>
      <w:r w:rsidRPr="00B5236D">
        <w:rPr>
          <w:i/>
          <w:iCs/>
          <w:color w:val="2A2A2A"/>
        </w:rPr>
        <w:t xml:space="preserve"> </w:t>
      </w:r>
      <w:r w:rsidRPr="00B5236D">
        <w:rPr>
          <w:color w:val="2A2A2A"/>
        </w:rPr>
        <w:t>causation broken, was</w:t>
      </w:r>
      <w:r>
        <w:rPr>
          <w:color w:val="2A2A2A"/>
        </w:rPr>
        <w:t xml:space="preserve"> </w:t>
      </w:r>
      <w:r w:rsidRPr="00B5236D">
        <w:rPr>
          <w:color w:val="2A2A2A"/>
        </w:rPr>
        <w:t xml:space="preserve">distinguished. </w:t>
      </w:r>
      <w:r>
        <w:rPr>
          <w:color w:val="2A2A2A"/>
        </w:rPr>
        <w:t xml:space="preserve"> </w:t>
      </w:r>
      <w:r w:rsidRPr="00F83327">
        <w:rPr>
          <w:i/>
          <w:iCs/>
          <w:color w:val="2A2A2A"/>
          <w:u w:val="single"/>
        </w:rPr>
        <w:t>Balfour v Balfour</w:t>
      </w:r>
      <w:r w:rsidRPr="00B5236D">
        <w:rPr>
          <w:i/>
          <w:iCs/>
          <w:color w:val="2A2A2A"/>
        </w:rPr>
        <w:t xml:space="preserve"> </w:t>
      </w:r>
      <w:r w:rsidRPr="00B5236D">
        <w:rPr>
          <w:color w:val="2A2A2A"/>
        </w:rPr>
        <w:t>(1919)</w:t>
      </w:r>
      <w:r>
        <w:rPr>
          <w:color w:val="2A2A2A"/>
        </w:rPr>
        <w:t xml:space="preserve"> </w:t>
      </w:r>
      <w:r w:rsidRPr="00B5236D">
        <w:rPr>
          <w:color w:val="2A2A2A"/>
        </w:rPr>
        <w:t xml:space="preserve">which was distinguished in </w:t>
      </w:r>
      <w:r w:rsidRPr="00F83327">
        <w:rPr>
          <w:i/>
          <w:iCs/>
          <w:color w:val="2A2A2A"/>
          <w:u w:val="single"/>
        </w:rPr>
        <w:t>Merritt v Merritt</w:t>
      </w:r>
      <w:r w:rsidRPr="00B5236D">
        <w:rPr>
          <w:color w:val="2A2A2A"/>
        </w:rPr>
        <w:t xml:space="preserve"> (1971). Any judge can distinguish a precedent on minute details and the differences can sometimes seem</w:t>
      </w:r>
      <w:r>
        <w:rPr>
          <w:color w:val="2A2A2A"/>
        </w:rPr>
        <w:t xml:space="preserve"> illogical but it </w:t>
      </w:r>
      <w:r w:rsidRPr="00B5236D">
        <w:rPr>
          <w:color w:val="2A2A2A"/>
        </w:rPr>
        <w:t>allow</w:t>
      </w:r>
      <w:r>
        <w:rPr>
          <w:color w:val="2A2A2A"/>
        </w:rPr>
        <w:t>s</w:t>
      </w:r>
      <w:r w:rsidRPr="00B5236D">
        <w:rPr>
          <w:color w:val="2A2A2A"/>
        </w:rPr>
        <w:t xml:space="preserve"> judges to develop the law and create exceptions t</w:t>
      </w:r>
      <w:r>
        <w:rPr>
          <w:color w:val="2A2A2A"/>
        </w:rPr>
        <w:t xml:space="preserve">o a general rule from </w:t>
      </w:r>
      <w:r w:rsidRPr="00B5236D">
        <w:rPr>
          <w:color w:val="2A2A2A"/>
        </w:rPr>
        <w:t>a previous case.</w:t>
      </w:r>
    </w:p>
    <w:p w:rsidR="00543C1C" w:rsidRPr="00B5236D" w:rsidRDefault="00543C1C" w:rsidP="00543C1C">
      <w:pPr>
        <w:pStyle w:val="ecxmsonormal"/>
        <w:spacing w:line="360" w:lineRule="auto"/>
        <w:jc w:val="both"/>
        <w:rPr>
          <w:color w:val="2A2A2A"/>
        </w:rPr>
      </w:pPr>
      <w:r>
        <w:rPr>
          <w:bCs/>
          <w:color w:val="2A2A2A"/>
        </w:rPr>
        <w:t>By o</w:t>
      </w:r>
      <w:r w:rsidRPr="00AA79AE">
        <w:rPr>
          <w:bCs/>
          <w:color w:val="2A2A2A"/>
        </w:rPr>
        <w:t>ver-ruling</w:t>
      </w:r>
      <w:r>
        <w:rPr>
          <w:bCs/>
          <w:color w:val="2A2A2A"/>
        </w:rPr>
        <w:t>,</w:t>
      </w:r>
      <w:r w:rsidRPr="00AA79AE">
        <w:rPr>
          <w:bCs/>
          <w:color w:val="2A2A2A"/>
        </w:rPr>
        <w:t xml:space="preserve"> </w:t>
      </w:r>
      <w:r>
        <w:rPr>
          <w:color w:val="2A2A2A"/>
        </w:rPr>
        <w:t>a</w:t>
      </w:r>
      <w:r w:rsidRPr="00AA79AE">
        <w:rPr>
          <w:color w:val="2A2A2A"/>
        </w:rPr>
        <w:t xml:space="preserve"> higher court can overrule a</w:t>
      </w:r>
      <w:r w:rsidRPr="00AA79AE">
        <w:rPr>
          <w:bCs/>
          <w:color w:val="2A2A2A"/>
        </w:rPr>
        <w:t xml:space="preserve"> </w:t>
      </w:r>
      <w:r w:rsidRPr="00AA79AE">
        <w:rPr>
          <w:color w:val="2A2A2A"/>
        </w:rPr>
        <w:t>decision made in an earlier case by</w:t>
      </w:r>
      <w:r w:rsidRPr="00AA79AE">
        <w:rPr>
          <w:bCs/>
          <w:color w:val="2A2A2A"/>
        </w:rPr>
        <w:t xml:space="preserve"> </w:t>
      </w:r>
      <w:r>
        <w:rPr>
          <w:color w:val="2A2A2A"/>
        </w:rPr>
        <w:t>a lower court</w:t>
      </w:r>
      <w:r w:rsidRPr="00AA79AE">
        <w:rPr>
          <w:color w:val="2A2A2A"/>
        </w:rPr>
        <w:t>.</w:t>
      </w:r>
      <w:r w:rsidRPr="00AA79AE">
        <w:rPr>
          <w:bCs/>
          <w:color w:val="2A2A2A"/>
        </w:rPr>
        <w:t xml:space="preserve"> </w:t>
      </w:r>
      <w:r w:rsidRPr="00AA79AE">
        <w:rPr>
          <w:color w:val="2A2A2A"/>
        </w:rPr>
        <w:t>The ECJ and House of Lords can</w:t>
      </w:r>
      <w:r w:rsidRPr="00AA79AE">
        <w:rPr>
          <w:bCs/>
          <w:color w:val="2A2A2A"/>
        </w:rPr>
        <w:t xml:space="preserve"> </w:t>
      </w:r>
      <w:r w:rsidRPr="00AA79AE">
        <w:rPr>
          <w:color w:val="2A2A2A"/>
        </w:rPr>
        <w:t>also overrule their own previous</w:t>
      </w:r>
      <w:r w:rsidRPr="00AA79AE">
        <w:rPr>
          <w:bCs/>
          <w:color w:val="2A2A2A"/>
        </w:rPr>
        <w:t xml:space="preserve"> </w:t>
      </w:r>
      <w:r w:rsidRPr="00AA79AE">
        <w:rPr>
          <w:color w:val="2A2A2A"/>
        </w:rPr>
        <w:t>decisions.</w:t>
      </w:r>
      <w:r w:rsidRPr="00AA79AE">
        <w:rPr>
          <w:bCs/>
          <w:color w:val="2A2A2A"/>
        </w:rPr>
        <w:t xml:space="preserve"> </w:t>
      </w:r>
      <w:r>
        <w:rPr>
          <w:color w:val="2A2A2A"/>
        </w:rPr>
        <w:t xml:space="preserve">Overruling can </w:t>
      </w:r>
      <w:r>
        <w:rPr>
          <w:color w:val="2A2A2A"/>
        </w:rPr>
        <w:lastRenderedPageBreak/>
        <w:t>occur if</w:t>
      </w:r>
      <w:r w:rsidRPr="00AA79AE">
        <w:rPr>
          <w:color w:val="2A2A2A"/>
        </w:rPr>
        <w:t xml:space="preserve"> the previous court did not</w:t>
      </w:r>
      <w:r w:rsidRPr="00AA79AE">
        <w:rPr>
          <w:bCs/>
          <w:color w:val="2A2A2A"/>
        </w:rPr>
        <w:t xml:space="preserve"> </w:t>
      </w:r>
      <w:r w:rsidRPr="00AA79AE">
        <w:rPr>
          <w:color w:val="2A2A2A"/>
        </w:rPr>
        <w:t>correctly apply the law, for</w:t>
      </w:r>
      <w:r w:rsidRPr="00AA79AE">
        <w:rPr>
          <w:bCs/>
          <w:color w:val="2A2A2A"/>
        </w:rPr>
        <w:t xml:space="preserve"> </w:t>
      </w:r>
      <w:r w:rsidRPr="00AA79AE">
        <w:rPr>
          <w:color w:val="2A2A2A"/>
        </w:rPr>
        <w:t>example, the overruling of</w:t>
      </w:r>
      <w:r w:rsidRPr="00AA79AE">
        <w:rPr>
          <w:bCs/>
          <w:color w:val="2A2A2A"/>
        </w:rPr>
        <w:t xml:space="preserve"> </w:t>
      </w:r>
      <w:r w:rsidRPr="00A806EF">
        <w:rPr>
          <w:i/>
          <w:iCs/>
          <w:color w:val="2A2A2A"/>
          <w:u w:val="single"/>
        </w:rPr>
        <w:t>Anderton v Ryan</w:t>
      </w:r>
      <w:r w:rsidRPr="00AA79AE">
        <w:rPr>
          <w:i/>
          <w:iCs/>
          <w:color w:val="2A2A2A"/>
        </w:rPr>
        <w:t xml:space="preserve"> </w:t>
      </w:r>
      <w:r>
        <w:rPr>
          <w:color w:val="2A2A2A"/>
        </w:rPr>
        <w:t xml:space="preserve">[1985] </w:t>
      </w:r>
      <w:r w:rsidRPr="00AA79AE">
        <w:rPr>
          <w:color w:val="2A2A2A"/>
        </w:rPr>
        <w:t xml:space="preserve">by the House of Lords in </w:t>
      </w:r>
      <w:r w:rsidRPr="00A806EF">
        <w:rPr>
          <w:i/>
          <w:iCs/>
          <w:color w:val="2A2A2A"/>
          <w:u w:val="single"/>
        </w:rPr>
        <w:t>R v</w:t>
      </w:r>
      <w:r w:rsidRPr="00A806EF">
        <w:rPr>
          <w:bCs/>
          <w:color w:val="2A2A2A"/>
          <w:u w:val="single"/>
        </w:rPr>
        <w:t xml:space="preserve"> </w:t>
      </w:r>
      <w:r w:rsidRPr="00A806EF">
        <w:rPr>
          <w:i/>
          <w:iCs/>
          <w:color w:val="2A2A2A"/>
          <w:u w:val="single"/>
        </w:rPr>
        <w:t>Shivpuri</w:t>
      </w:r>
      <w:r w:rsidRPr="00AA79AE">
        <w:rPr>
          <w:i/>
          <w:iCs/>
          <w:color w:val="2A2A2A"/>
        </w:rPr>
        <w:t xml:space="preserve"> </w:t>
      </w:r>
      <w:r>
        <w:rPr>
          <w:color w:val="2A2A2A"/>
        </w:rPr>
        <w:t xml:space="preserve">[1986] </w:t>
      </w:r>
      <w:r w:rsidRPr="00B5236D">
        <w:rPr>
          <w:color w:val="2A2A2A"/>
        </w:rPr>
        <w:t xml:space="preserve">concerning the Criminal Attempts Act 1981; or because the later court considers that the rule of law contained in the previous case is no longer desirable. For example, the House of Lords' decision in </w:t>
      </w:r>
      <w:r w:rsidRPr="00A806EF">
        <w:rPr>
          <w:i/>
          <w:iCs/>
          <w:color w:val="2A2A2A"/>
          <w:u w:val="single"/>
        </w:rPr>
        <w:t>Miliangos v George Frank Ltd</w:t>
      </w:r>
      <w:r>
        <w:rPr>
          <w:color w:val="2A2A2A"/>
        </w:rPr>
        <w:t xml:space="preserve"> [1975] </w:t>
      </w:r>
      <w:r w:rsidRPr="00B5236D">
        <w:rPr>
          <w:color w:val="2A2A2A"/>
        </w:rPr>
        <w:t>which over</w:t>
      </w:r>
      <w:r>
        <w:rPr>
          <w:color w:val="2A2A2A"/>
        </w:rPr>
        <w:t>ruled a previous authority that judgment</w:t>
      </w:r>
      <w:r w:rsidRPr="00B5236D">
        <w:rPr>
          <w:color w:val="2A2A2A"/>
        </w:rPr>
        <w:t xml:space="preserve"> could not be given in foreign currency. Over-ruling means proving the previous case was wrong and therefore changing the “leading case” in that aspect of law. However, the decision in the previous case is not actually changed itself. Over-ruling can only be done by a</w:t>
      </w:r>
      <w:r>
        <w:rPr>
          <w:color w:val="2A2A2A"/>
        </w:rPr>
        <w:t xml:space="preserve"> </w:t>
      </w:r>
      <w:r w:rsidRPr="00B5236D">
        <w:rPr>
          <w:color w:val="2A2A2A"/>
        </w:rPr>
        <w:t>court with authority to over-rule, example, the HC cannot over-rule the CA but the CA can over-rule the HC.</w:t>
      </w:r>
      <w:r>
        <w:rPr>
          <w:color w:val="2A2A2A"/>
        </w:rPr>
        <w:t xml:space="preserve"> </w:t>
      </w:r>
      <w:r w:rsidRPr="00B5236D">
        <w:rPr>
          <w:color w:val="2A2A2A"/>
        </w:rPr>
        <w:t>Over-ruling can also be criticized on the ground that law making should be lef</w:t>
      </w:r>
      <w:r>
        <w:rPr>
          <w:color w:val="2A2A2A"/>
        </w:rPr>
        <w:t xml:space="preserve">t to Parliament and not to </w:t>
      </w:r>
      <w:r w:rsidRPr="00B5236D">
        <w:rPr>
          <w:color w:val="2A2A2A"/>
        </w:rPr>
        <w:t>judg</w:t>
      </w:r>
      <w:r>
        <w:rPr>
          <w:color w:val="2A2A2A"/>
        </w:rPr>
        <w:t xml:space="preserve">es. </w:t>
      </w:r>
    </w:p>
    <w:p w:rsidR="00543C1C" w:rsidRPr="00B5236D" w:rsidRDefault="00543C1C" w:rsidP="00543C1C">
      <w:pPr>
        <w:pStyle w:val="ecxmsonormal"/>
        <w:spacing w:line="360" w:lineRule="auto"/>
        <w:jc w:val="both"/>
        <w:rPr>
          <w:color w:val="2A2A2A"/>
        </w:rPr>
      </w:pPr>
      <w:r w:rsidRPr="00C605E1">
        <w:rPr>
          <w:bCs/>
          <w:color w:val="2A2A2A"/>
        </w:rPr>
        <w:t>Reversing</w:t>
      </w:r>
      <w:r w:rsidRPr="00B5236D">
        <w:rPr>
          <w:b/>
          <w:bCs/>
          <w:color w:val="2A2A2A"/>
        </w:rPr>
        <w:t xml:space="preserve"> </w:t>
      </w:r>
      <w:r w:rsidRPr="00B5236D">
        <w:rPr>
          <w:color w:val="2A2A2A"/>
        </w:rPr>
        <w:t>is the overturning on</w:t>
      </w:r>
      <w:r w:rsidRPr="00B5236D">
        <w:rPr>
          <w:b/>
          <w:bCs/>
          <w:color w:val="2A2A2A"/>
        </w:rPr>
        <w:t xml:space="preserve"> </w:t>
      </w:r>
      <w:r w:rsidRPr="00B5236D">
        <w:rPr>
          <w:color w:val="2A2A2A"/>
        </w:rPr>
        <w:t>appeal by a higher court, of the</w:t>
      </w:r>
      <w:r w:rsidRPr="00B5236D">
        <w:rPr>
          <w:b/>
          <w:bCs/>
          <w:color w:val="2A2A2A"/>
        </w:rPr>
        <w:t xml:space="preserve"> </w:t>
      </w:r>
      <w:r w:rsidRPr="00B5236D">
        <w:rPr>
          <w:color w:val="2A2A2A"/>
        </w:rPr>
        <w:t>decision of the court below that</w:t>
      </w:r>
      <w:r w:rsidRPr="00B5236D">
        <w:rPr>
          <w:b/>
          <w:bCs/>
          <w:color w:val="2A2A2A"/>
        </w:rPr>
        <w:t xml:space="preserve"> </w:t>
      </w:r>
      <w:r w:rsidRPr="00B5236D">
        <w:rPr>
          <w:color w:val="2A2A2A"/>
        </w:rPr>
        <w:t>hearing the appeal. The appeal</w:t>
      </w:r>
      <w:r w:rsidRPr="00B5236D">
        <w:rPr>
          <w:b/>
          <w:bCs/>
          <w:color w:val="2A2A2A"/>
        </w:rPr>
        <w:t xml:space="preserve"> </w:t>
      </w:r>
      <w:r w:rsidRPr="00B5236D">
        <w:rPr>
          <w:color w:val="2A2A2A"/>
        </w:rPr>
        <w:t>court will then substitute its own</w:t>
      </w:r>
      <w:r w:rsidRPr="00B5236D">
        <w:rPr>
          <w:b/>
          <w:bCs/>
          <w:color w:val="2A2A2A"/>
        </w:rPr>
        <w:t xml:space="preserve"> </w:t>
      </w:r>
      <w:r w:rsidRPr="00B5236D">
        <w:rPr>
          <w:color w:val="2A2A2A"/>
        </w:rPr>
        <w:t>decision.</w:t>
      </w:r>
      <w:r w:rsidRPr="00B5236D">
        <w:rPr>
          <w:b/>
          <w:bCs/>
          <w:color w:val="2A2A2A"/>
        </w:rPr>
        <w:t xml:space="preserve"> </w:t>
      </w:r>
      <w:r w:rsidRPr="00DE5E0F">
        <w:rPr>
          <w:i/>
          <w:iCs/>
          <w:color w:val="2A2A2A"/>
          <w:u w:val="single"/>
        </w:rPr>
        <w:t xml:space="preserve">R v </w:t>
      </w:r>
      <w:smartTag w:uri="urn:schemas-microsoft-com:office:smarttags" w:element="City">
        <w:smartTag w:uri="urn:schemas-microsoft-com:office:smarttags" w:element="place">
          <w:r w:rsidRPr="00DE5E0F">
            <w:rPr>
              <w:i/>
              <w:iCs/>
              <w:color w:val="2A2A2A"/>
              <w:u w:val="single"/>
            </w:rPr>
            <w:t>Kingston</w:t>
          </w:r>
        </w:smartTag>
      </w:smartTag>
      <w:r w:rsidRPr="00B5236D">
        <w:rPr>
          <w:i/>
          <w:iCs/>
          <w:color w:val="2A2A2A"/>
        </w:rPr>
        <w:t xml:space="preserve"> </w:t>
      </w:r>
      <w:r w:rsidRPr="00B5236D">
        <w:rPr>
          <w:color w:val="2A2A2A"/>
        </w:rPr>
        <w:t>(1994) where the Ho</w:t>
      </w:r>
      <w:r>
        <w:rPr>
          <w:color w:val="2A2A2A"/>
        </w:rPr>
        <w:t xml:space="preserve">use of </w:t>
      </w:r>
      <w:r w:rsidRPr="00B5236D">
        <w:rPr>
          <w:color w:val="2A2A2A"/>
        </w:rPr>
        <w:t>L</w:t>
      </w:r>
      <w:r>
        <w:rPr>
          <w:color w:val="2A2A2A"/>
        </w:rPr>
        <w:t>ords</w:t>
      </w:r>
      <w:r w:rsidRPr="00B5236D">
        <w:rPr>
          <w:b/>
          <w:bCs/>
          <w:color w:val="2A2A2A"/>
        </w:rPr>
        <w:t xml:space="preserve"> </w:t>
      </w:r>
      <w:r w:rsidRPr="00B5236D">
        <w:rPr>
          <w:color w:val="2A2A2A"/>
        </w:rPr>
        <w:t>reversed the decision of the C</w:t>
      </w:r>
      <w:r>
        <w:rPr>
          <w:color w:val="2A2A2A"/>
        </w:rPr>
        <w:t xml:space="preserve">ourt of </w:t>
      </w:r>
      <w:r w:rsidRPr="00B5236D">
        <w:rPr>
          <w:color w:val="2A2A2A"/>
        </w:rPr>
        <w:t>A</w:t>
      </w:r>
      <w:r>
        <w:rPr>
          <w:color w:val="2A2A2A"/>
        </w:rPr>
        <w:t>ppeal</w:t>
      </w:r>
      <w:r w:rsidRPr="00B5236D">
        <w:rPr>
          <w:color w:val="2A2A2A"/>
        </w:rPr>
        <w:t xml:space="preserve"> and</w:t>
      </w:r>
      <w:r w:rsidRPr="00B5236D">
        <w:rPr>
          <w:b/>
          <w:bCs/>
          <w:color w:val="2A2A2A"/>
        </w:rPr>
        <w:t xml:space="preserve"> </w:t>
      </w:r>
      <w:r w:rsidRPr="00B5236D">
        <w:rPr>
          <w:color w:val="2A2A2A"/>
        </w:rPr>
        <w:t>held that involuntary intoxication</w:t>
      </w:r>
      <w:r w:rsidRPr="00B5236D">
        <w:rPr>
          <w:b/>
          <w:bCs/>
          <w:color w:val="2A2A2A"/>
        </w:rPr>
        <w:t xml:space="preserve"> </w:t>
      </w:r>
      <w:r>
        <w:rPr>
          <w:color w:val="2A2A2A"/>
        </w:rPr>
        <w:t>will not be a defens</w:t>
      </w:r>
      <w:r w:rsidRPr="00B5236D">
        <w:rPr>
          <w:color w:val="2A2A2A"/>
        </w:rPr>
        <w:t>e unless it</w:t>
      </w:r>
      <w:r w:rsidRPr="00B5236D">
        <w:rPr>
          <w:b/>
          <w:bCs/>
          <w:color w:val="2A2A2A"/>
        </w:rPr>
        <w:t xml:space="preserve"> </w:t>
      </w:r>
      <w:r w:rsidRPr="00B5236D">
        <w:rPr>
          <w:color w:val="2A2A2A"/>
        </w:rPr>
        <w:t>prevents the defendant forming</w:t>
      </w:r>
      <w:r w:rsidRPr="00B5236D">
        <w:rPr>
          <w:b/>
          <w:bCs/>
          <w:color w:val="2A2A2A"/>
        </w:rPr>
        <w:t xml:space="preserve"> </w:t>
      </w:r>
      <w:r w:rsidRPr="00B5236D">
        <w:rPr>
          <w:color w:val="2A2A2A"/>
        </w:rPr>
        <w:t>mens rea for the crime charged</w:t>
      </w:r>
      <w:r w:rsidRPr="00B5236D">
        <w:rPr>
          <w:b/>
          <w:bCs/>
          <w:color w:val="2A2A2A"/>
        </w:rPr>
        <w:t xml:space="preserve"> </w:t>
      </w:r>
      <w:r w:rsidRPr="00B5236D">
        <w:rPr>
          <w:color w:val="2A2A2A"/>
        </w:rPr>
        <w:t>even though the defendant was not</w:t>
      </w:r>
      <w:r w:rsidRPr="00B5236D">
        <w:rPr>
          <w:b/>
          <w:bCs/>
          <w:color w:val="2A2A2A"/>
        </w:rPr>
        <w:t xml:space="preserve"> </w:t>
      </w:r>
      <w:r w:rsidRPr="00B5236D">
        <w:rPr>
          <w:color w:val="2A2A2A"/>
        </w:rPr>
        <w:t>at fault for becoming intoxicated.</w:t>
      </w:r>
      <w:r w:rsidRPr="00B5236D">
        <w:rPr>
          <w:b/>
          <w:bCs/>
          <w:color w:val="2A2A2A"/>
        </w:rPr>
        <w:t xml:space="preserve"> </w:t>
      </w:r>
      <w:r w:rsidRPr="00B5236D">
        <w:rPr>
          <w:color w:val="2A2A2A"/>
        </w:rPr>
        <w:t>This can only be carried out by a</w:t>
      </w:r>
      <w:r w:rsidRPr="00B5236D">
        <w:rPr>
          <w:b/>
          <w:bCs/>
          <w:color w:val="2A2A2A"/>
        </w:rPr>
        <w:t xml:space="preserve"> </w:t>
      </w:r>
      <w:r w:rsidRPr="00B5236D">
        <w:rPr>
          <w:color w:val="2A2A2A"/>
        </w:rPr>
        <w:t>court with enough authority, such</w:t>
      </w:r>
      <w:r w:rsidRPr="00B5236D">
        <w:rPr>
          <w:b/>
          <w:bCs/>
          <w:color w:val="2A2A2A"/>
        </w:rPr>
        <w:t xml:space="preserve"> </w:t>
      </w:r>
      <w:r w:rsidRPr="00B5236D">
        <w:rPr>
          <w:color w:val="2A2A2A"/>
        </w:rPr>
        <w:t xml:space="preserve">as a </w:t>
      </w:r>
      <w:smartTag w:uri="urn:schemas-microsoft-com:office:smarttags" w:element="Street">
        <w:smartTag w:uri="urn:schemas-microsoft-com:office:smarttags" w:element="address">
          <w:r w:rsidRPr="00B5236D">
            <w:rPr>
              <w:color w:val="2A2A2A"/>
            </w:rPr>
            <w:t>Divisional Court</w:t>
          </w:r>
        </w:smartTag>
      </w:smartTag>
      <w:r w:rsidRPr="00B5236D">
        <w:rPr>
          <w:color w:val="2A2A2A"/>
        </w:rPr>
        <w:t>, the CA or</w:t>
      </w:r>
      <w:r w:rsidRPr="00B5236D">
        <w:rPr>
          <w:b/>
          <w:bCs/>
          <w:color w:val="2A2A2A"/>
        </w:rPr>
        <w:t xml:space="preserve"> </w:t>
      </w:r>
      <w:r w:rsidRPr="00B5236D">
        <w:rPr>
          <w:color w:val="2A2A2A"/>
        </w:rPr>
        <w:t>HL.</w:t>
      </w:r>
      <w:r w:rsidRPr="00B5236D">
        <w:rPr>
          <w:b/>
          <w:bCs/>
          <w:color w:val="2A2A2A"/>
        </w:rPr>
        <w:t xml:space="preserve"> </w:t>
      </w:r>
      <w:r w:rsidRPr="00B5236D">
        <w:rPr>
          <w:color w:val="2A2A2A"/>
        </w:rPr>
        <w:t>Most cases stop at the CA and do</w:t>
      </w:r>
      <w:r w:rsidRPr="00B5236D">
        <w:rPr>
          <w:b/>
          <w:bCs/>
          <w:color w:val="2A2A2A"/>
        </w:rPr>
        <w:t xml:space="preserve"> </w:t>
      </w:r>
      <w:r w:rsidRPr="00B5236D">
        <w:rPr>
          <w:color w:val="2A2A2A"/>
        </w:rPr>
        <w:t>not go to the HL</w:t>
      </w:r>
    </w:p>
    <w:p w:rsidR="00543C1C" w:rsidRPr="00B5236D" w:rsidRDefault="00543C1C" w:rsidP="00543C1C">
      <w:pPr>
        <w:pStyle w:val="ecxmsonormal"/>
        <w:spacing w:line="360" w:lineRule="auto"/>
        <w:jc w:val="both"/>
        <w:rPr>
          <w:color w:val="2A2A2A"/>
        </w:rPr>
      </w:pPr>
      <w:r w:rsidRPr="00C605E1">
        <w:rPr>
          <w:bCs/>
          <w:color w:val="2A2A2A"/>
        </w:rPr>
        <w:t xml:space="preserve">Disapproving Precedent </w:t>
      </w:r>
      <w:r w:rsidRPr="00C605E1">
        <w:rPr>
          <w:color w:val="2A2A2A"/>
        </w:rPr>
        <w:t>Judges may disapprove of a</w:t>
      </w:r>
      <w:r w:rsidRPr="00C605E1">
        <w:rPr>
          <w:bCs/>
          <w:color w:val="2A2A2A"/>
        </w:rPr>
        <w:t xml:space="preserve"> </w:t>
      </w:r>
      <w:r w:rsidRPr="00C605E1">
        <w:rPr>
          <w:color w:val="2A2A2A"/>
        </w:rPr>
        <w:t>precedent, which they are</w:t>
      </w:r>
      <w:r w:rsidRPr="00C605E1">
        <w:rPr>
          <w:bCs/>
          <w:color w:val="2A2A2A"/>
        </w:rPr>
        <w:t xml:space="preserve"> </w:t>
      </w:r>
      <w:r w:rsidRPr="00C605E1">
        <w:rPr>
          <w:color w:val="2A2A2A"/>
        </w:rPr>
        <w:t>nevertheless bound to apply, in the</w:t>
      </w:r>
      <w:r>
        <w:rPr>
          <w:color w:val="2A2A2A"/>
        </w:rPr>
        <w:t xml:space="preserve"> </w:t>
      </w:r>
      <w:r w:rsidRPr="00B5236D">
        <w:rPr>
          <w:color w:val="2A2A2A"/>
        </w:rPr>
        <w:t>hope that it will be reconsidered. A superior court may also disapprove of a precedent created by a lower</w:t>
      </w:r>
      <w:r>
        <w:rPr>
          <w:color w:val="2A2A2A"/>
        </w:rPr>
        <w:t xml:space="preserve"> </w:t>
      </w:r>
      <w:r w:rsidRPr="00B5236D">
        <w:rPr>
          <w:color w:val="2A2A2A"/>
        </w:rPr>
        <w:t xml:space="preserve">court without actually over-ruling it. An example of the former is </w:t>
      </w:r>
      <w:r w:rsidRPr="000C5FDD">
        <w:rPr>
          <w:i/>
          <w:iCs/>
          <w:color w:val="2A2A2A"/>
          <w:u w:val="single"/>
        </w:rPr>
        <w:t>Elliott</w:t>
      </w:r>
      <w:r w:rsidRPr="000C5FDD">
        <w:rPr>
          <w:color w:val="2A2A2A"/>
          <w:u w:val="single"/>
        </w:rPr>
        <w:t xml:space="preserve"> </w:t>
      </w:r>
      <w:r w:rsidRPr="000C5FDD">
        <w:rPr>
          <w:i/>
          <w:iCs/>
          <w:color w:val="2A2A2A"/>
          <w:u w:val="single"/>
        </w:rPr>
        <w:t xml:space="preserve">v C </w:t>
      </w:r>
      <w:r w:rsidRPr="00B5236D">
        <w:rPr>
          <w:color w:val="2A2A2A"/>
        </w:rPr>
        <w:t>(1983) where Lord Justice Goff</w:t>
      </w:r>
      <w:r>
        <w:rPr>
          <w:color w:val="2A2A2A"/>
        </w:rPr>
        <w:t xml:space="preserve"> </w:t>
      </w:r>
      <w:r w:rsidRPr="00B5236D">
        <w:rPr>
          <w:color w:val="2A2A2A"/>
        </w:rPr>
        <w:t xml:space="preserve">disapproved of the House of Lord’s decision in </w:t>
      </w:r>
      <w:r w:rsidRPr="000C5FDD">
        <w:rPr>
          <w:i/>
          <w:iCs/>
          <w:color w:val="2A2A2A"/>
          <w:u w:val="single"/>
        </w:rPr>
        <w:t xml:space="preserve">R v </w:t>
      </w:r>
      <w:smartTag w:uri="urn:schemas-microsoft-com:office:smarttags" w:element="City">
        <w:smartTag w:uri="urn:schemas-microsoft-com:office:smarttags" w:element="place">
          <w:r w:rsidRPr="000C5FDD">
            <w:rPr>
              <w:i/>
              <w:iCs/>
              <w:color w:val="2A2A2A"/>
              <w:u w:val="single"/>
            </w:rPr>
            <w:t>Caldwell</w:t>
          </w:r>
        </w:smartTag>
      </w:smartTag>
      <w:r w:rsidRPr="00B5236D">
        <w:rPr>
          <w:i/>
          <w:iCs/>
          <w:color w:val="2A2A2A"/>
        </w:rPr>
        <w:t xml:space="preserve"> </w:t>
      </w:r>
      <w:r w:rsidRPr="00B5236D">
        <w:rPr>
          <w:color w:val="2A2A2A"/>
        </w:rPr>
        <w:t>(1981) which established objective recklessness.</w:t>
      </w:r>
      <w:r>
        <w:rPr>
          <w:color w:val="2A2A2A"/>
        </w:rPr>
        <w:t xml:space="preserve"> </w:t>
      </w:r>
      <w:r w:rsidRPr="00B5236D">
        <w:rPr>
          <w:color w:val="2A2A2A"/>
        </w:rPr>
        <w:t xml:space="preserve">An example of the latter is </w:t>
      </w:r>
      <w:r w:rsidRPr="000C5FDD">
        <w:rPr>
          <w:i/>
          <w:iCs/>
          <w:color w:val="2A2A2A"/>
          <w:u w:val="single"/>
        </w:rPr>
        <w:t>B v DPP</w:t>
      </w:r>
      <w:r w:rsidRPr="00B5236D">
        <w:rPr>
          <w:i/>
          <w:iCs/>
          <w:color w:val="2A2A2A"/>
        </w:rPr>
        <w:t xml:space="preserve"> </w:t>
      </w:r>
      <w:r w:rsidRPr="00B5236D">
        <w:rPr>
          <w:color w:val="2A2A2A"/>
        </w:rPr>
        <w:t>(2001) where the House of Lords</w:t>
      </w:r>
      <w:r w:rsidRPr="00B5236D">
        <w:rPr>
          <w:i/>
          <w:iCs/>
          <w:color w:val="2A2A2A"/>
        </w:rPr>
        <w:t xml:space="preserve"> </w:t>
      </w:r>
      <w:r w:rsidRPr="00B5236D">
        <w:rPr>
          <w:color w:val="2A2A2A"/>
        </w:rPr>
        <w:t>disapproved of the strict liability</w:t>
      </w:r>
      <w:r>
        <w:rPr>
          <w:color w:val="2A2A2A"/>
        </w:rPr>
        <w:t xml:space="preserve"> </w:t>
      </w:r>
      <w:r w:rsidRPr="00B5236D">
        <w:rPr>
          <w:color w:val="2A2A2A"/>
        </w:rPr>
        <w:t xml:space="preserve">case, </w:t>
      </w:r>
      <w:r w:rsidRPr="000C5FDD">
        <w:rPr>
          <w:i/>
          <w:iCs/>
          <w:color w:val="2A2A2A"/>
          <w:u w:val="single"/>
        </w:rPr>
        <w:t>R v Prince</w:t>
      </w:r>
      <w:r w:rsidRPr="00B5236D">
        <w:rPr>
          <w:i/>
          <w:iCs/>
          <w:color w:val="2A2A2A"/>
        </w:rPr>
        <w:t xml:space="preserve"> </w:t>
      </w:r>
      <w:r w:rsidRPr="00B5236D">
        <w:rPr>
          <w:color w:val="2A2A2A"/>
        </w:rPr>
        <w:t>(1875). Criticism may persuade a court to overrule a heavily criticized precedent.</w:t>
      </w:r>
    </w:p>
    <w:p w:rsidR="00543C1C" w:rsidRPr="00B5236D" w:rsidRDefault="00543C1C" w:rsidP="00543C1C">
      <w:pPr>
        <w:pStyle w:val="ecxmsonormal"/>
        <w:spacing w:line="360" w:lineRule="auto"/>
        <w:jc w:val="both"/>
        <w:rPr>
          <w:color w:val="2A2A2A"/>
        </w:rPr>
      </w:pPr>
      <w:r>
        <w:rPr>
          <w:color w:val="000000"/>
        </w:rPr>
        <w:t xml:space="preserve">Many areas of </w:t>
      </w:r>
      <w:r w:rsidRPr="00B5236D">
        <w:rPr>
          <w:color w:val="000000"/>
        </w:rPr>
        <w:t>law have been developed by the decisions of judges, for example, the tort of negligence.  The speed at which the law develops can depend on whether the judge is an active or passive law maker.</w:t>
      </w:r>
      <w:r>
        <w:rPr>
          <w:color w:val="000000"/>
        </w:rPr>
        <w:t xml:space="preserve"> </w:t>
      </w:r>
      <w:r w:rsidRPr="00B5236D">
        <w:rPr>
          <w:color w:val="000000"/>
        </w:rPr>
        <w:t xml:space="preserve">Active law making can be seen in the case of </w:t>
      </w:r>
      <w:r w:rsidRPr="000C5FDD">
        <w:rPr>
          <w:i/>
          <w:color w:val="000000"/>
          <w:u w:val="single"/>
        </w:rPr>
        <w:t>R v R</w:t>
      </w:r>
      <w:r w:rsidRPr="00B5236D">
        <w:rPr>
          <w:color w:val="000000"/>
        </w:rPr>
        <w:t xml:space="preserve"> (1991) where the House of Lords ruled that rape within marriage was a criminal offence.  An example of passive law making is seen in the case of </w:t>
      </w:r>
      <w:r w:rsidRPr="000C5FDD">
        <w:rPr>
          <w:i/>
          <w:color w:val="000000"/>
          <w:u w:val="single"/>
        </w:rPr>
        <w:t>C v DPP</w:t>
      </w:r>
      <w:r w:rsidRPr="00B5236D">
        <w:rPr>
          <w:color w:val="000000"/>
        </w:rPr>
        <w:t xml:space="preserve"> (1995) where the House of Lords refused to change </w:t>
      </w:r>
      <w:r w:rsidRPr="00B5236D">
        <w:rPr>
          <w:color w:val="000000"/>
        </w:rPr>
        <w:lastRenderedPageBreak/>
        <w:t>the presumption about criminal responsibility of children under the age of 14, feeling that it was the job of Parliament to make such major changes to our law.</w:t>
      </w:r>
    </w:p>
    <w:p w:rsidR="00543C1C" w:rsidRPr="00B5236D" w:rsidRDefault="00543C1C" w:rsidP="00543C1C">
      <w:pPr>
        <w:pStyle w:val="ecxmsonormal"/>
        <w:spacing w:line="360" w:lineRule="auto"/>
        <w:jc w:val="both"/>
        <w:rPr>
          <w:color w:val="2A2A2A"/>
        </w:rPr>
      </w:pPr>
      <w:r w:rsidRPr="00B5236D">
        <w:rPr>
          <w:color w:val="000000"/>
        </w:rPr>
        <w:t>There are a number of advantages and disadvantages of pre</w:t>
      </w:r>
      <w:r>
        <w:rPr>
          <w:color w:val="000000"/>
        </w:rPr>
        <w:t>cedents. The advantages are that i</w:t>
      </w:r>
      <w:r w:rsidRPr="00B5236D">
        <w:rPr>
          <w:color w:val="000000"/>
        </w:rPr>
        <w:t>t creates certainty in the law and</w:t>
      </w:r>
      <w:r>
        <w:rPr>
          <w:color w:val="000000"/>
        </w:rPr>
        <w:t xml:space="preserve"> means lawyers</w:t>
      </w:r>
      <w:r w:rsidRPr="00B5236D">
        <w:rPr>
          <w:color w:val="000000"/>
        </w:rPr>
        <w:t xml:space="preserve"> can advise their clients on the </w:t>
      </w:r>
      <w:r>
        <w:rPr>
          <w:color w:val="000000"/>
        </w:rPr>
        <w:t>probable outcome of their case.</w:t>
      </w:r>
      <w:r w:rsidRPr="00B5236D">
        <w:rPr>
          <w:color w:val="000000"/>
        </w:rPr>
        <w:t xml:space="preserve"> Similar cases are treated in a similar way, this is in the interests of justice and fairness. It saves court time as for most situations there is already an existing solution and most importantly it allows the law to develop alongside society</w:t>
      </w:r>
      <w:r>
        <w:rPr>
          <w:color w:val="000000"/>
        </w:rPr>
        <w:t xml:space="preserve">. </w:t>
      </w:r>
      <w:r w:rsidRPr="00737E55">
        <w:rPr>
          <w:bCs/>
          <w:i/>
          <w:color w:val="000000"/>
          <w:u w:val="single"/>
        </w:rPr>
        <w:t>R v R</w:t>
      </w:r>
      <w:r w:rsidRPr="00737E55">
        <w:rPr>
          <w:i/>
          <w:color w:val="000000"/>
        </w:rPr>
        <w:t xml:space="preserve"> (</w:t>
      </w:r>
      <w:r>
        <w:rPr>
          <w:color w:val="000000"/>
        </w:rPr>
        <w:t xml:space="preserve">1991) </w:t>
      </w:r>
      <w:r w:rsidRPr="00B5236D">
        <w:rPr>
          <w:color w:val="000000"/>
        </w:rPr>
        <w:t>overturned a centuries old legal principle that a man could not rape his wife.</w:t>
      </w:r>
    </w:p>
    <w:p w:rsidR="00543C1C" w:rsidRDefault="00543C1C" w:rsidP="00543C1C">
      <w:pPr>
        <w:pStyle w:val="ecxmsonormal"/>
        <w:spacing w:line="360" w:lineRule="auto"/>
        <w:jc w:val="both"/>
      </w:pPr>
      <w:r>
        <w:t>However, t</w:t>
      </w:r>
      <w:r w:rsidRPr="00B5236D">
        <w:t xml:space="preserve">here </w:t>
      </w:r>
      <w:r>
        <w:t>are also many disadvantages as t</w:t>
      </w:r>
      <w:r w:rsidRPr="00B5236D">
        <w:t>he system is too rigid and does not allow the law to develop enough. The strict rules of judicial precedent can create injustice in individual cases. The law is slow to develop under the system of judicial precedent.  The law cannot be changed until a case on a particular point of law comes before one of the higher appellate courts. Hundreds of cases are reported each year, making it hard to find the relevant precedent which should be followed. The law is too complex with thousands of fine distinctions.</w:t>
      </w:r>
      <w:r>
        <w:tab/>
      </w:r>
      <w:r>
        <w:tab/>
      </w:r>
    </w:p>
    <w:p w:rsidR="00543C1C" w:rsidRDefault="00543C1C" w:rsidP="00543C1C">
      <w:pPr>
        <w:pStyle w:val="ecxmsonormal"/>
        <w:jc w:val="both"/>
      </w:pPr>
      <w:r>
        <w:t>(Words: 1,997)</w:t>
      </w:r>
    </w:p>
    <w:p w:rsidR="00543C1C" w:rsidRDefault="00543C1C" w:rsidP="00543C1C">
      <w:pPr>
        <w:pStyle w:val="ecxmsonormal"/>
        <w:jc w:val="center"/>
      </w:pPr>
      <w:r>
        <w:t xml:space="preserve">____________________________________________ </w:t>
      </w:r>
    </w:p>
    <w:p w:rsidR="00543C1C" w:rsidRDefault="00543C1C" w:rsidP="00543C1C">
      <w:pPr>
        <w:jc w:val="center"/>
        <w:rPr>
          <w:b/>
          <w:sz w:val="36"/>
          <w:szCs w:val="36"/>
        </w:rPr>
      </w:pPr>
      <w:r w:rsidRPr="00B5236D">
        <w:rPr>
          <w:b/>
          <w:sz w:val="36"/>
          <w:szCs w:val="36"/>
        </w:rPr>
        <w:t>Bibliography</w:t>
      </w:r>
    </w:p>
    <w:p w:rsidR="00543C1C" w:rsidRPr="00B5236D" w:rsidRDefault="00543C1C" w:rsidP="00543C1C">
      <w:pPr>
        <w:jc w:val="center"/>
        <w:rPr>
          <w:b/>
          <w:sz w:val="36"/>
          <w:szCs w:val="36"/>
        </w:rPr>
      </w:pPr>
    </w:p>
    <w:p w:rsidR="00543C1C" w:rsidRPr="00B5236D" w:rsidRDefault="00543C1C" w:rsidP="00543C1C"/>
    <w:p w:rsidR="00543C1C" w:rsidRDefault="00543C1C" w:rsidP="00543C1C">
      <w:pPr>
        <w:numPr>
          <w:ilvl w:val="0"/>
          <w:numId w:val="3"/>
        </w:numPr>
        <w:jc w:val="both"/>
      </w:pPr>
      <w:r w:rsidRPr="00B5236D">
        <w:t>Hillarie Barnett 8</w:t>
      </w:r>
      <w:r w:rsidRPr="00B5236D">
        <w:rPr>
          <w:vertAlign w:val="superscript"/>
        </w:rPr>
        <w:t>th</w:t>
      </w:r>
      <w:r w:rsidRPr="00B5236D">
        <w:t xml:space="preserve"> edition. [2011],</w:t>
      </w:r>
      <w:r>
        <w:t xml:space="preserve"> </w:t>
      </w:r>
      <w:r w:rsidRPr="00B5236D">
        <w:t>Constitutional and Administration Law,</w:t>
      </w:r>
      <w:r>
        <w:t xml:space="preserve"> </w:t>
      </w:r>
      <w:r w:rsidRPr="00B5236D">
        <w:t>Routledge.</w:t>
      </w:r>
    </w:p>
    <w:p w:rsidR="00543C1C" w:rsidRPr="00B5236D" w:rsidRDefault="00543C1C" w:rsidP="00543C1C">
      <w:pPr>
        <w:ind w:left="360"/>
        <w:jc w:val="both"/>
      </w:pPr>
    </w:p>
    <w:p w:rsidR="00543C1C" w:rsidRDefault="00543C1C" w:rsidP="00543C1C">
      <w:pPr>
        <w:numPr>
          <w:ilvl w:val="0"/>
          <w:numId w:val="3"/>
        </w:numPr>
        <w:jc w:val="both"/>
      </w:pPr>
      <w:r w:rsidRPr="00B5236D">
        <w:t>Adam Gearey, Wayen</w:t>
      </w:r>
      <w:r>
        <w:t xml:space="preserve"> Morri</w:t>
      </w:r>
      <w:r w:rsidRPr="00B5236D">
        <w:t>son and Robert Jago,</w:t>
      </w:r>
      <w:r>
        <w:t xml:space="preserve"> [2009], </w:t>
      </w:r>
      <w:r w:rsidRPr="00B5236D">
        <w:t>The Po</w:t>
      </w:r>
      <w:r>
        <w:t>litics of common Law,Routledge-C</w:t>
      </w:r>
      <w:r w:rsidRPr="00B5236D">
        <w:t>avendish.</w:t>
      </w:r>
    </w:p>
    <w:p w:rsidR="00543C1C" w:rsidRPr="00B5236D" w:rsidRDefault="00543C1C" w:rsidP="00543C1C">
      <w:pPr>
        <w:jc w:val="both"/>
      </w:pPr>
    </w:p>
    <w:p w:rsidR="00543C1C" w:rsidRDefault="00543C1C" w:rsidP="00543C1C">
      <w:pPr>
        <w:numPr>
          <w:ilvl w:val="0"/>
          <w:numId w:val="3"/>
        </w:numPr>
        <w:jc w:val="both"/>
      </w:pPr>
      <w:r w:rsidRPr="00B5236D">
        <w:t>Hillarie Barnett and Morrison Diamantides [2007],</w:t>
      </w:r>
      <w:r>
        <w:t xml:space="preserve"> </w:t>
      </w:r>
      <w:r w:rsidRPr="00B5236D">
        <w:t>Public Law Subject Gu</w:t>
      </w:r>
      <w:r>
        <w:t xml:space="preserve">ide,university of </w:t>
      </w:r>
      <w:smartTag w:uri="urn:schemas-microsoft-com:office:smarttags" w:element="place">
        <w:smartTag w:uri="urn:schemas-microsoft-com:office:smarttags" w:element="City">
          <w:r>
            <w:t>London</w:t>
          </w:r>
        </w:smartTag>
      </w:smartTag>
      <w:r>
        <w:t xml:space="preserve">  Press.</w:t>
      </w:r>
    </w:p>
    <w:p w:rsidR="00543C1C" w:rsidRPr="00B5236D" w:rsidRDefault="00543C1C" w:rsidP="00543C1C">
      <w:pPr>
        <w:jc w:val="both"/>
      </w:pPr>
    </w:p>
    <w:p w:rsidR="00543C1C" w:rsidRDefault="00543C1C" w:rsidP="00543C1C">
      <w:pPr>
        <w:numPr>
          <w:ilvl w:val="0"/>
          <w:numId w:val="3"/>
        </w:numPr>
        <w:jc w:val="both"/>
      </w:pPr>
      <w:r w:rsidRPr="00B5236D">
        <w:t xml:space="preserve">Wayne Morrison and Adam Gearet [2007] Common Law Reasoning and Institutions subject guide, </w:t>
      </w:r>
      <w:smartTag w:uri="urn:schemas-microsoft-com:office:smarttags" w:element="place">
        <w:smartTag w:uri="urn:schemas-microsoft-com:office:smarttags" w:element="PlaceType">
          <w:r w:rsidRPr="00B5236D">
            <w:t>University</w:t>
          </w:r>
        </w:smartTag>
        <w:r>
          <w:t xml:space="preserve"> of </w:t>
        </w:r>
        <w:smartTag w:uri="urn:schemas-microsoft-com:office:smarttags" w:element="PlaceName">
          <w:smartTag w:uri="urn:schemas-microsoft-com:office:smarttags" w:element="PlaceName">
            <w:r w:rsidRPr="00B5236D">
              <w:t>London</w:t>
            </w:r>
          </w:smartTag>
          <w:r w:rsidRPr="00B5236D">
            <w:t xml:space="preserve"> Press</w:t>
          </w:r>
        </w:smartTag>
      </w:smartTag>
      <w:r w:rsidRPr="00B5236D">
        <w:t>.</w:t>
      </w:r>
    </w:p>
    <w:p w:rsidR="00543C1C" w:rsidRPr="00B5236D" w:rsidRDefault="00543C1C" w:rsidP="00543C1C">
      <w:pPr>
        <w:jc w:val="both"/>
      </w:pPr>
    </w:p>
    <w:p w:rsidR="00543C1C" w:rsidRPr="00B5236D" w:rsidRDefault="00543C1C" w:rsidP="00543C1C">
      <w:pPr>
        <w:numPr>
          <w:ilvl w:val="0"/>
          <w:numId w:val="3"/>
        </w:numPr>
        <w:jc w:val="both"/>
      </w:pPr>
      <w:r w:rsidRPr="00B5236D">
        <w:t>Gary Slapper and David Kelly, 11</w:t>
      </w:r>
      <w:r w:rsidRPr="00B5236D">
        <w:rPr>
          <w:vertAlign w:val="superscript"/>
        </w:rPr>
        <w:t>th</w:t>
      </w:r>
      <w:r>
        <w:t xml:space="preserve"> E</w:t>
      </w:r>
      <w:r w:rsidRPr="00B5236D">
        <w:t>dition</w:t>
      </w:r>
      <w:r>
        <w:t xml:space="preserve"> [2010], </w:t>
      </w:r>
      <w:r w:rsidRPr="00B5236D">
        <w:t>The English Legal System, Routledge.</w:t>
      </w:r>
    </w:p>
    <w:p w:rsidR="00543C1C" w:rsidRPr="00B5236D" w:rsidRDefault="00543C1C" w:rsidP="00543C1C">
      <w:pPr>
        <w:jc w:val="both"/>
      </w:pPr>
    </w:p>
    <w:p w:rsidR="00543C1C" w:rsidRPr="00B5236D" w:rsidRDefault="00543C1C" w:rsidP="00543C1C">
      <w:pPr>
        <w:jc w:val="center"/>
        <w:rPr>
          <w:b/>
          <w:sz w:val="36"/>
          <w:szCs w:val="36"/>
        </w:rPr>
      </w:pPr>
      <w:r w:rsidRPr="00B5236D">
        <w:rPr>
          <w:b/>
          <w:sz w:val="36"/>
          <w:szCs w:val="36"/>
        </w:rPr>
        <w:t>References</w:t>
      </w:r>
    </w:p>
    <w:p w:rsidR="00543C1C" w:rsidRPr="00B5236D" w:rsidRDefault="00543C1C" w:rsidP="00543C1C">
      <w:pPr>
        <w:jc w:val="both"/>
      </w:pPr>
    </w:p>
    <w:p w:rsidR="00543C1C" w:rsidRDefault="00543C1C" w:rsidP="00543C1C">
      <w:pPr>
        <w:numPr>
          <w:ilvl w:val="0"/>
          <w:numId w:val="3"/>
        </w:numPr>
        <w:jc w:val="both"/>
      </w:pPr>
      <w:r w:rsidRPr="00B5236D">
        <w:t>Buxton, R.</w:t>
      </w:r>
      <w:r>
        <w:t xml:space="preserve"> </w:t>
      </w:r>
      <w:r w:rsidRPr="00B5236D">
        <w:t>(2009)</w:t>
      </w:r>
      <w:r>
        <w:t xml:space="preserve"> </w:t>
      </w:r>
      <w:r w:rsidRPr="00B5236D">
        <w:t>How the Common Law gets made. Hedl</w:t>
      </w:r>
      <w:r>
        <w:t>e</w:t>
      </w:r>
      <w:r w:rsidRPr="00B5236D">
        <w:t>y Byrne and other Cautionary Tales,</w:t>
      </w:r>
      <w:r>
        <w:t xml:space="preserve"> </w:t>
      </w:r>
      <w:r w:rsidRPr="00B5236D">
        <w:t>125 law Quarterly Review.</w:t>
      </w:r>
    </w:p>
    <w:p w:rsidR="00543C1C" w:rsidRPr="00B5236D" w:rsidRDefault="00543C1C" w:rsidP="00543C1C">
      <w:pPr>
        <w:ind w:left="360"/>
        <w:jc w:val="both"/>
      </w:pPr>
    </w:p>
    <w:p w:rsidR="00543C1C" w:rsidRDefault="00543C1C" w:rsidP="00543C1C">
      <w:pPr>
        <w:numPr>
          <w:ilvl w:val="0"/>
          <w:numId w:val="3"/>
        </w:numPr>
        <w:jc w:val="both"/>
      </w:pPr>
      <w:r w:rsidRPr="00B5236D">
        <w:t>Harris. B, V</w:t>
      </w:r>
      <w:r>
        <w:t xml:space="preserve"> </w:t>
      </w:r>
      <w:r w:rsidRPr="00B5236D">
        <w:t>(2002)</w:t>
      </w:r>
      <w:r>
        <w:t xml:space="preserve"> </w:t>
      </w:r>
      <w:r w:rsidRPr="00B5236D">
        <w:t>Final Appellate Courts Overruling their Own, Wrong Precedents :the Ongoing search for Principle,118 Law Quarterly Review,408.</w:t>
      </w:r>
    </w:p>
    <w:p w:rsidR="00543C1C" w:rsidRPr="00B5236D" w:rsidRDefault="00543C1C" w:rsidP="00543C1C">
      <w:pPr>
        <w:jc w:val="both"/>
      </w:pPr>
    </w:p>
    <w:p w:rsidR="00543C1C" w:rsidRDefault="00543C1C" w:rsidP="00543C1C">
      <w:pPr>
        <w:numPr>
          <w:ilvl w:val="0"/>
          <w:numId w:val="3"/>
        </w:numPr>
        <w:jc w:val="both"/>
      </w:pPr>
      <w:r w:rsidRPr="00B5236D">
        <w:t>Harris,</w:t>
      </w:r>
      <w:r>
        <w:t xml:space="preserve"> </w:t>
      </w:r>
      <w:r w:rsidRPr="00B5236D">
        <w:t>J.W.(1990),Toward principles of Overruling-When should court of Appeal Second guess?, Oxford Journal of Legal Studies,135.</w:t>
      </w:r>
    </w:p>
    <w:p w:rsidR="00543C1C" w:rsidRPr="00B5236D" w:rsidRDefault="00543C1C" w:rsidP="00543C1C">
      <w:pPr>
        <w:jc w:val="both"/>
      </w:pPr>
    </w:p>
    <w:p w:rsidR="00543C1C" w:rsidRPr="00B5236D" w:rsidRDefault="00543C1C" w:rsidP="00543C1C">
      <w:pPr>
        <w:numPr>
          <w:ilvl w:val="0"/>
          <w:numId w:val="3"/>
        </w:numPr>
      </w:pPr>
      <w:r w:rsidRPr="00B5236D">
        <w:t>Roger,</w:t>
      </w:r>
      <w:r>
        <w:t xml:space="preserve"> </w:t>
      </w:r>
      <w:r w:rsidRPr="00B5236D">
        <w:t>A.</w:t>
      </w:r>
      <w:r>
        <w:t xml:space="preserve"> </w:t>
      </w:r>
      <w:r w:rsidRPr="00B5236D">
        <w:t>(Lord)(2005),A Time for Everything under Law,</w:t>
      </w:r>
      <w:r>
        <w:t xml:space="preserve"> </w:t>
      </w:r>
      <w:r w:rsidRPr="00B5236D">
        <w:t>some Reflections on Restropectivity,</w:t>
      </w:r>
      <w:r>
        <w:t xml:space="preserve"> </w:t>
      </w:r>
      <w:r w:rsidRPr="00B5236D">
        <w:t>Law Quarterly Review,(121),57.</w:t>
      </w:r>
    </w:p>
    <w:p w:rsidR="00543C1C" w:rsidRPr="003955AF" w:rsidRDefault="00543C1C" w:rsidP="00543C1C"/>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p>
    <w:p w:rsidR="00543C1C" w:rsidRDefault="00543C1C">
      <w:pPr>
        <w:rPr>
          <w:b/>
        </w:rPr>
      </w:pPr>
      <w:r>
        <w:rPr>
          <w:b/>
        </w:rPr>
        <w:lastRenderedPageBreak/>
        <w:t>SAMPLE No:-3</w:t>
      </w:r>
    </w:p>
    <w:p w:rsidR="00543C1C" w:rsidRDefault="00543C1C">
      <w:pPr>
        <w:rPr>
          <w:b/>
        </w:rPr>
      </w:pPr>
    </w:p>
    <w:p w:rsidR="00543C1C" w:rsidRDefault="00543C1C">
      <w:pPr>
        <w:rPr>
          <w:b/>
        </w:rPr>
      </w:pPr>
    </w:p>
    <w:p w:rsidR="00543C1C" w:rsidRPr="00FD70F5" w:rsidRDefault="00543C1C" w:rsidP="00543C1C">
      <w:pPr>
        <w:jc w:val="center"/>
      </w:pPr>
      <w:r w:rsidRPr="00FD70F5">
        <w:t>There  is  no  hope  of  doing  perfect  research  (Griffiths, 1998, p97). Do  you  agree?</w:t>
      </w:r>
    </w:p>
    <w:p w:rsidR="00543C1C" w:rsidRPr="00FD70F5" w:rsidRDefault="00543C1C" w:rsidP="00543C1C"/>
    <w:p w:rsidR="00543C1C" w:rsidRPr="00A51DBC" w:rsidRDefault="00543C1C" w:rsidP="00543C1C">
      <w:r w:rsidRPr="00FD70F5">
        <w:t xml:space="preserve">                        Research:  is  defined  as  any  gathering  of  information,  data  or  facts  for  further  knowledge  or  advancement.  Basically  research  is performing  a  methodical  study  in  order  to  prove  a  hypothesis  or  answer </w:t>
      </w:r>
      <w:r>
        <w:t xml:space="preserve"> </w:t>
      </w:r>
      <w:r w:rsidRPr="00FD70F5">
        <w:t xml:space="preserve">a </w:t>
      </w:r>
      <w:r>
        <w:t xml:space="preserve"> specific  question.  The  </w:t>
      </w:r>
      <w:r w:rsidRPr="00FD70F5">
        <w:t xml:space="preserve">central  goal  is  finding  a  definitive  answer.  In  order  to  attain  that </w:t>
      </w:r>
      <w:r>
        <w:t xml:space="preserve"> </w:t>
      </w:r>
      <w:r w:rsidRPr="00FD70F5">
        <w:t>goal  one  must  strive  to</w:t>
      </w:r>
      <w:r>
        <w:t xml:space="preserve">wards  perfection,  yet  it  is  </w:t>
      </w:r>
      <w:r w:rsidRPr="00FD70F5">
        <w:t xml:space="preserve">a   known  fact  that  it  is  impossible  to  conduct  an  accurate  research  without  any  flaws,  faults  or  errors.  The  reason  being  as  research  is  done  by  human  beings  and  it  is  a  universal  truth  that  man  is  not  born  all  knowing,  he </w:t>
      </w:r>
      <w:r>
        <w:t xml:space="preserve"> </w:t>
      </w:r>
      <w:r w:rsidRPr="00FD70F5">
        <w:t xml:space="preserve">gradually  attains  knowledge  through  trail  and  error.  Thus  agreeing  with  the  statement  that  ‘There  is  no  hope  of  doing  perfect  research’,  constitutes  to  the  fact  that    the  genuine  process  of  research  involves  mistakes, errors  and  inaccuracies  and  so  in  order  to  achieve  the  desired  result  one  is  bound  to  encounter   a  </w:t>
      </w:r>
      <w:r w:rsidRPr="00A51DBC">
        <w:t xml:space="preserve">great  deal  of  failure.       </w:t>
      </w:r>
    </w:p>
    <w:p w:rsidR="00543C1C" w:rsidRPr="00CF27EC" w:rsidRDefault="00543C1C" w:rsidP="00543C1C">
      <w:r w:rsidRPr="00CF27EC">
        <w:t xml:space="preserve">                       Although  there  are  several  different  types  of  researches, but  generally  speaking  research  can  either  be  qualitative  or  quantitative. </w:t>
      </w:r>
      <w:r>
        <w:t>“</w:t>
      </w:r>
      <w:r w:rsidRPr="00CF27EC">
        <w:t xml:space="preserve"> </w:t>
      </w:r>
      <w:r>
        <w:t>In  t</w:t>
      </w:r>
      <w:r w:rsidRPr="00CF27EC">
        <w:rPr>
          <w:rStyle w:val="apple-style-span"/>
          <w:shd w:val="clear" w:color="auto" w:fill="FFFFFF"/>
        </w:rPr>
        <w:t xml:space="preserve">he </w:t>
      </w:r>
      <w:r>
        <w:rPr>
          <w:rStyle w:val="apple-style-span"/>
          <w:shd w:val="clear" w:color="auto" w:fill="FFFFFF"/>
        </w:rPr>
        <w:t xml:space="preserve"> </w:t>
      </w:r>
      <w:r w:rsidRPr="00CF27EC">
        <w:rPr>
          <w:rStyle w:val="apple-style-span"/>
          <w:shd w:val="clear" w:color="auto" w:fill="FFFFFF"/>
        </w:rPr>
        <w:t xml:space="preserve">qualitative </w:t>
      </w:r>
      <w:r>
        <w:rPr>
          <w:rStyle w:val="apple-style-span"/>
          <w:shd w:val="clear" w:color="auto" w:fill="FFFFFF"/>
        </w:rPr>
        <w:t xml:space="preserve"> research approach  the</w:t>
      </w:r>
      <w:r w:rsidRPr="00CF27EC">
        <w:rPr>
          <w:rStyle w:val="apple-style-span"/>
          <w:shd w:val="clear" w:color="auto" w:fill="FFFFFF"/>
        </w:rPr>
        <w:t xml:space="preserve"> </w:t>
      </w:r>
      <w:r>
        <w:rPr>
          <w:rStyle w:val="apple-style-span"/>
          <w:shd w:val="clear" w:color="auto" w:fill="FFFFFF"/>
        </w:rPr>
        <w:t xml:space="preserve"> </w:t>
      </w:r>
      <w:r w:rsidRPr="00CF27EC">
        <w:rPr>
          <w:rStyle w:val="apple-style-span"/>
          <w:shd w:val="clear" w:color="auto" w:fill="FFFFFF"/>
        </w:rPr>
        <w:t xml:space="preserve">researcher </w:t>
      </w:r>
      <w:r>
        <w:rPr>
          <w:rStyle w:val="apple-style-span"/>
          <w:shd w:val="clear" w:color="auto" w:fill="FFFFFF"/>
        </w:rPr>
        <w:t xml:space="preserve"> </w:t>
      </w:r>
      <w:r w:rsidRPr="00CF27EC">
        <w:rPr>
          <w:rStyle w:val="apple-style-span"/>
          <w:shd w:val="clear" w:color="auto" w:fill="FFFFFF"/>
        </w:rPr>
        <w:t xml:space="preserve">is </w:t>
      </w:r>
      <w:r>
        <w:rPr>
          <w:rStyle w:val="apple-style-span"/>
          <w:shd w:val="clear" w:color="auto" w:fill="FFFFFF"/>
        </w:rPr>
        <w:t xml:space="preserve"> </w:t>
      </w:r>
      <w:r w:rsidRPr="00CF27EC">
        <w:rPr>
          <w:rStyle w:val="apple-style-span"/>
          <w:shd w:val="clear" w:color="auto" w:fill="FFFFFF"/>
        </w:rPr>
        <w:t xml:space="preserve">placed </w:t>
      </w:r>
      <w:r>
        <w:rPr>
          <w:rStyle w:val="apple-style-span"/>
          <w:shd w:val="clear" w:color="auto" w:fill="FFFFFF"/>
        </w:rPr>
        <w:t xml:space="preserve"> </w:t>
      </w:r>
      <w:r w:rsidRPr="00CF27EC">
        <w:rPr>
          <w:rStyle w:val="apple-style-span"/>
          <w:shd w:val="clear" w:color="auto" w:fill="FFFFFF"/>
        </w:rPr>
        <w:t xml:space="preserve">as </w:t>
      </w:r>
      <w:r>
        <w:rPr>
          <w:rStyle w:val="apple-style-span"/>
          <w:shd w:val="clear" w:color="auto" w:fill="FFFFFF"/>
        </w:rPr>
        <w:t xml:space="preserve"> </w:t>
      </w:r>
      <w:r w:rsidRPr="00CF27EC">
        <w:rPr>
          <w:rStyle w:val="apple-style-span"/>
          <w:shd w:val="clear" w:color="auto" w:fill="FFFFFF"/>
        </w:rPr>
        <w:t xml:space="preserve">a </w:t>
      </w:r>
      <w:r>
        <w:rPr>
          <w:rStyle w:val="apple-style-span"/>
          <w:shd w:val="clear" w:color="auto" w:fill="FFFFFF"/>
        </w:rPr>
        <w:t xml:space="preserve"> </w:t>
      </w:r>
      <w:r w:rsidRPr="00CF27EC">
        <w:rPr>
          <w:rStyle w:val="apple-style-span"/>
          <w:shd w:val="clear" w:color="auto" w:fill="FFFFFF"/>
        </w:rPr>
        <w:t xml:space="preserve">key </w:t>
      </w:r>
      <w:r>
        <w:rPr>
          <w:rStyle w:val="apple-style-span"/>
          <w:shd w:val="clear" w:color="auto" w:fill="FFFFFF"/>
        </w:rPr>
        <w:t xml:space="preserve"> </w:t>
      </w:r>
      <w:r w:rsidRPr="00CF27EC">
        <w:rPr>
          <w:rStyle w:val="apple-style-span"/>
          <w:shd w:val="clear" w:color="auto" w:fill="FFFFFF"/>
        </w:rPr>
        <w:t xml:space="preserve">point </w:t>
      </w:r>
      <w:r>
        <w:rPr>
          <w:rStyle w:val="apple-style-span"/>
          <w:shd w:val="clear" w:color="auto" w:fill="FFFFFF"/>
        </w:rPr>
        <w:t xml:space="preserve"> </w:t>
      </w:r>
      <w:r w:rsidRPr="00CF27EC">
        <w:rPr>
          <w:rStyle w:val="apple-style-span"/>
          <w:shd w:val="clear" w:color="auto" w:fill="FFFFFF"/>
        </w:rPr>
        <w:t xml:space="preserve">of </w:t>
      </w:r>
      <w:r>
        <w:rPr>
          <w:rStyle w:val="apple-style-span"/>
          <w:shd w:val="clear" w:color="auto" w:fill="FFFFFF"/>
        </w:rPr>
        <w:t xml:space="preserve"> </w:t>
      </w:r>
      <w:r w:rsidRPr="00CF27EC">
        <w:rPr>
          <w:rStyle w:val="apple-style-span"/>
          <w:shd w:val="clear" w:color="auto" w:fill="FFFFFF"/>
        </w:rPr>
        <w:t xml:space="preserve">research. </w:t>
      </w:r>
      <w:r>
        <w:rPr>
          <w:rStyle w:val="apple-style-span"/>
          <w:shd w:val="clear" w:color="auto" w:fill="FFFFFF"/>
        </w:rPr>
        <w:t xml:space="preserve"> </w:t>
      </w:r>
      <w:r w:rsidRPr="00CF27EC">
        <w:rPr>
          <w:rStyle w:val="apple-style-span"/>
          <w:shd w:val="clear" w:color="auto" w:fill="FFFFFF"/>
        </w:rPr>
        <w:t xml:space="preserve">In </w:t>
      </w:r>
      <w:r>
        <w:rPr>
          <w:rStyle w:val="apple-style-span"/>
          <w:shd w:val="clear" w:color="auto" w:fill="FFFFFF"/>
        </w:rPr>
        <w:t xml:space="preserve"> </w:t>
      </w:r>
      <w:r w:rsidRPr="00CF27EC">
        <w:rPr>
          <w:rStyle w:val="apple-style-span"/>
          <w:shd w:val="clear" w:color="auto" w:fill="FFFFFF"/>
        </w:rPr>
        <w:t xml:space="preserve">consequence, </w:t>
      </w:r>
      <w:r>
        <w:rPr>
          <w:rStyle w:val="apple-style-span"/>
          <w:shd w:val="clear" w:color="auto" w:fill="FFFFFF"/>
        </w:rPr>
        <w:t xml:space="preserve"> </w:t>
      </w:r>
      <w:r w:rsidRPr="00CF27EC">
        <w:rPr>
          <w:rStyle w:val="apple-style-span"/>
          <w:shd w:val="clear" w:color="auto" w:fill="FFFFFF"/>
        </w:rPr>
        <w:t xml:space="preserve">the </w:t>
      </w:r>
      <w:r>
        <w:rPr>
          <w:rStyle w:val="apple-style-span"/>
          <w:shd w:val="clear" w:color="auto" w:fill="FFFFFF"/>
        </w:rPr>
        <w:t xml:space="preserve"> </w:t>
      </w:r>
      <w:r w:rsidRPr="00CF27EC">
        <w:rPr>
          <w:rStyle w:val="apple-style-span"/>
          <w:shd w:val="clear" w:color="auto" w:fill="FFFFFF"/>
        </w:rPr>
        <w:t xml:space="preserve">researcher's </w:t>
      </w:r>
      <w:r>
        <w:rPr>
          <w:rStyle w:val="apple-style-span"/>
          <w:shd w:val="clear" w:color="auto" w:fill="FFFFFF"/>
        </w:rPr>
        <w:t xml:space="preserve"> </w:t>
      </w:r>
      <w:r w:rsidRPr="00CF27EC">
        <w:rPr>
          <w:rStyle w:val="apple-style-span"/>
          <w:shd w:val="clear" w:color="auto" w:fill="FFFFFF"/>
        </w:rPr>
        <w:t xml:space="preserve">personal </w:t>
      </w:r>
      <w:r>
        <w:rPr>
          <w:rStyle w:val="apple-style-span"/>
          <w:shd w:val="clear" w:color="auto" w:fill="FFFFFF"/>
        </w:rPr>
        <w:t xml:space="preserve"> </w:t>
      </w:r>
      <w:r w:rsidRPr="00CF27EC">
        <w:rPr>
          <w:rStyle w:val="apple-style-span"/>
          <w:shd w:val="clear" w:color="auto" w:fill="FFFFFF"/>
        </w:rPr>
        <w:t xml:space="preserve">knowledge </w:t>
      </w:r>
      <w:r>
        <w:rPr>
          <w:rStyle w:val="apple-style-span"/>
          <w:shd w:val="clear" w:color="auto" w:fill="FFFFFF"/>
        </w:rPr>
        <w:t xml:space="preserve"> </w:t>
      </w:r>
      <w:r w:rsidRPr="00CF27EC">
        <w:rPr>
          <w:rStyle w:val="apple-style-span"/>
          <w:shd w:val="clear" w:color="auto" w:fill="FFFFFF"/>
        </w:rPr>
        <w:t xml:space="preserve">and </w:t>
      </w:r>
      <w:r>
        <w:rPr>
          <w:rStyle w:val="apple-style-span"/>
          <w:shd w:val="clear" w:color="auto" w:fill="FFFFFF"/>
        </w:rPr>
        <w:t xml:space="preserve"> </w:t>
      </w:r>
      <w:r w:rsidRPr="00CF27EC">
        <w:rPr>
          <w:rStyle w:val="apple-style-span"/>
          <w:shd w:val="clear" w:color="auto" w:fill="FFFFFF"/>
        </w:rPr>
        <w:t xml:space="preserve">research </w:t>
      </w:r>
      <w:r>
        <w:rPr>
          <w:rStyle w:val="apple-style-span"/>
          <w:shd w:val="clear" w:color="auto" w:fill="FFFFFF"/>
        </w:rPr>
        <w:t xml:space="preserve"> </w:t>
      </w:r>
      <w:r w:rsidRPr="00CF27EC">
        <w:rPr>
          <w:rStyle w:val="apple-style-span"/>
          <w:shd w:val="clear" w:color="auto" w:fill="FFFFFF"/>
        </w:rPr>
        <w:t xml:space="preserve">experience </w:t>
      </w:r>
      <w:r>
        <w:rPr>
          <w:rStyle w:val="apple-style-span"/>
          <w:shd w:val="clear" w:color="auto" w:fill="FFFFFF"/>
        </w:rPr>
        <w:t xml:space="preserve"> </w:t>
      </w:r>
      <w:r w:rsidRPr="00CF27EC">
        <w:rPr>
          <w:rStyle w:val="apple-style-span"/>
          <w:shd w:val="clear" w:color="auto" w:fill="FFFFFF"/>
        </w:rPr>
        <w:t xml:space="preserve">fully </w:t>
      </w:r>
      <w:r>
        <w:rPr>
          <w:rStyle w:val="apple-style-span"/>
          <w:shd w:val="clear" w:color="auto" w:fill="FFFFFF"/>
        </w:rPr>
        <w:t xml:space="preserve"> </w:t>
      </w:r>
      <w:r w:rsidRPr="00CF27EC">
        <w:rPr>
          <w:rStyle w:val="apple-style-span"/>
          <w:shd w:val="clear" w:color="auto" w:fill="FFFFFF"/>
        </w:rPr>
        <w:t xml:space="preserve">influence </w:t>
      </w:r>
      <w:r>
        <w:rPr>
          <w:rStyle w:val="apple-style-span"/>
          <w:shd w:val="clear" w:color="auto" w:fill="FFFFFF"/>
        </w:rPr>
        <w:t xml:space="preserve"> </w:t>
      </w:r>
      <w:r w:rsidRPr="00CF27EC">
        <w:rPr>
          <w:rStyle w:val="apple-style-span"/>
          <w:shd w:val="clear" w:color="auto" w:fill="FFFFFF"/>
        </w:rPr>
        <w:t xml:space="preserve">the </w:t>
      </w:r>
      <w:r>
        <w:rPr>
          <w:rStyle w:val="apple-style-span"/>
          <w:shd w:val="clear" w:color="auto" w:fill="FFFFFF"/>
        </w:rPr>
        <w:t xml:space="preserve"> </w:t>
      </w:r>
      <w:r w:rsidRPr="00CF27EC">
        <w:rPr>
          <w:rStyle w:val="apple-style-span"/>
          <w:shd w:val="clear" w:color="auto" w:fill="FFFFFF"/>
        </w:rPr>
        <w:t>research</w:t>
      </w:r>
      <w:r>
        <w:rPr>
          <w:rStyle w:val="apple-style-span"/>
          <w:shd w:val="clear" w:color="auto" w:fill="FFFFFF"/>
        </w:rPr>
        <w:t>,”</w:t>
      </w:r>
      <w:r w:rsidRPr="00CF27EC">
        <w:rPr>
          <w:rStyle w:val="apple-style-span"/>
          <w:shd w:val="clear" w:color="auto" w:fill="FFFFFF"/>
        </w:rPr>
        <w:t xml:space="preserve"> </w:t>
      </w:r>
      <w:r>
        <w:rPr>
          <w:rStyle w:val="apple-style-span"/>
          <w:shd w:val="clear" w:color="auto" w:fill="FFFFFF"/>
        </w:rPr>
        <w:t xml:space="preserve"> </w:t>
      </w:r>
      <w:r w:rsidRPr="00CF27EC">
        <w:rPr>
          <w:rStyle w:val="apple-style-span"/>
          <w:shd w:val="clear" w:color="auto" w:fill="FFFFFF"/>
        </w:rPr>
        <w:t xml:space="preserve">(Maanen, ed. 1979).  </w:t>
      </w:r>
      <w:r>
        <w:rPr>
          <w:rStyle w:val="apple-style-span"/>
          <w:shd w:val="clear" w:color="auto" w:fill="FFFFFF"/>
        </w:rPr>
        <w:t>Where  as  t</w:t>
      </w:r>
      <w:r w:rsidRPr="00CF27EC">
        <w:rPr>
          <w:rStyle w:val="apple-style-span"/>
          <w:shd w:val="clear" w:color="auto" w:fill="FFFFFF"/>
        </w:rPr>
        <w:t>he</w:t>
      </w:r>
      <w:r>
        <w:rPr>
          <w:rStyle w:val="apple-style-span"/>
          <w:shd w:val="clear" w:color="auto" w:fill="FFFFFF"/>
        </w:rPr>
        <w:t xml:space="preserve">  results  of</w:t>
      </w:r>
      <w:r w:rsidRPr="00CF27EC">
        <w:rPr>
          <w:rStyle w:val="apple-style-span"/>
          <w:shd w:val="clear" w:color="auto" w:fill="FFFFFF"/>
        </w:rPr>
        <w:t xml:space="preserve"> </w:t>
      </w:r>
      <w:r>
        <w:rPr>
          <w:rStyle w:val="apple-style-span"/>
          <w:shd w:val="clear" w:color="auto" w:fill="FFFFFF"/>
        </w:rPr>
        <w:t xml:space="preserve"> “</w:t>
      </w:r>
      <w:r w:rsidRPr="00CF27EC">
        <w:rPr>
          <w:rStyle w:val="apple-style-span"/>
          <w:shd w:val="clear" w:color="auto" w:fill="FFFFFF"/>
        </w:rPr>
        <w:t>quantitative</w:t>
      </w:r>
      <w:r>
        <w:rPr>
          <w:rStyle w:val="apple-style-span"/>
          <w:shd w:val="clear" w:color="auto" w:fill="FFFFFF"/>
        </w:rPr>
        <w:t xml:space="preserve">  research  </w:t>
      </w:r>
      <w:r w:rsidRPr="00CF27EC">
        <w:rPr>
          <w:rStyle w:val="apple-style-span"/>
          <w:shd w:val="clear" w:color="auto" w:fill="FFFFFF"/>
        </w:rPr>
        <w:t xml:space="preserve">are </w:t>
      </w:r>
      <w:r>
        <w:rPr>
          <w:rStyle w:val="apple-style-span"/>
          <w:shd w:val="clear" w:color="auto" w:fill="FFFFFF"/>
        </w:rPr>
        <w:t xml:space="preserve"> </w:t>
      </w:r>
      <w:r w:rsidRPr="00CF27EC">
        <w:rPr>
          <w:rStyle w:val="apple-style-span"/>
          <w:shd w:val="clear" w:color="auto" w:fill="FFFFFF"/>
        </w:rPr>
        <w:t xml:space="preserve">derived </w:t>
      </w:r>
      <w:r>
        <w:rPr>
          <w:rStyle w:val="apple-style-span"/>
          <w:shd w:val="clear" w:color="auto" w:fill="FFFFFF"/>
        </w:rPr>
        <w:t xml:space="preserve"> </w:t>
      </w:r>
      <w:r w:rsidRPr="00CF27EC">
        <w:rPr>
          <w:rStyle w:val="apple-style-span"/>
          <w:shd w:val="clear" w:color="auto" w:fill="FFFFFF"/>
        </w:rPr>
        <w:t xml:space="preserve">by </w:t>
      </w:r>
      <w:r>
        <w:rPr>
          <w:rStyle w:val="apple-style-span"/>
          <w:shd w:val="clear" w:color="auto" w:fill="FFFFFF"/>
        </w:rPr>
        <w:t xml:space="preserve"> </w:t>
      </w:r>
      <w:r w:rsidRPr="00CF27EC">
        <w:rPr>
          <w:rStyle w:val="apple-style-span"/>
          <w:shd w:val="clear" w:color="auto" w:fill="FFFFFF"/>
        </w:rPr>
        <w:t xml:space="preserve">discovering </w:t>
      </w:r>
      <w:r>
        <w:rPr>
          <w:rStyle w:val="apple-style-span"/>
          <w:shd w:val="clear" w:color="auto" w:fill="FFFFFF"/>
        </w:rPr>
        <w:t xml:space="preserve"> </w:t>
      </w:r>
      <w:r w:rsidRPr="00CF27EC">
        <w:rPr>
          <w:rStyle w:val="apple-style-span"/>
          <w:shd w:val="clear" w:color="auto" w:fill="FFFFFF"/>
        </w:rPr>
        <w:t xml:space="preserve">exact </w:t>
      </w:r>
      <w:r>
        <w:rPr>
          <w:rStyle w:val="apple-style-span"/>
          <w:shd w:val="clear" w:color="auto" w:fill="FFFFFF"/>
        </w:rPr>
        <w:t xml:space="preserve"> </w:t>
      </w:r>
      <w:r w:rsidRPr="00CF27EC">
        <w:rPr>
          <w:rStyle w:val="apple-style-span"/>
          <w:shd w:val="clear" w:color="auto" w:fill="FFFFFF"/>
        </w:rPr>
        <w:t xml:space="preserve">facts </w:t>
      </w:r>
      <w:r>
        <w:rPr>
          <w:rStyle w:val="apple-style-span"/>
          <w:shd w:val="clear" w:color="auto" w:fill="FFFFFF"/>
        </w:rPr>
        <w:t xml:space="preserve"> </w:t>
      </w:r>
      <w:r w:rsidRPr="00CF27EC">
        <w:rPr>
          <w:rStyle w:val="apple-style-span"/>
          <w:shd w:val="clear" w:color="auto" w:fill="FFFFFF"/>
        </w:rPr>
        <w:t xml:space="preserve">and, </w:t>
      </w:r>
      <w:r>
        <w:rPr>
          <w:rStyle w:val="apple-style-span"/>
          <w:shd w:val="clear" w:color="auto" w:fill="FFFFFF"/>
        </w:rPr>
        <w:t xml:space="preserve"> </w:t>
      </w:r>
      <w:r w:rsidRPr="00CF27EC">
        <w:rPr>
          <w:rStyle w:val="apple-style-span"/>
          <w:shd w:val="clear" w:color="auto" w:fill="FFFFFF"/>
        </w:rPr>
        <w:t xml:space="preserve">therefore, </w:t>
      </w:r>
      <w:r>
        <w:rPr>
          <w:rStyle w:val="apple-style-span"/>
          <w:shd w:val="clear" w:color="auto" w:fill="FFFFFF"/>
        </w:rPr>
        <w:t xml:space="preserve"> </w:t>
      </w:r>
      <w:r w:rsidRPr="00CF27EC">
        <w:rPr>
          <w:rStyle w:val="apple-style-span"/>
          <w:shd w:val="clear" w:color="auto" w:fill="FFFFFF"/>
        </w:rPr>
        <w:t xml:space="preserve">the </w:t>
      </w:r>
      <w:r>
        <w:rPr>
          <w:rStyle w:val="apple-style-span"/>
          <w:shd w:val="clear" w:color="auto" w:fill="FFFFFF"/>
        </w:rPr>
        <w:t xml:space="preserve"> </w:t>
      </w:r>
      <w:r w:rsidRPr="00CF27EC">
        <w:rPr>
          <w:rStyle w:val="apple-style-span"/>
          <w:shd w:val="clear" w:color="auto" w:fill="FFFFFF"/>
        </w:rPr>
        <w:t xml:space="preserve">same research </w:t>
      </w:r>
      <w:r>
        <w:rPr>
          <w:rStyle w:val="apple-style-span"/>
          <w:shd w:val="clear" w:color="auto" w:fill="FFFFFF"/>
        </w:rPr>
        <w:t xml:space="preserve"> </w:t>
      </w:r>
      <w:r w:rsidRPr="00CF27EC">
        <w:rPr>
          <w:rStyle w:val="apple-style-span"/>
          <w:shd w:val="clear" w:color="auto" w:fill="FFFFFF"/>
        </w:rPr>
        <w:t xml:space="preserve">methods </w:t>
      </w:r>
      <w:r>
        <w:rPr>
          <w:rStyle w:val="apple-style-span"/>
          <w:shd w:val="clear" w:color="auto" w:fill="FFFFFF"/>
        </w:rPr>
        <w:t xml:space="preserve"> </w:t>
      </w:r>
      <w:r w:rsidRPr="00CF27EC">
        <w:rPr>
          <w:rStyle w:val="apple-style-span"/>
          <w:shd w:val="clear" w:color="auto" w:fill="FFFFFF"/>
        </w:rPr>
        <w:t xml:space="preserve">and </w:t>
      </w:r>
      <w:r>
        <w:rPr>
          <w:rStyle w:val="apple-style-span"/>
          <w:shd w:val="clear" w:color="auto" w:fill="FFFFFF"/>
        </w:rPr>
        <w:t xml:space="preserve"> </w:t>
      </w:r>
      <w:r w:rsidRPr="00CF27EC">
        <w:rPr>
          <w:rStyle w:val="apple-style-span"/>
          <w:shd w:val="clear" w:color="auto" w:fill="FFFFFF"/>
        </w:rPr>
        <w:t xml:space="preserve">the </w:t>
      </w:r>
      <w:r>
        <w:rPr>
          <w:rStyle w:val="apple-style-span"/>
          <w:shd w:val="clear" w:color="auto" w:fill="FFFFFF"/>
        </w:rPr>
        <w:t xml:space="preserve"> </w:t>
      </w:r>
      <w:r w:rsidRPr="00CF27EC">
        <w:rPr>
          <w:rStyle w:val="apple-style-span"/>
          <w:shd w:val="clear" w:color="auto" w:fill="FFFFFF"/>
        </w:rPr>
        <w:t xml:space="preserve">results </w:t>
      </w:r>
      <w:r>
        <w:rPr>
          <w:rStyle w:val="apple-style-span"/>
          <w:shd w:val="clear" w:color="auto" w:fill="FFFFFF"/>
        </w:rPr>
        <w:t xml:space="preserve"> </w:t>
      </w:r>
      <w:r w:rsidRPr="00CF27EC">
        <w:rPr>
          <w:rStyle w:val="apple-style-span"/>
          <w:shd w:val="clear" w:color="auto" w:fill="FFFFFF"/>
        </w:rPr>
        <w:t xml:space="preserve">are </w:t>
      </w:r>
      <w:r>
        <w:rPr>
          <w:rStyle w:val="apple-style-span"/>
          <w:shd w:val="clear" w:color="auto" w:fill="FFFFFF"/>
        </w:rPr>
        <w:t xml:space="preserve"> </w:t>
      </w:r>
      <w:r w:rsidRPr="00CF27EC">
        <w:rPr>
          <w:rStyle w:val="apple-style-span"/>
          <w:shd w:val="clear" w:color="auto" w:fill="FFFFFF"/>
        </w:rPr>
        <w:t xml:space="preserve">generalized. </w:t>
      </w:r>
      <w:r>
        <w:rPr>
          <w:rStyle w:val="apple-style-span"/>
          <w:shd w:val="clear" w:color="auto" w:fill="FFFFFF"/>
        </w:rPr>
        <w:t xml:space="preserve"> </w:t>
      </w:r>
      <w:r w:rsidRPr="00CF27EC">
        <w:rPr>
          <w:rStyle w:val="apple-style-span"/>
          <w:shd w:val="clear" w:color="auto" w:fill="FFFFFF"/>
        </w:rPr>
        <w:t xml:space="preserve">In </w:t>
      </w:r>
      <w:r>
        <w:rPr>
          <w:rStyle w:val="apple-style-span"/>
          <w:shd w:val="clear" w:color="auto" w:fill="FFFFFF"/>
        </w:rPr>
        <w:t xml:space="preserve"> </w:t>
      </w:r>
      <w:r w:rsidRPr="00CF27EC">
        <w:rPr>
          <w:rStyle w:val="apple-style-span"/>
          <w:shd w:val="clear" w:color="auto" w:fill="FFFFFF"/>
        </w:rPr>
        <w:t xml:space="preserve">other </w:t>
      </w:r>
      <w:r>
        <w:rPr>
          <w:rStyle w:val="apple-style-span"/>
          <w:shd w:val="clear" w:color="auto" w:fill="FFFFFF"/>
        </w:rPr>
        <w:t xml:space="preserve"> </w:t>
      </w:r>
      <w:r w:rsidRPr="00CF27EC">
        <w:rPr>
          <w:rStyle w:val="apple-style-span"/>
          <w:shd w:val="clear" w:color="auto" w:fill="FFFFFF"/>
        </w:rPr>
        <w:t>words,</w:t>
      </w:r>
      <w:r>
        <w:rPr>
          <w:rStyle w:val="apple-style-span"/>
          <w:shd w:val="clear" w:color="auto" w:fill="FFFFFF"/>
        </w:rPr>
        <w:t xml:space="preserve"> </w:t>
      </w:r>
      <w:r w:rsidRPr="00CF27EC">
        <w:rPr>
          <w:rStyle w:val="apple-style-span"/>
          <w:shd w:val="clear" w:color="auto" w:fill="FFFFFF"/>
        </w:rPr>
        <w:t xml:space="preserve"> it </w:t>
      </w:r>
      <w:r>
        <w:rPr>
          <w:rStyle w:val="apple-style-span"/>
          <w:shd w:val="clear" w:color="auto" w:fill="FFFFFF"/>
        </w:rPr>
        <w:t xml:space="preserve"> </w:t>
      </w:r>
      <w:r w:rsidRPr="00CF27EC">
        <w:rPr>
          <w:rStyle w:val="apple-style-span"/>
          <w:shd w:val="clear" w:color="auto" w:fill="FFFFFF"/>
        </w:rPr>
        <w:t xml:space="preserve">can </w:t>
      </w:r>
      <w:r>
        <w:rPr>
          <w:rStyle w:val="apple-style-span"/>
          <w:shd w:val="clear" w:color="auto" w:fill="FFFFFF"/>
        </w:rPr>
        <w:t xml:space="preserve"> </w:t>
      </w:r>
      <w:r w:rsidRPr="00CF27EC">
        <w:rPr>
          <w:rStyle w:val="apple-style-span"/>
          <w:shd w:val="clear" w:color="auto" w:fill="FFFFFF"/>
        </w:rPr>
        <w:t xml:space="preserve">be </w:t>
      </w:r>
      <w:r>
        <w:rPr>
          <w:rStyle w:val="apple-style-span"/>
          <w:shd w:val="clear" w:color="auto" w:fill="FFFFFF"/>
        </w:rPr>
        <w:t xml:space="preserve"> </w:t>
      </w:r>
      <w:r w:rsidRPr="00CF27EC">
        <w:rPr>
          <w:rStyle w:val="apple-style-span"/>
          <w:shd w:val="clear" w:color="auto" w:fill="FFFFFF"/>
        </w:rPr>
        <w:t xml:space="preserve">applied </w:t>
      </w:r>
      <w:r>
        <w:rPr>
          <w:rStyle w:val="apple-style-span"/>
          <w:shd w:val="clear" w:color="auto" w:fill="FFFFFF"/>
        </w:rPr>
        <w:t xml:space="preserve"> </w:t>
      </w:r>
      <w:r w:rsidRPr="00CF27EC">
        <w:rPr>
          <w:rStyle w:val="apple-style-span"/>
          <w:shd w:val="clear" w:color="auto" w:fill="FFFFFF"/>
        </w:rPr>
        <w:t xml:space="preserve">to </w:t>
      </w:r>
      <w:r>
        <w:rPr>
          <w:rStyle w:val="apple-style-span"/>
          <w:shd w:val="clear" w:color="auto" w:fill="FFFFFF"/>
        </w:rPr>
        <w:t xml:space="preserve"> </w:t>
      </w:r>
      <w:r w:rsidRPr="00CF27EC">
        <w:rPr>
          <w:rStyle w:val="apple-style-span"/>
          <w:shd w:val="clear" w:color="auto" w:fill="FFFFFF"/>
        </w:rPr>
        <w:t xml:space="preserve">a large </w:t>
      </w:r>
      <w:r>
        <w:rPr>
          <w:rStyle w:val="apple-style-span"/>
          <w:shd w:val="clear" w:color="auto" w:fill="FFFFFF"/>
        </w:rPr>
        <w:t xml:space="preserve"> </w:t>
      </w:r>
      <w:r w:rsidRPr="00CF27EC">
        <w:rPr>
          <w:rStyle w:val="apple-style-span"/>
          <w:shd w:val="clear" w:color="auto" w:fill="FFFFFF"/>
        </w:rPr>
        <w:t xml:space="preserve">number </w:t>
      </w:r>
      <w:r>
        <w:rPr>
          <w:rStyle w:val="apple-style-span"/>
          <w:shd w:val="clear" w:color="auto" w:fill="FFFFFF"/>
        </w:rPr>
        <w:t xml:space="preserve"> </w:t>
      </w:r>
      <w:r w:rsidRPr="00CF27EC">
        <w:rPr>
          <w:rStyle w:val="apple-style-span"/>
          <w:shd w:val="clear" w:color="auto" w:fill="FFFFFF"/>
        </w:rPr>
        <w:t xml:space="preserve">of </w:t>
      </w:r>
      <w:r>
        <w:rPr>
          <w:rStyle w:val="apple-style-span"/>
          <w:shd w:val="clear" w:color="auto" w:fill="FFFFFF"/>
        </w:rPr>
        <w:t xml:space="preserve"> </w:t>
      </w:r>
      <w:r w:rsidRPr="00CF27EC">
        <w:rPr>
          <w:rStyle w:val="apple-style-span"/>
          <w:shd w:val="clear" w:color="auto" w:fill="FFFFFF"/>
        </w:rPr>
        <w:t xml:space="preserve">other </w:t>
      </w:r>
      <w:r>
        <w:rPr>
          <w:rStyle w:val="apple-style-span"/>
          <w:shd w:val="clear" w:color="auto" w:fill="FFFFFF"/>
        </w:rPr>
        <w:t xml:space="preserve"> </w:t>
      </w:r>
      <w:r w:rsidRPr="00CF27EC">
        <w:rPr>
          <w:rStyle w:val="apple-style-span"/>
          <w:shd w:val="clear" w:color="auto" w:fill="FFFFFF"/>
        </w:rPr>
        <w:t xml:space="preserve">situations </w:t>
      </w:r>
      <w:r>
        <w:rPr>
          <w:rStyle w:val="apple-style-span"/>
          <w:shd w:val="clear" w:color="auto" w:fill="FFFFFF"/>
        </w:rPr>
        <w:t xml:space="preserve"> </w:t>
      </w:r>
      <w:r w:rsidRPr="00CF27EC">
        <w:rPr>
          <w:rStyle w:val="apple-style-span"/>
          <w:shd w:val="clear" w:color="auto" w:fill="FFFFFF"/>
        </w:rPr>
        <w:t xml:space="preserve">because </w:t>
      </w:r>
      <w:r>
        <w:rPr>
          <w:rStyle w:val="apple-style-span"/>
          <w:shd w:val="clear" w:color="auto" w:fill="FFFFFF"/>
        </w:rPr>
        <w:t xml:space="preserve"> </w:t>
      </w:r>
      <w:r w:rsidRPr="00CF27EC">
        <w:rPr>
          <w:rStyle w:val="apple-style-span"/>
          <w:shd w:val="clear" w:color="auto" w:fill="FFFFFF"/>
        </w:rPr>
        <w:t xml:space="preserve">it </w:t>
      </w:r>
      <w:r>
        <w:rPr>
          <w:rStyle w:val="apple-style-span"/>
          <w:shd w:val="clear" w:color="auto" w:fill="FFFFFF"/>
        </w:rPr>
        <w:t xml:space="preserve"> </w:t>
      </w:r>
      <w:r w:rsidRPr="00CF27EC">
        <w:rPr>
          <w:rStyle w:val="apple-style-span"/>
          <w:shd w:val="clear" w:color="auto" w:fill="FFFFFF"/>
        </w:rPr>
        <w:t xml:space="preserve">is </w:t>
      </w:r>
      <w:r>
        <w:rPr>
          <w:rStyle w:val="apple-style-span"/>
          <w:shd w:val="clear" w:color="auto" w:fill="FFFFFF"/>
        </w:rPr>
        <w:t xml:space="preserve"> </w:t>
      </w:r>
      <w:r w:rsidRPr="00CF27EC">
        <w:rPr>
          <w:rStyle w:val="apple-style-span"/>
          <w:shd w:val="clear" w:color="auto" w:fill="FFFFFF"/>
        </w:rPr>
        <w:t xml:space="preserve">objective </w:t>
      </w:r>
      <w:r>
        <w:rPr>
          <w:rStyle w:val="apple-style-span"/>
          <w:shd w:val="clear" w:color="auto" w:fill="FFFFFF"/>
        </w:rPr>
        <w:t xml:space="preserve"> </w:t>
      </w:r>
      <w:r w:rsidRPr="00CF27EC">
        <w:rPr>
          <w:rStyle w:val="apple-style-span"/>
          <w:shd w:val="clear" w:color="auto" w:fill="FFFFFF"/>
        </w:rPr>
        <w:t xml:space="preserve">and </w:t>
      </w:r>
      <w:r>
        <w:rPr>
          <w:rStyle w:val="apple-style-span"/>
          <w:shd w:val="clear" w:color="auto" w:fill="FFFFFF"/>
        </w:rPr>
        <w:t xml:space="preserve"> </w:t>
      </w:r>
      <w:r w:rsidRPr="00CF27EC">
        <w:rPr>
          <w:rStyle w:val="apple-style-span"/>
          <w:shd w:val="clear" w:color="auto" w:fill="FFFFFF"/>
        </w:rPr>
        <w:t xml:space="preserve">value </w:t>
      </w:r>
      <w:r>
        <w:rPr>
          <w:rStyle w:val="apple-style-span"/>
          <w:shd w:val="clear" w:color="auto" w:fill="FFFFFF"/>
        </w:rPr>
        <w:t xml:space="preserve"> </w:t>
      </w:r>
      <w:r w:rsidRPr="00CF27EC">
        <w:rPr>
          <w:rStyle w:val="apple-style-span"/>
          <w:shd w:val="clear" w:color="auto" w:fill="FFFFFF"/>
        </w:rPr>
        <w:t>free</w:t>
      </w:r>
      <w:r>
        <w:rPr>
          <w:rStyle w:val="apple-style-span"/>
          <w:shd w:val="clear" w:color="auto" w:fill="FFFFFF"/>
        </w:rPr>
        <w:t>,”</w:t>
      </w:r>
      <w:r w:rsidRPr="00CF27EC">
        <w:rPr>
          <w:rStyle w:val="apple-style-span"/>
          <w:shd w:val="clear" w:color="auto" w:fill="FFFFFF"/>
        </w:rPr>
        <w:t xml:space="preserve"> </w:t>
      </w:r>
      <w:r>
        <w:rPr>
          <w:rStyle w:val="apple-style-span"/>
          <w:shd w:val="clear" w:color="auto" w:fill="FFFFFF"/>
        </w:rPr>
        <w:t xml:space="preserve"> </w:t>
      </w:r>
      <w:r w:rsidRPr="00CF27EC">
        <w:rPr>
          <w:rStyle w:val="apple-style-span"/>
          <w:shd w:val="clear" w:color="auto" w:fill="FFFFFF"/>
        </w:rPr>
        <w:t>(Soltis, 1990).</w:t>
      </w:r>
    </w:p>
    <w:p w:rsidR="00543C1C" w:rsidRDefault="00543C1C" w:rsidP="00543C1C">
      <w:pPr>
        <w:rPr>
          <w:rStyle w:val="apple-style-span"/>
          <w:shd w:val="clear" w:color="auto" w:fill="FFFFFF"/>
        </w:rPr>
      </w:pPr>
      <w:r>
        <w:t xml:space="preserve">                       </w:t>
      </w:r>
      <w:r w:rsidRPr="00A51DBC">
        <w:t>Moreover,  among  these  types  of   research  the  is  no  definitive  assurance  of   perfection.  There  are  in  fact  two  forms  of</w:t>
      </w:r>
      <w:r>
        <w:t xml:space="preserve"> </w:t>
      </w:r>
      <w:r w:rsidRPr="00A51DBC">
        <w:t xml:space="preserve"> error  that  are  commonly  associated  with  research,  which  are:  random  and  systematic  errors.  </w:t>
      </w:r>
      <w:r w:rsidRPr="00A51DBC">
        <w:rPr>
          <w:rStyle w:val="apple-style-span"/>
          <w:shd w:val="clear" w:color="auto" w:fill="FFFFFF"/>
        </w:rPr>
        <w:t xml:space="preserve">Random  errors,  also  known  as  statistical  errors,  are  </w:t>
      </w:r>
      <w:r w:rsidRPr="00A51DBC">
        <w:rPr>
          <w:rStyle w:val="apple-converted-space"/>
          <w:shd w:val="clear" w:color="auto" w:fill="FFFFFF"/>
        </w:rPr>
        <w:t> </w:t>
      </w:r>
      <w:r w:rsidRPr="00A51DBC">
        <w:rPr>
          <w:rStyle w:val="apple-style-span"/>
          <w:shd w:val="clear" w:color="auto" w:fill="FFFFFF"/>
        </w:rPr>
        <w:t>random  in  nature  and   very difficult  to   predict.  They  are  caused  by  sources  that  are  not  immediately  obvious  and  it may  take  a  long  time  trying  to  figure  out  the  source.  There  can  be  a  number  of  possible  sources  of  random  errors  for  example,  a  biologist  studying  the  reproduction  of  a</w:t>
      </w:r>
      <w:r>
        <w:rPr>
          <w:rStyle w:val="apple-style-span"/>
          <w:shd w:val="clear" w:color="auto" w:fill="FFFFFF"/>
        </w:rPr>
        <w:t xml:space="preserve"> </w:t>
      </w:r>
      <w:r w:rsidRPr="00A51DBC">
        <w:rPr>
          <w:rStyle w:val="apple-style-span"/>
          <w:shd w:val="clear" w:color="auto" w:fill="FFFFFF"/>
        </w:rPr>
        <w:t xml:space="preserve"> particular  strain  o</w:t>
      </w:r>
      <w:r>
        <w:rPr>
          <w:rStyle w:val="apple-style-span"/>
          <w:shd w:val="clear" w:color="auto" w:fill="FFFFFF"/>
        </w:rPr>
        <w:t xml:space="preserve">f   bacterium  might  encounter  </w:t>
      </w:r>
      <w:r w:rsidRPr="00A51DBC">
        <w:rPr>
          <w:rStyle w:val="apple-style-span"/>
          <w:shd w:val="clear" w:color="auto" w:fill="FFFFFF"/>
        </w:rPr>
        <w:t xml:space="preserve"> random  errors  due  to  slight  variation  of </w:t>
      </w:r>
      <w:r>
        <w:rPr>
          <w:rStyle w:val="apple-style-span"/>
          <w:shd w:val="clear" w:color="auto" w:fill="FFFFFF"/>
        </w:rPr>
        <w:t xml:space="preserve"> </w:t>
      </w:r>
      <w:r w:rsidRPr="00A51DBC">
        <w:rPr>
          <w:rStyle w:val="apple-style-span"/>
          <w:shd w:val="clear" w:color="auto" w:fill="FFFFFF"/>
        </w:rPr>
        <w:t xml:space="preserve">temperature  or  light  in  the  room.  However,  when  the  readings  are  spread  over  a </w:t>
      </w:r>
      <w:r>
        <w:rPr>
          <w:rStyle w:val="apple-style-span"/>
          <w:shd w:val="clear" w:color="auto" w:fill="FFFFFF"/>
        </w:rPr>
        <w:t xml:space="preserve"> period of  time,  possible</w:t>
      </w:r>
      <w:r w:rsidRPr="00A51DBC">
        <w:rPr>
          <w:rStyle w:val="apple-style-span"/>
          <w:shd w:val="clear" w:color="auto" w:fill="FFFFFF"/>
        </w:rPr>
        <w:t xml:space="preserve">  to  minimize  these  random  variations  by  averaging  out  the  results.  Hence  random  errors  occur</w:t>
      </w:r>
      <w:r>
        <w:rPr>
          <w:rStyle w:val="apple-style-span"/>
          <w:shd w:val="clear" w:color="auto" w:fill="FFFFFF"/>
        </w:rPr>
        <w:t xml:space="preserve"> </w:t>
      </w:r>
      <w:r w:rsidRPr="00A51DBC">
        <w:rPr>
          <w:rStyle w:val="apple-style-span"/>
          <w:shd w:val="clear" w:color="auto" w:fill="FFFFFF"/>
        </w:rPr>
        <w:t xml:space="preserve"> in  all  quantitative  studies  and  can  be  minimized  but  cannot  be  avoided.  On  the  other  hand  Systematic  errors  are  produced  by  faulty  human</w:t>
      </w:r>
      <w:r>
        <w:rPr>
          <w:rStyle w:val="apple-style-span"/>
          <w:shd w:val="clear" w:color="auto" w:fill="FFFFFF"/>
        </w:rPr>
        <w:t xml:space="preserve"> </w:t>
      </w:r>
      <w:r w:rsidRPr="00A51DBC">
        <w:rPr>
          <w:rStyle w:val="apple-style-span"/>
          <w:shd w:val="clear" w:color="auto" w:fill="FFFFFF"/>
        </w:rPr>
        <w:t xml:space="preserve"> observations  or  changes  in  environment  during  a  particular  research,  which  are  difficult to  get  rid  of.</w:t>
      </w:r>
      <w:r>
        <w:rPr>
          <w:rStyle w:val="apple-style-span"/>
          <w:shd w:val="clear" w:color="auto" w:fill="FFFFFF"/>
        </w:rPr>
        <w:t xml:space="preserve">  Furthermore,  apart  from  error  there  are  other  factors  which  create  problems  in  the  process  of  research  such  as;  time,   money,  sources,  energy  and   manpower  are  the  names  of  few  among  many.</w:t>
      </w:r>
    </w:p>
    <w:p w:rsidR="00543C1C" w:rsidRDefault="00543C1C" w:rsidP="00543C1C">
      <w:pPr>
        <w:rPr>
          <w:color w:val="000000" w:themeColor="text1"/>
        </w:rPr>
      </w:pPr>
      <w:r>
        <w:rPr>
          <w:rStyle w:val="apple-style-span"/>
          <w:shd w:val="clear" w:color="auto" w:fill="FFFFFF"/>
        </w:rPr>
        <w:t xml:space="preserve">                        History  itself  provides  proof  that  work  done  by  researchers  is  far  from  perfect.  Take  the example  of  the  field  of  medicine,  progress  is  made  everyday,  new  medicines  are  discovered  and  some  old  drugs  are  banned  due  to  their  side  effects   concluded  by  newer  studies.  </w:t>
      </w:r>
      <w:r w:rsidRPr="00C60625">
        <w:rPr>
          <w:rStyle w:val="apple-style-span"/>
          <w:color w:val="000000" w:themeColor="text1"/>
          <w:shd w:val="clear" w:color="auto" w:fill="FFFFFF"/>
        </w:rPr>
        <w:t xml:space="preserve">The </w:t>
      </w:r>
      <w:r>
        <w:rPr>
          <w:rStyle w:val="apple-style-span"/>
          <w:color w:val="000000" w:themeColor="text1"/>
          <w:shd w:val="clear" w:color="auto" w:fill="FFFFFF"/>
        </w:rPr>
        <w:t xml:space="preserve"> </w:t>
      </w:r>
      <w:r w:rsidRPr="00C60625">
        <w:rPr>
          <w:rStyle w:val="apple-style-span"/>
          <w:color w:val="000000" w:themeColor="text1"/>
          <w:shd w:val="clear" w:color="auto" w:fill="FFFFFF"/>
        </w:rPr>
        <w:t xml:space="preserve">other </w:t>
      </w:r>
      <w:r>
        <w:rPr>
          <w:rStyle w:val="apple-style-span"/>
          <w:color w:val="000000" w:themeColor="text1"/>
          <w:shd w:val="clear" w:color="auto" w:fill="FFFFFF"/>
        </w:rPr>
        <w:t xml:space="preserve"> </w:t>
      </w:r>
      <w:r w:rsidRPr="00C60625">
        <w:rPr>
          <w:rStyle w:val="apple-style-span"/>
          <w:color w:val="000000" w:themeColor="text1"/>
          <w:shd w:val="clear" w:color="auto" w:fill="FFFFFF"/>
        </w:rPr>
        <w:t xml:space="preserve">example </w:t>
      </w:r>
      <w:r>
        <w:rPr>
          <w:rStyle w:val="apple-style-span"/>
          <w:color w:val="000000" w:themeColor="text1"/>
          <w:shd w:val="clear" w:color="auto" w:fill="FFFFFF"/>
        </w:rPr>
        <w:t xml:space="preserve"> </w:t>
      </w:r>
      <w:r w:rsidRPr="00C60625">
        <w:rPr>
          <w:rStyle w:val="apple-style-span"/>
          <w:color w:val="000000" w:themeColor="text1"/>
          <w:shd w:val="clear" w:color="auto" w:fill="FFFFFF"/>
        </w:rPr>
        <w:t xml:space="preserve">is </w:t>
      </w:r>
      <w:r>
        <w:rPr>
          <w:rStyle w:val="apple-style-span"/>
          <w:color w:val="000000" w:themeColor="text1"/>
          <w:shd w:val="clear" w:color="auto" w:fill="FFFFFF"/>
        </w:rPr>
        <w:t xml:space="preserve"> </w:t>
      </w:r>
      <w:r w:rsidRPr="00C60625">
        <w:rPr>
          <w:rStyle w:val="apple-style-span"/>
          <w:color w:val="000000" w:themeColor="text1"/>
          <w:shd w:val="clear" w:color="auto" w:fill="FFFFFF"/>
        </w:rPr>
        <w:t xml:space="preserve">that </w:t>
      </w:r>
      <w:r>
        <w:rPr>
          <w:rStyle w:val="apple-style-span"/>
          <w:color w:val="000000" w:themeColor="text1"/>
          <w:shd w:val="clear" w:color="auto" w:fill="FFFFFF"/>
        </w:rPr>
        <w:t xml:space="preserve"> </w:t>
      </w:r>
      <w:r w:rsidRPr="00C60625">
        <w:rPr>
          <w:rStyle w:val="apple-style-span"/>
          <w:color w:val="000000" w:themeColor="text1"/>
          <w:shd w:val="clear" w:color="auto" w:fill="FFFFFF"/>
        </w:rPr>
        <w:t xml:space="preserve">of </w:t>
      </w:r>
      <w:r>
        <w:rPr>
          <w:rStyle w:val="apple-style-span"/>
          <w:color w:val="000000" w:themeColor="text1"/>
          <w:shd w:val="clear" w:color="auto" w:fill="FFFFFF"/>
        </w:rPr>
        <w:t xml:space="preserve"> </w:t>
      </w:r>
      <w:r w:rsidRPr="00C60625">
        <w:rPr>
          <w:rStyle w:val="apple-style-span"/>
          <w:color w:val="000000" w:themeColor="text1"/>
          <w:shd w:val="clear" w:color="auto" w:fill="FFFFFF"/>
        </w:rPr>
        <w:t xml:space="preserve">Newton’s </w:t>
      </w:r>
      <w:r>
        <w:rPr>
          <w:rStyle w:val="apple-style-span"/>
          <w:color w:val="000000" w:themeColor="text1"/>
          <w:shd w:val="clear" w:color="auto" w:fill="FFFFFF"/>
        </w:rPr>
        <w:t xml:space="preserve"> Laws </w:t>
      </w:r>
      <w:r w:rsidRPr="00C60625">
        <w:rPr>
          <w:rStyle w:val="apple-style-span"/>
          <w:color w:val="000000" w:themeColor="text1"/>
          <w:shd w:val="clear" w:color="auto" w:fill="FFFFFF"/>
        </w:rPr>
        <w:t xml:space="preserve"> which </w:t>
      </w:r>
      <w:r>
        <w:rPr>
          <w:rStyle w:val="apple-style-span"/>
          <w:color w:val="000000" w:themeColor="text1"/>
          <w:shd w:val="clear" w:color="auto" w:fill="FFFFFF"/>
        </w:rPr>
        <w:t xml:space="preserve"> </w:t>
      </w:r>
      <w:r w:rsidRPr="00C60625">
        <w:rPr>
          <w:rStyle w:val="apple-style-span"/>
          <w:color w:val="000000" w:themeColor="text1"/>
          <w:shd w:val="clear" w:color="auto" w:fill="FFFFFF"/>
        </w:rPr>
        <w:t xml:space="preserve">were found </w:t>
      </w:r>
      <w:r w:rsidRPr="00C60625">
        <w:rPr>
          <w:color w:val="000000" w:themeColor="text1"/>
        </w:rPr>
        <w:t xml:space="preserve"> to </w:t>
      </w:r>
      <w:r>
        <w:rPr>
          <w:color w:val="000000" w:themeColor="text1"/>
        </w:rPr>
        <w:t xml:space="preserve"> </w:t>
      </w:r>
      <w:r w:rsidRPr="00C60625">
        <w:rPr>
          <w:color w:val="000000" w:themeColor="text1"/>
        </w:rPr>
        <w:t xml:space="preserve">be </w:t>
      </w:r>
      <w:r>
        <w:rPr>
          <w:color w:val="000000" w:themeColor="text1"/>
        </w:rPr>
        <w:t xml:space="preserve"> </w:t>
      </w:r>
      <w:r w:rsidRPr="00C60625">
        <w:rPr>
          <w:color w:val="000000" w:themeColor="text1"/>
        </w:rPr>
        <w:t>not</w:t>
      </w:r>
      <w:r>
        <w:rPr>
          <w:color w:val="000000" w:themeColor="text1"/>
        </w:rPr>
        <w:t xml:space="preserve"> </w:t>
      </w:r>
      <w:r w:rsidRPr="00C60625">
        <w:rPr>
          <w:color w:val="000000" w:themeColor="text1"/>
        </w:rPr>
        <w:t xml:space="preserve"> as</w:t>
      </w:r>
      <w:r>
        <w:rPr>
          <w:color w:val="000000" w:themeColor="text1"/>
        </w:rPr>
        <w:t xml:space="preserve"> </w:t>
      </w:r>
      <w:r w:rsidRPr="00C60625">
        <w:rPr>
          <w:color w:val="000000" w:themeColor="text1"/>
        </w:rPr>
        <w:t xml:space="preserve"> perfect </w:t>
      </w:r>
      <w:r>
        <w:rPr>
          <w:color w:val="000000" w:themeColor="text1"/>
        </w:rPr>
        <w:t xml:space="preserve"> </w:t>
      </w:r>
      <w:r w:rsidRPr="00C60625">
        <w:rPr>
          <w:color w:val="000000" w:themeColor="text1"/>
        </w:rPr>
        <w:t xml:space="preserve">as </w:t>
      </w:r>
      <w:r>
        <w:rPr>
          <w:color w:val="000000" w:themeColor="text1"/>
        </w:rPr>
        <w:t xml:space="preserve"> </w:t>
      </w:r>
      <w:r w:rsidRPr="00C60625">
        <w:rPr>
          <w:color w:val="000000" w:themeColor="text1"/>
        </w:rPr>
        <w:t xml:space="preserve">they </w:t>
      </w:r>
      <w:r>
        <w:rPr>
          <w:color w:val="000000" w:themeColor="text1"/>
        </w:rPr>
        <w:t xml:space="preserve"> </w:t>
      </w:r>
      <w:r w:rsidRPr="00C60625">
        <w:rPr>
          <w:color w:val="000000" w:themeColor="text1"/>
        </w:rPr>
        <w:t xml:space="preserve">were </w:t>
      </w:r>
      <w:r>
        <w:rPr>
          <w:color w:val="000000" w:themeColor="text1"/>
        </w:rPr>
        <w:t xml:space="preserve"> </w:t>
      </w:r>
      <w:r w:rsidRPr="00C60625">
        <w:rPr>
          <w:color w:val="000000" w:themeColor="text1"/>
        </w:rPr>
        <w:t xml:space="preserve">originally </w:t>
      </w:r>
      <w:r>
        <w:rPr>
          <w:color w:val="000000" w:themeColor="text1"/>
        </w:rPr>
        <w:t xml:space="preserve"> </w:t>
      </w:r>
      <w:r w:rsidRPr="00C60625">
        <w:rPr>
          <w:color w:val="000000" w:themeColor="text1"/>
        </w:rPr>
        <w:t xml:space="preserve">thought </w:t>
      </w:r>
      <w:r>
        <w:rPr>
          <w:color w:val="000000" w:themeColor="text1"/>
        </w:rPr>
        <w:t xml:space="preserve"> </w:t>
      </w:r>
      <w:r w:rsidRPr="00C60625">
        <w:rPr>
          <w:color w:val="000000" w:themeColor="text1"/>
        </w:rPr>
        <w:t xml:space="preserve">for </w:t>
      </w:r>
      <w:r>
        <w:rPr>
          <w:color w:val="000000" w:themeColor="text1"/>
        </w:rPr>
        <w:t xml:space="preserve"> nearly  two  centuries,  as  a  result  of  </w:t>
      </w:r>
      <w:r w:rsidRPr="003D1125">
        <w:rPr>
          <w:color w:val="000000" w:themeColor="text1"/>
        </w:rPr>
        <w:t>Einstein's</w:t>
      </w:r>
      <w:r>
        <w:rPr>
          <w:color w:val="000000" w:themeColor="text1"/>
        </w:rPr>
        <w:t xml:space="preserve"> </w:t>
      </w:r>
      <w:r w:rsidRPr="003D1125">
        <w:rPr>
          <w:color w:val="000000" w:themeColor="text1"/>
        </w:rPr>
        <w:t xml:space="preserve"> publication</w:t>
      </w:r>
      <w:r>
        <w:rPr>
          <w:color w:val="000000" w:themeColor="text1"/>
        </w:rPr>
        <w:t xml:space="preserve"> </w:t>
      </w:r>
      <w:r w:rsidRPr="003D1125">
        <w:rPr>
          <w:color w:val="000000" w:themeColor="text1"/>
        </w:rPr>
        <w:t xml:space="preserve"> on</w:t>
      </w:r>
      <w:r>
        <w:rPr>
          <w:color w:val="000000" w:themeColor="text1"/>
        </w:rPr>
        <w:t xml:space="preserve"> </w:t>
      </w:r>
      <w:r w:rsidRPr="003D1125">
        <w:rPr>
          <w:color w:val="000000" w:themeColor="text1"/>
        </w:rPr>
        <w:t xml:space="preserve"> the</w:t>
      </w:r>
      <w:r>
        <w:rPr>
          <w:color w:val="000000" w:themeColor="text1"/>
        </w:rPr>
        <w:t xml:space="preserve"> </w:t>
      </w:r>
      <w:r w:rsidRPr="003D1125">
        <w:rPr>
          <w:color w:val="000000" w:themeColor="text1"/>
        </w:rPr>
        <w:t xml:space="preserve"> General </w:t>
      </w:r>
      <w:r>
        <w:rPr>
          <w:color w:val="000000" w:themeColor="text1"/>
        </w:rPr>
        <w:t xml:space="preserve"> </w:t>
      </w:r>
      <w:r w:rsidRPr="003D1125">
        <w:rPr>
          <w:color w:val="000000" w:themeColor="text1"/>
        </w:rPr>
        <w:t xml:space="preserve">Theory </w:t>
      </w:r>
      <w:r>
        <w:rPr>
          <w:color w:val="000000" w:themeColor="text1"/>
        </w:rPr>
        <w:t xml:space="preserve"> </w:t>
      </w:r>
      <w:r w:rsidRPr="003D1125">
        <w:rPr>
          <w:color w:val="000000" w:themeColor="text1"/>
        </w:rPr>
        <w:t>of</w:t>
      </w:r>
      <w:r>
        <w:rPr>
          <w:color w:val="000000" w:themeColor="text1"/>
        </w:rPr>
        <w:t xml:space="preserve">  </w:t>
      </w:r>
      <w:r w:rsidRPr="003D1125">
        <w:rPr>
          <w:color w:val="000000" w:themeColor="text1"/>
        </w:rPr>
        <w:t xml:space="preserve"> Relativity</w:t>
      </w:r>
      <w:r w:rsidRPr="00C60625">
        <w:rPr>
          <w:color w:val="000000" w:themeColor="text1"/>
        </w:rPr>
        <w:t xml:space="preserve"> </w:t>
      </w:r>
      <w:r>
        <w:rPr>
          <w:color w:val="000000" w:themeColor="text1"/>
        </w:rPr>
        <w:t xml:space="preserve"> </w:t>
      </w:r>
      <w:r w:rsidRPr="00C60625">
        <w:rPr>
          <w:color w:val="000000" w:themeColor="text1"/>
        </w:rPr>
        <w:t>that</w:t>
      </w:r>
      <w:r>
        <w:rPr>
          <w:color w:val="000000" w:themeColor="text1"/>
        </w:rPr>
        <w:t xml:space="preserve"> </w:t>
      </w:r>
      <w:r w:rsidRPr="00C60625">
        <w:rPr>
          <w:color w:val="000000" w:themeColor="text1"/>
        </w:rPr>
        <w:t xml:space="preserve"> explained </w:t>
      </w:r>
      <w:r>
        <w:rPr>
          <w:color w:val="000000" w:themeColor="text1"/>
        </w:rPr>
        <w:t xml:space="preserve"> </w:t>
      </w:r>
      <w:r w:rsidRPr="003D1125">
        <w:rPr>
          <w:color w:val="000000" w:themeColor="text1"/>
        </w:rPr>
        <w:t>all</w:t>
      </w:r>
      <w:r>
        <w:rPr>
          <w:color w:val="000000" w:themeColor="text1"/>
        </w:rPr>
        <w:t xml:space="preserve"> </w:t>
      </w:r>
      <w:r w:rsidRPr="003D1125">
        <w:rPr>
          <w:color w:val="000000" w:themeColor="text1"/>
        </w:rPr>
        <w:t xml:space="preserve"> of </w:t>
      </w:r>
      <w:r>
        <w:rPr>
          <w:color w:val="000000" w:themeColor="text1"/>
        </w:rPr>
        <w:t xml:space="preserve"> </w:t>
      </w:r>
      <w:r w:rsidRPr="003D1125">
        <w:rPr>
          <w:color w:val="000000" w:themeColor="text1"/>
        </w:rPr>
        <w:t>the</w:t>
      </w:r>
      <w:r>
        <w:rPr>
          <w:color w:val="000000" w:themeColor="text1"/>
        </w:rPr>
        <w:t xml:space="preserve"> </w:t>
      </w:r>
      <w:r w:rsidRPr="003D1125">
        <w:rPr>
          <w:color w:val="000000" w:themeColor="text1"/>
        </w:rPr>
        <w:t xml:space="preserve"> equa</w:t>
      </w:r>
      <w:r w:rsidRPr="00C60625">
        <w:rPr>
          <w:color w:val="000000" w:themeColor="text1"/>
        </w:rPr>
        <w:t>tions</w:t>
      </w:r>
      <w:r>
        <w:rPr>
          <w:color w:val="000000" w:themeColor="text1"/>
        </w:rPr>
        <w:t xml:space="preserve"> </w:t>
      </w:r>
      <w:r w:rsidRPr="00C60625">
        <w:rPr>
          <w:color w:val="000000" w:themeColor="text1"/>
        </w:rPr>
        <w:t xml:space="preserve"> of</w:t>
      </w:r>
      <w:r>
        <w:rPr>
          <w:color w:val="000000" w:themeColor="text1"/>
        </w:rPr>
        <w:t xml:space="preserve"> </w:t>
      </w:r>
      <w:r w:rsidRPr="00C60625">
        <w:rPr>
          <w:color w:val="000000" w:themeColor="text1"/>
        </w:rPr>
        <w:t xml:space="preserve"> motion</w:t>
      </w:r>
      <w:r>
        <w:rPr>
          <w:color w:val="000000" w:themeColor="text1"/>
        </w:rPr>
        <w:t xml:space="preserve"> </w:t>
      </w:r>
      <w:r w:rsidRPr="00C60625">
        <w:rPr>
          <w:color w:val="000000" w:themeColor="text1"/>
        </w:rPr>
        <w:t xml:space="preserve"> that</w:t>
      </w:r>
      <w:r>
        <w:rPr>
          <w:color w:val="000000" w:themeColor="text1"/>
        </w:rPr>
        <w:t xml:space="preserve"> </w:t>
      </w:r>
      <w:r w:rsidRPr="00C60625">
        <w:rPr>
          <w:color w:val="000000" w:themeColor="text1"/>
        </w:rPr>
        <w:t xml:space="preserve"> are </w:t>
      </w:r>
      <w:r>
        <w:rPr>
          <w:color w:val="000000" w:themeColor="text1"/>
        </w:rPr>
        <w:t xml:space="preserve"> </w:t>
      </w:r>
      <w:r w:rsidRPr="00C60625">
        <w:rPr>
          <w:color w:val="000000" w:themeColor="text1"/>
        </w:rPr>
        <w:t>taking</w:t>
      </w:r>
      <w:r>
        <w:rPr>
          <w:color w:val="000000" w:themeColor="text1"/>
        </w:rPr>
        <w:t xml:space="preserve"> </w:t>
      </w:r>
      <w:r w:rsidRPr="00C60625">
        <w:rPr>
          <w:color w:val="000000" w:themeColor="text1"/>
        </w:rPr>
        <w:t xml:space="preserve"> place</w:t>
      </w:r>
      <w:r>
        <w:rPr>
          <w:color w:val="000000" w:themeColor="text1"/>
        </w:rPr>
        <w:t xml:space="preserve"> </w:t>
      </w:r>
      <w:r w:rsidRPr="00C60625">
        <w:rPr>
          <w:color w:val="000000" w:themeColor="text1"/>
        </w:rPr>
        <w:t xml:space="preserve"> in</w:t>
      </w:r>
      <w:r>
        <w:rPr>
          <w:color w:val="000000" w:themeColor="text1"/>
        </w:rPr>
        <w:t xml:space="preserve"> </w:t>
      </w:r>
      <w:r w:rsidRPr="00C60625">
        <w:rPr>
          <w:color w:val="000000" w:themeColor="text1"/>
        </w:rPr>
        <w:t xml:space="preserve"> the</w:t>
      </w:r>
      <w:r w:rsidRPr="003D1125">
        <w:rPr>
          <w:color w:val="000000" w:themeColor="text1"/>
        </w:rPr>
        <w:t xml:space="preserve"> </w:t>
      </w:r>
      <w:r>
        <w:rPr>
          <w:color w:val="000000" w:themeColor="text1"/>
        </w:rPr>
        <w:t xml:space="preserve"> </w:t>
      </w:r>
      <w:r w:rsidRPr="003D1125">
        <w:rPr>
          <w:color w:val="000000" w:themeColor="text1"/>
        </w:rPr>
        <w:t>universe</w:t>
      </w:r>
      <w:r>
        <w:rPr>
          <w:color w:val="000000" w:themeColor="text1"/>
        </w:rPr>
        <w:t xml:space="preserve">,  </w:t>
      </w:r>
      <w:r w:rsidRPr="00C60625">
        <w:rPr>
          <w:rStyle w:val="apple-style-span"/>
          <w:color w:val="000000" w:themeColor="text1"/>
          <w:shd w:val="clear" w:color="auto" w:fill="FFFFFF"/>
        </w:rPr>
        <w:t xml:space="preserve">Newton’s </w:t>
      </w:r>
      <w:r>
        <w:rPr>
          <w:rStyle w:val="apple-style-span"/>
          <w:color w:val="000000" w:themeColor="text1"/>
          <w:shd w:val="clear" w:color="auto" w:fill="FFFFFF"/>
        </w:rPr>
        <w:t xml:space="preserve"> Laws</w:t>
      </w:r>
      <w:r>
        <w:rPr>
          <w:color w:val="000000" w:themeColor="text1"/>
        </w:rPr>
        <w:t xml:space="preserve">  </w:t>
      </w:r>
      <w:r w:rsidRPr="00C60625">
        <w:rPr>
          <w:color w:val="000000" w:themeColor="text1"/>
        </w:rPr>
        <w:t xml:space="preserve">were </w:t>
      </w:r>
      <w:r>
        <w:rPr>
          <w:color w:val="000000" w:themeColor="text1"/>
        </w:rPr>
        <w:t xml:space="preserve"> </w:t>
      </w:r>
      <w:r w:rsidRPr="00C60625">
        <w:rPr>
          <w:color w:val="000000" w:themeColor="text1"/>
        </w:rPr>
        <w:lastRenderedPageBreak/>
        <w:t xml:space="preserve">declared </w:t>
      </w:r>
      <w:r>
        <w:rPr>
          <w:color w:val="000000" w:themeColor="text1"/>
        </w:rPr>
        <w:t xml:space="preserve"> </w:t>
      </w:r>
      <w:r w:rsidRPr="00C60625">
        <w:rPr>
          <w:color w:val="000000" w:themeColor="text1"/>
        </w:rPr>
        <w:t xml:space="preserve">to </w:t>
      </w:r>
      <w:r>
        <w:rPr>
          <w:color w:val="000000" w:themeColor="text1"/>
        </w:rPr>
        <w:t xml:space="preserve"> </w:t>
      </w:r>
      <w:r w:rsidRPr="00C60625">
        <w:rPr>
          <w:color w:val="000000" w:themeColor="text1"/>
        </w:rPr>
        <w:t>be</w:t>
      </w:r>
      <w:r>
        <w:rPr>
          <w:color w:val="000000" w:themeColor="text1"/>
        </w:rPr>
        <w:t xml:space="preserve"> </w:t>
      </w:r>
      <w:r w:rsidRPr="00C60625">
        <w:rPr>
          <w:color w:val="000000" w:themeColor="text1"/>
        </w:rPr>
        <w:t xml:space="preserve"> imperfect</w:t>
      </w:r>
      <w:r w:rsidRPr="003D1125">
        <w:rPr>
          <w:color w:val="000000" w:themeColor="text1"/>
        </w:rPr>
        <w:t>.</w:t>
      </w:r>
      <w:r w:rsidRPr="00C60625">
        <w:rPr>
          <w:color w:val="000000" w:themeColor="text1"/>
        </w:rPr>
        <w:t xml:space="preserve">  </w:t>
      </w:r>
      <w:r w:rsidRPr="003D1125">
        <w:rPr>
          <w:color w:val="000000" w:themeColor="text1"/>
        </w:rPr>
        <w:t>Even</w:t>
      </w:r>
      <w:r>
        <w:rPr>
          <w:color w:val="000000" w:themeColor="text1"/>
        </w:rPr>
        <w:t xml:space="preserve"> </w:t>
      </w:r>
      <w:r w:rsidRPr="003D1125">
        <w:rPr>
          <w:color w:val="000000" w:themeColor="text1"/>
        </w:rPr>
        <w:t xml:space="preserve"> though,</w:t>
      </w:r>
      <w:r>
        <w:rPr>
          <w:color w:val="000000" w:themeColor="text1"/>
        </w:rPr>
        <w:t xml:space="preserve"> </w:t>
      </w:r>
      <w:r w:rsidRPr="003D1125">
        <w:rPr>
          <w:color w:val="000000" w:themeColor="text1"/>
        </w:rPr>
        <w:t xml:space="preserve"> Newton's</w:t>
      </w:r>
      <w:r>
        <w:rPr>
          <w:color w:val="000000" w:themeColor="text1"/>
        </w:rPr>
        <w:t xml:space="preserve"> </w:t>
      </w:r>
      <w:r w:rsidRPr="003D1125">
        <w:rPr>
          <w:color w:val="000000" w:themeColor="text1"/>
        </w:rPr>
        <w:t xml:space="preserve"> laws </w:t>
      </w:r>
      <w:r>
        <w:rPr>
          <w:color w:val="000000" w:themeColor="text1"/>
        </w:rPr>
        <w:t xml:space="preserve"> </w:t>
      </w:r>
      <w:r w:rsidRPr="003D1125">
        <w:rPr>
          <w:color w:val="000000" w:themeColor="text1"/>
        </w:rPr>
        <w:t xml:space="preserve">are </w:t>
      </w:r>
      <w:r>
        <w:rPr>
          <w:color w:val="000000" w:themeColor="text1"/>
        </w:rPr>
        <w:t xml:space="preserve"> </w:t>
      </w:r>
      <w:r w:rsidRPr="003D1125">
        <w:rPr>
          <w:color w:val="000000" w:themeColor="text1"/>
        </w:rPr>
        <w:t xml:space="preserve">still </w:t>
      </w:r>
      <w:r>
        <w:rPr>
          <w:color w:val="000000" w:themeColor="text1"/>
        </w:rPr>
        <w:t xml:space="preserve"> </w:t>
      </w:r>
      <w:r w:rsidRPr="003D1125">
        <w:rPr>
          <w:color w:val="000000" w:themeColor="text1"/>
        </w:rPr>
        <w:t>used</w:t>
      </w:r>
      <w:r>
        <w:rPr>
          <w:color w:val="000000" w:themeColor="text1"/>
        </w:rPr>
        <w:t xml:space="preserve"> </w:t>
      </w:r>
      <w:r w:rsidRPr="003D1125">
        <w:rPr>
          <w:color w:val="000000" w:themeColor="text1"/>
        </w:rPr>
        <w:t xml:space="preserve"> today </w:t>
      </w:r>
      <w:r>
        <w:rPr>
          <w:color w:val="000000" w:themeColor="text1"/>
        </w:rPr>
        <w:t xml:space="preserve"> </w:t>
      </w:r>
      <w:r w:rsidRPr="003D1125">
        <w:rPr>
          <w:color w:val="000000" w:themeColor="text1"/>
        </w:rPr>
        <w:t>to</w:t>
      </w:r>
      <w:r>
        <w:rPr>
          <w:color w:val="000000" w:themeColor="text1"/>
        </w:rPr>
        <w:t xml:space="preserve"> </w:t>
      </w:r>
      <w:r w:rsidRPr="003D1125">
        <w:rPr>
          <w:color w:val="000000" w:themeColor="text1"/>
        </w:rPr>
        <w:t xml:space="preserve"> predict </w:t>
      </w:r>
      <w:r>
        <w:rPr>
          <w:color w:val="000000" w:themeColor="text1"/>
        </w:rPr>
        <w:t xml:space="preserve"> </w:t>
      </w:r>
      <w:r w:rsidRPr="003D1125">
        <w:rPr>
          <w:color w:val="000000" w:themeColor="text1"/>
        </w:rPr>
        <w:t xml:space="preserve">motion </w:t>
      </w:r>
      <w:r>
        <w:rPr>
          <w:color w:val="000000" w:themeColor="text1"/>
        </w:rPr>
        <w:t xml:space="preserve"> </w:t>
      </w:r>
      <w:r w:rsidRPr="003D1125">
        <w:rPr>
          <w:color w:val="000000" w:themeColor="text1"/>
        </w:rPr>
        <w:t xml:space="preserve">at </w:t>
      </w:r>
      <w:r>
        <w:rPr>
          <w:color w:val="000000" w:themeColor="text1"/>
        </w:rPr>
        <w:t xml:space="preserve"> </w:t>
      </w:r>
      <w:r w:rsidRPr="003D1125">
        <w:rPr>
          <w:color w:val="000000" w:themeColor="text1"/>
        </w:rPr>
        <w:t xml:space="preserve">low </w:t>
      </w:r>
      <w:r>
        <w:rPr>
          <w:color w:val="000000" w:themeColor="text1"/>
        </w:rPr>
        <w:t xml:space="preserve"> </w:t>
      </w:r>
      <w:r w:rsidRPr="003D1125">
        <w:rPr>
          <w:color w:val="000000" w:themeColor="text1"/>
        </w:rPr>
        <w:t xml:space="preserve">speeds, </w:t>
      </w:r>
      <w:r>
        <w:rPr>
          <w:color w:val="000000" w:themeColor="text1"/>
        </w:rPr>
        <w:t xml:space="preserve"> they  are  still</w:t>
      </w:r>
      <w:r w:rsidRPr="003D1125">
        <w:rPr>
          <w:color w:val="000000" w:themeColor="text1"/>
        </w:rPr>
        <w:t xml:space="preserve"> </w:t>
      </w:r>
      <w:r>
        <w:rPr>
          <w:color w:val="000000" w:themeColor="text1"/>
        </w:rPr>
        <w:t xml:space="preserve"> substituted</w:t>
      </w:r>
      <w:r w:rsidRPr="003D1125">
        <w:rPr>
          <w:color w:val="000000" w:themeColor="text1"/>
        </w:rPr>
        <w:t xml:space="preserve"> </w:t>
      </w:r>
      <w:r>
        <w:rPr>
          <w:color w:val="000000" w:themeColor="text1"/>
        </w:rPr>
        <w:t xml:space="preserve"> </w:t>
      </w:r>
      <w:r w:rsidRPr="003D1125">
        <w:rPr>
          <w:color w:val="000000" w:themeColor="text1"/>
        </w:rPr>
        <w:t xml:space="preserve">by </w:t>
      </w:r>
      <w:r>
        <w:rPr>
          <w:color w:val="000000" w:themeColor="text1"/>
        </w:rPr>
        <w:t xml:space="preserve"> </w:t>
      </w:r>
      <w:r w:rsidRPr="003D1125">
        <w:rPr>
          <w:color w:val="000000" w:themeColor="text1"/>
        </w:rPr>
        <w:t xml:space="preserve">using </w:t>
      </w:r>
      <w:r>
        <w:rPr>
          <w:color w:val="000000" w:themeColor="text1"/>
        </w:rPr>
        <w:t xml:space="preserve"> </w:t>
      </w:r>
      <w:r w:rsidRPr="003D1125">
        <w:rPr>
          <w:color w:val="000000" w:themeColor="text1"/>
        </w:rPr>
        <w:t xml:space="preserve">the </w:t>
      </w:r>
      <w:r>
        <w:rPr>
          <w:color w:val="000000" w:themeColor="text1"/>
        </w:rPr>
        <w:t xml:space="preserve"> </w:t>
      </w:r>
      <w:r w:rsidRPr="003D1125">
        <w:rPr>
          <w:color w:val="000000" w:themeColor="text1"/>
        </w:rPr>
        <w:t xml:space="preserve">full </w:t>
      </w:r>
      <w:r>
        <w:rPr>
          <w:color w:val="000000" w:themeColor="text1"/>
        </w:rPr>
        <w:t xml:space="preserve"> </w:t>
      </w:r>
      <w:r w:rsidRPr="003D1125">
        <w:rPr>
          <w:color w:val="000000" w:themeColor="text1"/>
        </w:rPr>
        <w:t xml:space="preserve">Einstein </w:t>
      </w:r>
      <w:r>
        <w:rPr>
          <w:color w:val="000000" w:themeColor="text1"/>
        </w:rPr>
        <w:t xml:space="preserve"> </w:t>
      </w:r>
      <w:r w:rsidRPr="003D1125">
        <w:rPr>
          <w:color w:val="000000" w:themeColor="text1"/>
        </w:rPr>
        <w:t xml:space="preserve">equations </w:t>
      </w:r>
      <w:r>
        <w:rPr>
          <w:color w:val="000000" w:themeColor="text1"/>
        </w:rPr>
        <w:t xml:space="preserve"> </w:t>
      </w:r>
      <w:r w:rsidRPr="003D1125">
        <w:rPr>
          <w:color w:val="000000" w:themeColor="text1"/>
        </w:rPr>
        <w:t xml:space="preserve">of </w:t>
      </w:r>
      <w:r>
        <w:rPr>
          <w:color w:val="000000" w:themeColor="text1"/>
        </w:rPr>
        <w:t xml:space="preserve"> </w:t>
      </w:r>
      <w:r w:rsidRPr="003D1125">
        <w:rPr>
          <w:color w:val="000000" w:themeColor="text1"/>
        </w:rPr>
        <w:t>the</w:t>
      </w:r>
      <w:r>
        <w:rPr>
          <w:color w:val="000000" w:themeColor="text1"/>
        </w:rPr>
        <w:t xml:space="preserve">  </w:t>
      </w:r>
      <w:r w:rsidRPr="003D1125">
        <w:rPr>
          <w:color w:val="000000" w:themeColor="text1"/>
        </w:rPr>
        <w:t xml:space="preserve">General </w:t>
      </w:r>
      <w:r>
        <w:rPr>
          <w:color w:val="000000" w:themeColor="text1"/>
        </w:rPr>
        <w:t xml:space="preserve"> </w:t>
      </w:r>
      <w:r w:rsidRPr="003D1125">
        <w:rPr>
          <w:color w:val="000000" w:themeColor="text1"/>
        </w:rPr>
        <w:t xml:space="preserve">Theory </w:t>
      </w:r>
      <w:r>
        <w:rPr>
          <w:color w:val="000000" w:themeColor="text1"/>
        </w:rPr>
        <w:t xml:space="preserve"> </w:t>
      </w:r>
      <w:r w:rsidRPr="003D1125">
        <w:rPr>
          <w:color w:val="000000" w:themeColor="text1"/>
        </w:rPr>
        <w:t>of</w:t>
      </w:r>
      <w:r>
        <w:rPr>
          <w:color w:val="000000" w:themeColor="text1"/>
        </w:rPr>
        <w:t xml:space="preserve"> </w:t>
      </w:r>
      <w:r w:rsidRPr="003D1125">
        <w:rPr>
          <w:color w:val="000000" w:themeColor="text1"/>
        </w:rPr>
        <w:t xml:space="preserve"> </w:t>
      </w:r>
      <w:r>
        <w:rPr>
          <w:color w:val="000000" w:themeColor="text1"/>
        </w:rPr>
        <w:t xml:space="preserve"> </w:t>
      </w:r>
      <w:r w:rsidRPr="003D1125">
        <w:rPr>
          <w:color w:val="000000" w:themeColor="text1"/>
        </w:rPr>
        <w:t xml:space="preserve">Relativity </w:t>
      </w:r>
      <w:r>
        <w:rPr>
          <w:color w:val="000000" w:themeColor="text1"/>
        </w:rPr>
        <w:t xml:space="preserve"> </w:t>
      </w:r>
      <w:r w:rsidRPr="003D1125">
        <w:rPr>
          <w:color w:val="000000" w:themeColor="text1"/>
        </w:rPr>
        <w:t>for</w:t>
      </w:r>
      <w:r>
        <w:rPr>
          <w:color w:val="000000" w:themeColor="text1"/>
        </w:rPr>
        <w:t xml:space="preserve"> </w:t>
      </w:r>
      <w:r w:rsidRPr="003D1125">
        <w:rPr>
          <w:color w:val="000000" w:themeColor="text1"/>
        </w:rPr>
        <w:t xml:space="preserve"> more </w:t>
      </w:r>
      <w:r>
        <w:rPr>
          <w:color w:val="000000" w:themeColor="text1"/>
        </w:rPr>
        <w:t xml:space="preserve"> </w:t>
      </w:r>
      <w:r w:rsidRPr="003D1125">
        <w:rPr>
          <w:color w:val="000000" w:themeColor="text1"/>
        </w:rPr>
        <w:t>precise</w:t>
      </w:r>
      <w:r>
        <w:rPr>
          <w:color w:val="000000" w:themeColor="text1"/>
        </w:rPr>
        <w:t xml:space="preserve"> </w:t>
      </w:r>
      <w:r w:rsidRPr="003D1125">
        <w:rPr>
          <w:color w:val="000000" w:themeColor="text1"/>
        </w:rPr>
        <w:t xml:space="preserve"> results. </w:t>
      </w:r>
      <w:r>
        <w:rPr>
          <w:color w:val="000000" w:themeColor="text1"/>
        </w:rPr>
        <w:t xml:space="preserve"> </w:t>
      </w:r>
      <w:r w:rsidRPr="003D1125">
        <w:rPr>
          <w:color w:val="000000" w:themeColor="text1"/>
        </w:rPr>
        <w:t xml:space="preserve">Thus, </w:t>
      </w:r>
      <w:r>
        <w:rPr>
          <w:color w:val="000000" w:themeColor="text1"/>
        </w:rPr>
        <w:t xml:space="preserve"> </w:t>
      </w:r>
      <w:r w:rsidRPr="003D1125">
        <w:rPr>
          <w:color w:val="000000" w:themeColor="text1"/>
        </w:rPr>
        <w:t>this</w:t>
      </w:r>
      <w:r>
        <w:rPr>
          <w:color w:val="000000" w:themeColor="text1"/>
        </w:rPr>
        <w:t xml:space="preserve"> </w:t>
      </w:r>
      <w:r w:rsidRPr="003D1125">
        <w:rPr>
          <w:color w:val="000000" w:themeColor="text1"/>
        </w:rPr>
        <w:t xml:space="preserve"> comes</w:t>
      </w:r>
      <w:r>
        <w:rPr>
          <w:color w:val="000000" w:themeColor="text1"/>
        </w:rPr>
        <w:t xml:space="preserve"> </w:t>
      </w:r>
      <w:r w:rsidRPr="003D1125">
        <w:rPr>
          <w:color w:val="000000" w:themeColor="text1"/>
        </w:rPr>
        <w:t xml:space="preserve"> to</w:t>
      </w:r>
      <w:r>
        <w:rPr>
          <w:color w:val="000000" w:themeColor="text1"/>
        </w:rPr>
        <w:t xml:space="preserve">  prove  </w:t>
      </w:r>
      <w:r w:rsidRPr="003D1125">
        <w:rPr>
          <w:color w:val="000000" w:themeColor="text1"/>
        </w:rPr>
        <w:t>that</w:t>
      </w:r>
      <w:r>
        <w:rPr>
          <w:color w:val="000000" w:themeColor="text1"/>
        </w:rPr>
        <w:t xml:space="preserve">  often</w:t>
      </w:r>
      <w:r w:rsidRPr="003D1125">
        <w:rPr>
          <w:color w:val="000000" w:themeColor="text1"/>
        </w:rPr>
        <w:t xml:space="preserve"> </w:t>
      </w:r>
      <w:r>
        <w:rPr>
          <w:color w:val="000000" w:themeColor="text1"/>
        </w:rPr>
        <w:t xml:space="preserve"> </w:t>
      </w:r>
      <w:r w:rsidRPr="003D1125">
        <w:rPr>
          <w:color w:val="000000" w:themeColor="text1"/>
        </w:rPr>
        <w:t>what</w:t>
      </w:r>
      <w:r>
        <w:rPr>
          <w:color w:val="000000" w:themeColor="text1"/>
        </w:rPr>
        <w:t xml:space="preserve"> </w:t>
      </w:r>
      <w:r w:rsidRPr="003D1125">
        <w:rPr>
          <w:color w:val="000000" w:themeColor="text1"/>
        </w:rPr>
        <w:t xml:space="preserve"> has</w:t>
      </w:r>
      <w:r>
        <w:rPr>
          <w:color w:val="000000" w:themeColor="text1"/>
        </w:rPr>
        <w:t xml:space="preserve"> </w:t>
      </w:r>
      <w:r w:rsidRPr="003D1125">
        <w:rPr>
          <w:color w:val="000000" w:themeColor="text1"/>
        </w:rPr>
        <w:t xml:space="preserve"> been</w:t>
      </w:r>
      <w:r>
        <w:rPr>
          <w:color w:val="000000" w:themeColor="text1"/>
        </w:rPr>
        <w:t xml:space="preserve"> </w:t>
      </w:r>
      <w:r w:rsidRPr="003D1125">
        <w:rPr>
          <w:color w:val="000000" w:themeColor="text1"/>
        </w:rPr>
        <w:t xml:space="preserve"> regarded </w:t>
      </w:r>
      <w:r>
        <w:rPr>
          <w:color w:val="000000" w:themeColor="text1"/>
        </w:rPr>
        <w:t xml:space="preserve"> </w:t>
      </w:r>
      <w:r w:rsidRPr="003D1125">
        <w:rPr>
          <w:color w:val="000000" w:themeColor="text1"/>
        </w:rPr>
        <w:t>as</w:t>
      </w:r>
      <w:r>
        <w:rPr>
          <w:color w:val="000000" w:themeColor="text1"/>
        </w:rPr>
        <w:t xml:space="preserve"> </w:t>
      </w:r>
      <w:r w:rsidRPr="003D1125">
        <w:rPr>
          <w:color w:val="000000" w:themeColor="text1"/>
        </w:rPr>
        <w:t xml:space="preserve"> perfect </w:t>
      </w:r>
      <w:r>
        <w:rPr>
          <w:color w:val="000000" w:themeColor="text1"/>
        </w:rPr>
        <w:t xml:space="preserve"> </w:t>
      </w:r>
      <w:r w:rsidRPr="003D1125">
        <w:rPr>
          <w:color w:val="000000" w:themeColor="text1"/>
        </w:rPr>
        <w:t xml:space="preserve">research </w:t>
      </w:r>
      <w:r>
        <w:rPr>
          <w:color w:val="000000" w:themeColor="text1"/>
        </w:rPr>
        <w:t xml:space="preserve"> </w:t>
      </w:r>
      <w:r w:rsidRPr="003D1125">
        <w:rPr>
          <w:color w:val="000000" w:themeColor="text1"/>
        </w:rPr>
        <w:t>may</w:t>
      </w:r>
      <w:r>
        <w:rPr>
          <w:color w:val="000000" w:themeColor="text1"/>
        </w:rPr>
        <w:t xml:space="preserve"> </w:t>
      </w:r>
      <w:r w:rsidRPr="003D1125">
        <w:rPr>
          <w:color w:val="000000" w:themeColor="text1"/>
        </w:rPr>
        <w:t xml:space="preserve"> not</w:t>
      </w:r>
      <w:r>
        <w:rPr>
          <w:color w:val="000000" w:themeColor="text1"/>
        </w:rPr>
        <w:t xml:space="preserve"> </w:t>
      </w:r>
      <w:r w:rsidRPr="003D1125">
        <w:rPr>
          <w:color w:val="000000" w:themeColor="text1"/>
        </w:rPr>
        <w:t xml:space="preserve"> be</w:t>
      </w:r>
      <w:r>
        <w:rPr>
          <w:color w:val="000000" w:themeColor="text1"/>
        </w:rPr>
        <w:t xml:space="preserve"> </w:t>
      </w:r>
      <w:r w:rsidRPr="003D1125">
        <w:rPr>
          <w:color w:val="000000" w:themeColor="text1"/>
        </w:rPr>
        <w:t xml:space="preserve"> as</w:t>
      </w:r>
      <w:r>
        <w:rPr>
          <w:color w:val="000000" w:themeColor="text1"/>
        </w:rPr>
        <w:t xml:space="preserve"> </w:t>
      </w:r>
      <w:r w:rsidRPr="003D1125">
        <w:rPr>
          <w:color w:val="000000" w:themeColor="text1"/>
        </w:rPr>
        <w:t xml:space="preserve"> perfect</w:t>
      </w:r>
      <w:r>
        <w:rPr>
          <w:color w:val="000000" w:themeColor="text1"/>
        </w:rPr>
        <w:t xml:space="preserve"> </w:t>
      </w:r>
      <w:r w:rsidRPr="003D1125">
        <w:rPr>
          <w:color w:val="000000" w:themeColor="text1"/>
        </w:rPr>
        <w:t xml:space="preserve"> as</w:t>
      </w:r>
      <w:r>
        <w:rPr>
          <w:color w:val="000000" w:themeColor="text1"/>
        </w:rPr>
        <w:t xml:space="preserve"> </w:t>
      </w:r>
      <w:r w:rsidRPr="003D1125">
        <w:rPr>
          <w:color w:val="000000" w:themeColor="text1"/>
        </w:rPr>
        <w:t xml:space="preserve"> originally </w:t>
      </w:r>
      <w:r>
        <w:rPr>
          <w:color w:val="000000" w:themeColor="text1"/>
        </w:rPr>
        <w:t xml:space="preserve"> </w:t>
      </w:r>
      <w:r w:rsidRPr="003D1125">
        <w:rPr>
          <w:color w:val="000000" w:themeColor="text1"/>
        </w:rPr>
        <w:t>thought</w:t>
      </w:r>
      <w:r>
        <w:rPr>
          <w:color w:val="000000" w:themeColor="text1"/>
        </w:rPr>
        <w:t xml:space="preserve">  to  be</w:t>
      </w:r>
      <w:r w:rsidRPr="003D1125">
        <w:rPr>
          <w:color w:val="000000" w:themeColor="text1"/>
        </w:rPr>
        <w:t xml:space="preserve"> and </w:t>
      </w:r>
      <w:r>
        <w:rPr>
          <w:color w:val="000000" w:themeColor="text1"/>
        </w:rPr>
        <w:t xml:space="preserve"> </w:t>
      </w:r>
      <w:r w:rsidRPr="003D1125">
        <w:rPr>
          <w:color w:val="000000" w:themeColor="text1"/>
        </w:rPr>
        <w:t xml:space="preserve">in </w:t>
      </w:r>
      <w:r>
        <w:rPr>
          <w:color w:val="000000" w:themeColor="text1"/>
        </w:rPr>
        <w:t xml:space="preserve"> </w:t>
      </w:r>
      <w:r w:rsidRPr="003D1125">
        <w:rPr>
          <w:color w:val="000000" w:themeColor="text1"/>
        </w:rPr>
        <w:t>some</w:t>
      </w:r>
      <w:r>
        <w:rPr>
          <w:color w:val="000000" w:themeColor="text1"/>
        </w:rPr>
        <w:t xml:space="preserve"> </w:t>
      </w:r>
      <w:r w:rsidRPr="003D1125">
        <w:rPr>
          <w:color w:val="000000" w:themeColor="text1"/>
        </w:rPr>
        <w:t xml:space="preserve"> cases, </w:t>
      </w:r>
      <w:r>
        <w:rPr>
          <w:color w:val="000000" w:themeColor="text1"/>
        </w:rPr>
        <w:t xml:space="preserve"> </w:t>
      </w:r>
      <w:r w:rsidRPr="003D1125">
        <w:rPr>
          <w:color w:val="000000" w:themeColor="text1"/>
        </w:rPr>
        <w:t>this</w:t>
      </w:r>
      <w:r>
        <w:rPr>
          <w:color w:val="000000" w:themeColor="text1"/>
        </w:rPr>
        <w:t xml:space="preserve">  might </w:t>
      </w:r>
      <w:r w:rsidRPr="003D1125">
        <w:rPr>
          <w:color w:val="000000" w:themeColor="text1"/>
        </w:rPr>
        <w:t xml:space="preserve"> even </w:t>
      </w:r>
      <w:r>
        <w:rPr>
          <w:color w:val="000000" w:themeColor="text1"/>
        </w:rPr>
        <w:t xml:space="preserve"> </w:t>
      </w:r>
      <w:r w:rsidRPr="003D1125">
        <w:rPr>
          <w:color w:val="000000" w:themeColor="text1"/>
        </w:rPr>
        <w:t xml:space="preserve">become </w:t>
      </w:r>
      <w:r>
        <w:rPr>
          <w:color w:val="000000" w:themeColor="text1"/>
        </w:rPr>
        <w:t xml:space="preserve"> more  </w:t>
      </w:r>
      <w:r w:rsidRPr="003D1125">
        <w:rPr>
          <w:color w:val="000000" w:themeColor="text1"/>
        </w:rPr>
        <w:t xml:space="preserve">evident </w:t>
      </w:r>
      <w:r>
        <w:rPr>
          <w:color w:val="000000" w:themeColor="text1"/>
        </w:rPr>
        <w:t xml:space="preserve"> </w:t>
      </w:r>
      <w:r w:rsidRPr="003D1125">
        <w:rPr>
          <w:color w:val="000000" w:themeColor="text1"/>
        </w:rPr>
        <w:t xml:space="preserve">after </w:t>
      </w:r>
      <w:r>
        <w:rPr>
          <w:color w:val="000000" w:themeColor="text1"/>
        </w:rPr>
        <w:t xml:space="preserve"> </w:t>
      </w:r>
      <w:r w:rsidRPr="003D1125">
        <w:rPr>
          <w:color w:val="000000" w:themeColor="text1"/>
        </w:rPr>
        <w:t xml:space="preserve">centuries </w:t>
      </w:r>
      <w:r>
        <w:rPr>
          <w:color w:val="000000" w:themeColor="text1"/>
        </w:rPr>
        <w:t xml:space="preserve"> </w:t>
      </w:r>
      <w:r w:rsidRPr="003D1125">
        <w:rPr>
          <w:color w:val="000000" w:themeColor="text1"/>
        </w:rPr>
        <w:t>of</w:t>
      </w:r>
      <w:r>
        <w:rPr>
          <w:color w:val="000000" w:themeColor="text1"/>
        </w:rPr>
        <w:t xml:space="preserve"> </w:t>
      </w:r>
      <w:r w:rsidRPr="003D1125">
        <w:rPr>
          <w:color w:val="000000" w:themeColor="text1"/>
        </w:rPr>
        <w:t xml:space="preserve"> acceptance.</w:t>
      </w:r>
    </w:p>
    <w:p w:rsidR="00543C1C" w:rsidRDefault="00543C1C" w:rsidP="00543C1C">
      <w:pPr>
        <w:shd w:val="clear" w:color="auto" w:fill="FFFFFF"/>
        <w:rPr>
          <w:rStyle w:val="apple-style-span"/>
          <w:shd w:val="clear" w:color="auto" w:fill="FFFFFF"/>
        </w:rPr>
      </w:pPr>
      <w:r w:rsidRPr="003748C6">
        <w:rPr>
          <w:color w:val="000000" w:themeColor="text1"/>
        </w:rPr>
        <w:t xml:space="preserve">                         It  is  a  well  recognized  fact  that  old  research  forms  the  basis  for  newer  discoveries.</w:t>
      </w:r>
      <w:r>
        <w:rPr>
          <w:color w:val="000000" w:themeColor="text1"/>
        </w:rPr>
        <w:t xml:space="preserve"> </w:t>
      </w:r>
      <w:r w:rsidRPr="003748C6">
        <w:rPr>
          <w:color w:val="000000" w:themeColor="text1"/>
        </w:rPr>
        <w:t xml:space="preserve"> </w:t>
      </w:r>
      <w:r>
        <w:rPr>
          <w:color w:val="000000" w:themeColor="text1"/>
        </w:rPr>
        <w:t>As  explained  by  the  given  example:  o</w:t>
      </w:r>
      <w:r w:rsidRPr="003748C6">
        <w:rPr>
          <w:color w:val="000000" w:themeColor="text1"/>
        </w:rPr>
        <w:t xml:space="preserve">n  </w:t>
      </w:r>
      <w:hyperlink r:id="rId9" w:history="1">
        <w:r w:rsidRPr="003748C6">
          <w:rPr>
            <w:rStyle w:val="Hyperlink"/>
            <w:color w:val="000000" w:themeColor="text1"/>
          </w:rPr>
          <w:t>December 17, 1903</w:t>
        </w:r>
      </w:hyperlink>
      <w:r w:rsidRPr="003748C6">
        <w:rPr>
          <w:color w:val="000000" w:themeColor="text1"/>
        </w:rPr>
        <w:t xml:space="preserve">  the  Wright  Brothers  invented  and  flew  the  first powered  and  piloted  airplane.  This  was</w:t>
      </w:r>
      <w:r>
        <w:rPr>
          <w:color w:val="000000" w:themeColor="text1"/>
        </w:rPr>
        <w:t xml:space="preserve"> </w:t>
      </w:r>
      <w:r w:rsidRPr="003748C6">
        <w:rPr>
          <w:color w:val="000000" w:themeColor="text1"/>
        </w:rPr>
        <w:t xml:space="preserve"> </w:t>
      </w:r>
      <w:r>
        <w:rPr>
          <w:color w:val="000000" w:themeColor="text1"/>
        </w:rPr>
        <w:t xml:space="preserve">the </w:t>
      </w:r>
      <w:r w:rsidRPr="003748C6">
        <w:rPr>
          <w:color w:val="000000" w:themeColor="text1"/>
        </w:rPr>
        <w:t xml:space="preserve"> birth  of  the  first  real  airplane.  Over  the </w:t>
      </w:r>
      <w:r>
        <w:rPr>
          <w:color w:val="000000" w:themeColor="text1"/>
        </w:rPr>
        <w:t xml:space="preserve"> </w:t>
      </w:r>
      <w:r w:rsidRPr="003748C6">
        <w:rPr>
          <w:color w:val="000000" w:themeColor="text1"/>
        </w:rPr>
        <w:t xml:space="preserve">years  Inventors </w:t>
      </w:r>
      <w:r>
        <w:rPr>
          <w:color w:val="000000" w:themeColor="text1"/>
        </w:rPr>
        <w:t xml:space="preserve"> </w:t>
      </w:r>
      <w:r w:rsidRPr="003748C6">
        <w:rPr>
          <w:color w:val="000000" w:themeColor="text1"/>
        </w:rPr>
        <w:t xml:space="preserve">continued </w:t>
      </w:r>
      <w:r>
        <w:rPr>
          <w:color w:val="000000" w:themeColor="text1"/>
        </w:rPr>
        <w:t xml:space="preserve"> </w:t>
      </w:r>
      <w:r w:rsidRPr="003748C6">
        <w:rPr>
          <w:color w:val="000000" w:themeColor="text1"/>
        </w:rPr>
        <w:t xml:space="preserve">to </w:t>
      </w:r>
      <w:r>
        <w:rPr>
          <w:color w:val="000000" w:themeColor="text1"/>
        </w:rPr>
        <w:t xml:space="preserve"> </w:t>
      </w:r>
      <w:r w:rsidRPr="003748C6">
        <w:rPr>
          <w:color w:val="000000" w:themeColor="text1"/>
        </w:rPr>
        <w:t xml:space="preserve">improve </w:t>
      </w:r>
      <w:r>
        <w:rPr>
          <w:color w:val="000000" w:themeColor="text1"/>
        </w:rPr>
        <w:t xml:space="preserve"> </w:t>
      </w:r>
      <w:r w:rsidRPr="003748C6">
        <w:rPr>
          <w:color w:val="000000" w:themeColor="text1"/>
        </w:rPr>
        <w:t xml:space="preserve">airplanes </w:t>
      </w:r>
      <w:r>
        <w:rPr>
          <w:color w:val="000000" w:themeColor="text1"/>
        </w:rPr>
        <w:t xml:space="preserve"> </w:t>
      </w:r>
      <w:r w:rsidRPr="003748C6">
        <w:rPr>
          <w:color w:val="000000" w:themeColor="text1"/>
        </w:rPr>
        <w:t xml:space="preserve">after </w:t>
      </w:r>
      <w:r>
        <w:rPr>
          <w:color w:val="000000" w:themeColor="text1"/>
        </w:rPr>
        <w:t xml:space="preserve"> </w:t>
      </w:r>
      <w:r w:rsidRPr="003748C6">
        <w:rPr>
          <w:color w:val="000000" w:themeColor="text1"/>
        </w:rPr>
        <w:t xml:space="preserve">the </w:t>
      </w:r>
      <w:r>
        <w:rPr>
          <w:color w:val="000000" w:themeColor="text1"/>
        </w:rPr>
        <w:t xml:space="preserve"> </w:t>
      </w:r>
      <w:r w:rsidRPr="003748C6">
        <w:rPr>
          <w:color w:val="000000" w:themeColor="text1"/>
        </w:rPr>
        <w:t xml:space="preserve">Wright </w:t>
      </w:r>
      <w:r>
        <w:rPr>
          <w:color w:val="000000" w:themeColor="text1"/>
        </w:rPr>
        <w:t xml:space="preserve"> </w:t>
      </w:r>
      <w:r w:rsidRPr="003748C6">
        <w:rPr>
          <w:color w:val="000000" w:themeColor="text1"/>
        </w:rPr>
        <w:t xml:space="preserve">Brothers, </w:t>
      </w:r>
      <w:r>
        <w:rPr>
          <w:color w:val="000000" w:themeColor="text1"/>
        </w:rPr>
        <w:t xml:space="preserve"> </w:t>
      </w:r>
      <w:r w:rsidRPr="003748C6">
        <w:rPr>
          <w:color w:val="000000" w:themeColor="text1"/>
        </w:rPr>
        <w:t xml:space="preserve">and </w:t>
      </w:r>
      <w:r>
        <w:rPr>
          <w:color w:val="000000" w:themeColor="text1"/>
        </w:rPr>
        <w:t xml:space="preserve"> </w:t>
      </w:r>
      <w:r w:rsidRPr="003748C6">
        <w:rPr>
          <w:color w:val="000000" w:themeColor="text1"/>
        </w:rPr>
        <w:t xml:space="preserve">this </w:t>
      </w:r>
      <w:r>
        <w:rPr>
          <w:color w:val="000000" w:themeColor="text1"/>
        </w:rPr>
        <w:t xml:space="preserve"> </w:t>
      </w:r>
      <w:r w:rsidRPr="003748C6">
        <w:rPr>
          <w:color w:val="000000" w:themeColor="text1"/>
        </w:rPr>
        <w:t xml:space="preserve">led </w:t>
      </w:r>
      <w:r>
        <w:rPr>
          <w:color w:val="000000" w:themeColor="text1"/>
        </w:rPr>
        <w:t xml:space="preserve"> </w:t>
      </w:r>
      <w:r w:rsidRPr="003748C6">
        <w:rPr>
          <w:color w:val="000000" w:themeColor="text1"/>
        </w:rPr>
        <w:t xml:space="preserve">to </w:t>
      </w:r>
      <w:r>
        <w:rPr>
          <w:color w:val="000000" w:themeColor="text1"/>
        </w:rPr>
        <w:t xml:space="preserve"> </w:t>
      </w:r>
      <w:r w:rsidRPr="003748C6">
        <w:rPr>
          <w:color w:val="000000" w:themeColor="text1"/>
        </w:rPr>
        <w:t xml:space="preserve">the </w:t>
      </w:r>
      <w:r>
        <w:rPr>
          <w:color w:val="000000" w:themeColor="text1"/>
        </w:rPr>
        <w:t xml:space="preserve"> </w:t>
      </w:r>
      <w:r w:rsidRPr="003748C6">
        <w:rPr>
          <w:color w:val="000000" w:themeColor="text1"/>
        </w:rPr>
        <w:t xml:space="preserve">invention </w:t>
      </w:r>
      <w:r>
        <w:rPr>
          <w:color w:val="000000" w:themeColor="text1"/>
        </w:rPr>
        <w:t xml:space="preserve"> </w:t>
      </w:r>
      <w:r w:rsidRPr="003748C6">
        <w:rPr>
          <w:color w:val="000000" w:themeColor="text1"/>
        </w:rPr>
        <w:t>of</w:t>
      </w:r>
      <w:r>
        <w:rPr>
          <w:color w:val="000000" w:themeColor="text1"/>
        </w:rPr>
        <w:t xml:space="preserve">   modern   </w:t>
      </w:r>
      <w:r w:rsidRPr="003748C6">
        <w:rPr>
          <w:color w:val="000000" w:themeColor="text1"/>
        </w:rPr>
        <w:t xml:space="preserve">jets, </w:t>
      </w:r>
      <w:r>
        <w:rPr>
          <w:color w:val="000000" w:themeColor="text1"/>
        </w:rPr>
        <w:t xml:space="preserve"> </w:t>
      </w:r>
      <w:r w:rsidRPr="003748C6">
        <w:rPr>
          <w:color w:val="000000" w:themeColor="text1"/>
        </w:rPr>
        <w:t xml:space="preserve">which </w:t>
      </w:r>
      <w:r>
        <w:rPr>
          <w:color w:val="000000" w:themeColor="text1"/>
        </w:rPr>
        <w:t xml:space="preserve"> </w:t>
      </w:r>
      <w:r w:rsidRPr="003748C6">
        <w:rPr>
          <w:color w:val="000000" w:themeColor="text1"/>
        </w:rPr>
        <w:t xml:space="preserve">are </w:t>
      </w:r>
      <w:r>
        <w:rPr>
          <w:color w:val="000000" w:themeColor="text1"/>
        </w:rPr>
        <w:t xml:space="preserve"> </w:t>
      </w:r>
      <w:r w:rsidRPr="003748C6">
        <w:rPr>
          <w:color w:val="000000" w:themeColor="text1"/>
        </w:rPr>
        <w:t xml:space="preserve">used </w:t>
      </w:r>
      <w:r>
        <w:rPr>
          <w:color w:val="000000" w:themeColor="text1"/>
        </w:rPr>
        <w:t xml:space="preserve"> </w:t>
      </w:r>
      <w:r w:rsidRPr="003748C6">
        <w:rPr>
          <w:color w:val="000000" w:themeColor="text1"/>
        </w:rPr>
        <w:t xml:space="preserve">by </w:t>
      </w:r>
      <w:r>
        <w:rPr>
          <w:color w:val="000000" w:themeColor="text1"/>
        </w:rPr>
        <w:t xml:space="preserve"> </w:t>
      </w:r>
      <w:r w:rsidRPr="003748C6">
        <w:rPr>
          <w:color w:val="000000" w:themeColor="text1"/>
        </w:rPr>
        <w:t xml:space="preserve">both </w:t>
      </w:r>
      <w:r>
        <w:rPr>
          <w:color w:val="000000" w:themeColor="text1"/>
        </w:rPr>
        <w:t xml:space="preserve"> </w:t>
      </w:r>
      <w:r w:rsidRPr="003748C6">
        <w:rPr>
          <w:color w:val="000000" w:themeColor="text1"/>
        </w:rPr>
        <w:t xml:space="preserve">the </w:t>
      </w:r>
      <w:r>
        <w:rPr>
          <w:color w:val="000000" w:themeColor="text1"/>
        </w:rPr>
        <w:t xml:space="preserve"> </w:t>
      </w:r>
      <w:r w:rsidRPr="003748C6">
        <w:rPr>
          <w:color w:val="000000" w:themeColor="text1"/>
        </w:rPr>
        <w:t xml:space="preserve">military </w:t>
      </w:r>
      <w:r>
        <w:rPr>
          <w:color w:val="000000" w:themeColor="text1"/>
        </w:rPr>
        <w:t xml:space="preserve"> </w:t>
      </w:r>
      <w:r w:rsidRPr="003748C6">
        <w:rPr>
          <w:color w:val="000000" w:themeColor="text1"/>
        </w:rPr>
        <w:t xml:space="preserve">and </w:t>
      </w:r>
      <w:r>
        <w:rPr>
          <w:color w:val="000000" w:themeColor="text1"/>
        </w:rPr>
        <w:t xml:space="preserve"> </w:t>
      </w:r>
      <w:r w:rsidRPr="003748C6">
        <w:rPr>
          <w:color w:val="000000" w:themeColor="text1"/>
        </w:rPr>
        <w:t>com</w:t>
      </w:r>
      <w:r>
        <w:rPr>
          <w:color w:val="000000" w:themeColor="text1"/>
        </w:rPr>
        <w:t>mercial  airlines.</w:t>
      </w:r>
      <w:r w:rsidRPr="003748C6">
        <w:rPr>
          <w:color w:val="000000" w:themeColor="text1"/>
        </w:rPr>
        <w:t xml:space="preserve">  Eventually </w:t>
      </w:r>
      <w:r>
        <w:rPr>
          <w:color w:val="000000" w:themeColor="text1"/>
        </w:rPr>
        <w:t xml:space="preserve"> b</w:t>
      </w:r>
      <w:r w:rsidRPr="003748C6">
        <w:rPr>
          <w:color w:val="000000" w:themeColor="text1"/>
        </w:rPr>
        <w:t xml:space="preserve">y </w:t>
      </w:r>
      <w:r>
        <w:rPr>
          <w:color w:val="000000" w:themeColor="text1"/>
        </w:rPr>
        <w:t xml:space="preserve"> </w:t>
      </w:r>
      <w:r w:rsidRPr="003748C6">
        <w:rPr>
          <w:color w:val="000000" w:themeColor="text1"/>
        </w:rPr>
        <w:t xml:space="preserve">the </w:t>
      </w:r>
      <w:r>
        <w:rPr>
          <w:color w:val="000000" w:themeColor="text1"/>
        </w:rPr>
        <w:t xml:space="preserve"> </w:t>
      </w:r>
      <w:r w:rsidRPr="003748C6">
        <w:rPr>
          <w:color w:val="000000" w:themeColor="text1"/>
        </w:rPr>
        <w:t xml:space="preserve">end </w:t>
      </w:r>
      <w:r>
        <w:rPr>
          <w:color w:val="000000" w:themeColor="text1"/>
        </w:rPr>
        <w:t xml:space="preserve"> </w:t>
      </w:r>
      <w:r w:rsidRPr="003748C6">
        <w:rPr>
          <w:color w:val="000000" w:themeColor="text1"/>
        </w:rPr>
        <w:t xml:space="preserve">of </w:t>
      </w:r>
      <w:r>
        <w:rPr>
          <w:color w:val="000000" w:themeColor="text1"/>
        </w:rPr>
        <w:t xml:space="preserve"> </w:t>
      </w:r>
      <w:r w:rsidRPr="003748C6">
        <w:rPr>
          <w:color w:val="000000" w:themeColor="text1"/>
        </w:rPr>
        <w:t xml:space="preserve">the </w:t>
      </w:r>
      <w:r>
        <w:rPr>
          <w:color w:val="000000" w:themeColor="text1"/>
        </w:rPr>
        <w:t xml:space="preserve"> </w:t>
      </w:r>
      <w:r w:rsidRPr="003748C6">
        <w:rPr>
          <w:color w:val="000000" w:themeColor="text1"/>
        </w:rPr>
        <w:t xml:space="preserve">19th </w:t>
      </w:r>
      <w:r>
        <w:rPr>
          <w:color w:val="000000" w:themeColor="text1"/>
        </w:rPr>
        <w:t xml:space="preserve"> </w:t>
      </w:r>
      <w:r w:rsidRPr="003748C6">
        <w:rPr>
          <w:color w:val="000000" w:themeColor="text1"/>
        </w:rPr>
        <w:t xml:space="preserve">century, </w:t>
      </w:r>
      <w:r>
        <w:rPr>
          <w:color w:val="000000" w:themeColor="text1"/>
        </w:rPr>
        <w:t xml:space="preserve"> inventors</w:t>
      </w:r>
      <w:r w:rsidRPr="003748C6">
        <w:rPr>
          <w:color w:val="000000" w:themeColor="text1"/>
        </w:rPr>
        <w:t xml:space="preserve"> </w:t>
      </w:r>
      <w:r>
        <w:rPr>
          <w:color w:val="000000" w:themeColor="text1"/>
        </w:rPr>
        <w:t xml:space="preserve"> began</w:t>
      </w:r>
      <w:r w:rsidRPr="003748C6">
        <w:rPr>
          <w:color w:val="000000" w:themeColor="text1"/>
        </w:rPr>
        <w:t xml:space="preserve"> </w:t>
      </w:r>
      <w:r>
        <w:rPr>
          <w:color w:val="000000" w:themeColor="text1"/>
        </w:rPr>
        <w:t xml:space="preserve"> </w:t>
      </w:r>
      <w:r w:rsidRPr="003748C6">
        <w:rPr>
          <w:color w:val="000000" w:themeColor="text1"/>
        </w:rPr>
        <w:t xml:space="preserve">to </w:t>
      </w:r>
      <w:r>
        <w:rPr>
          <w:color w:val="000000" w:themeColor="text1"/>
        </w:rPr>
        <w:t xml:space="preserve"> </w:t>
      </w:r>
      <w:r w:rsidRPr="003748C6">
        <w:rPr>
          <w:color w:val="000000" w:themeColor="text1"/>
        </w:rPr>
        <w:t xml:space="preserve">consider </w:t>
      </w:r>
      <w:r>
        <w:rPr>
          <w:color w:val="000000" w:themeColor="text1"/>
        </w:rPr>
        <w:t xml:space="preserve"> the possibility  of  space  travel,  ultimately  resulting  in  the  evolution  of  rockets  to  be  used  for space  travel.  Even  today  it  cannot  be  denied  that  the  work  of  Wright  brothers  formed  the  basis  of  the  research  that  led  to  the  invention  of  the  modern  jet.  It  is  only  through research  and  abundant  failure  that  the  ultimate  goal  is  accomplished.  Thus  it  is  evident  that  </w:t>
      </w:r>
      <w:r>
        <w:rPr>
          <w:rStyle w:val="apple-style-span"/>
          <w:shd w:val="clear" w:color="auto" w:fill="FFFFFF"/>
        </w:rPr>
        <w:t>r</w:t>
      </w:r>
      <w:r w:rsidRPr="00216134">
        <w:rPr>
          <w:rStyle w:val="apple-style-span"/>
          <w:shd w:val="clear" w:color="auto" w:fill="FFFFFF"/>
        </w:rPr>
        <w:t xml:space="preserve">esearch </w:t>
      </w:r>
      <w:r>
        <w:rPr>
          <w:rStyle w:val="apple-style-span"/>
          <w:shd w:val="clear" w:color="auto" w:fill="FFFFFF"/>
        </w:rPr>
        <w:t xml:space="preserve"> </w:t>
      </w:r>
      <w:r w:rsidRPr="00216134">
        <w:rPr>
          <w:rStyle w:val="apple-style-span"/>
          <w:shd w:val="clear" w:color="auto" w:fill="FFFFFF"/>
        </w:rPr>
        <w:t>is</w:t>
      </w:r>
      <w:r>
        <w:rPr>
          <w:rStyle w:val="apple-style-span"/>
          <w:shd w:val="clear" w:color="auto" w:fill="FFFFFF"/>
        </w:rPr>
        <w:t xml:space="preserve"> </w:t>
      </w:r>
      <w:r w:rsidRPr="00216134">
        <w:rPr>
          <w:rStyle w:val="apple-style-span"/>
          <w:shd w:val="clear" w:color="auto" w:fill="FFFFFF"/>
        </w:rPr>
        <w:t xml:space="preserve"> a </w:t>
      </w:r>
      <w:r>
        <w:rPr>
          <w:rStyle w:val="apple-style-span"/>
          <w:shd w:val="clear" w:color="auto" w:fill="FFFFFF"/>
        </w:rPr>
        <w:t xml:space="preserve"> </w:t>
      </w:r>
      <w:r w:rsidRPr="00216134">
        <w:rPr>
          <w:rStyle w:val="apple-style-span"/>
          <w:shd w:val="clear" w:color="auto" w:fill="FFFFFF"/>
        </w:rPr>
        <w:t>continuous</w:t>
      </w:r>
      <w:r>
        <w:rPr>
          <w:rStyle w:val="apple-style-span"/>
          <w:shd w:val="clear" w:color="auto" w:fill="FFFFFF"/>
        </w:rPr>
        <w:t xml:space="preserve"> </w:t>
      </w:r>
      <w:r w:rsidRPr="00216134">
        <w:rPr>
          <w:rStyle w:val="apple-style-span"/>
          <w:shd w:val="clear" w:color="auto" w:fill="FFFFFF"/>
        </w:rPr>
        <w:t xml:space="preserve"> </w:t>
      </w:r>
      <w:r>
        <w:rPr>
          <w:rStyle w:val="apple-style-span"/>
          <w:shd w:val="clear" w:color="auto" w:fill="FFFFFF"/>
        </w:rPr>
        <w:t xml:space="preserve">process  of  trial  and  error  which  keeps </w:t>
      </w:r>
      <w:r w:rsidRPr="00216134">
        <w:rPr>
          <w:rStyle w:val="apple-style-span"/>
          <w:shd w:val="clear" w:color="auto" w:fill="FFFFFF"/>
        </w:rPr>
        <w:t xml:space="preserve"> improving </w:t>
      </w:r>
      <w:r>
        <w:rPr>
          <w:rStyle w:val="apple-style-span"/>
          <w:shd w:val="clear" w:color="auto" w:fill="FFFFFF"/>
        </w:rPr>
        <w:t xml:space="preserve"> </w:t>
      </w:r>
      <w:r w:rsidRPr="00216134">
        <w:rPr>
          <w:rStyle w:val="apple-style-span"/>
          <w:shd w:val="clear" w:color="auto" w:fill="FFFFFF"/>
        </w:rPr>
        <w:t xml:space="preserve">or </w:t>
      </w:r>
      <w:r>
        <w:rPr>
          <w:rStyle w:val="apple-style-span"/>
          <w:shd w:val="clear" w:color="auto" w:fill="FFFFFF"/>
        </w:rPr>
        <w:t xml:space="preserve"> </w:t>
      </w:r>
      <w:r w:rsidRPr="00216134">
        <w:rPr>
          <w:rStyle w:val="apple-style-span"/>
          <w:shd w:val="clear" w:color="auto" w:fill="FFFFFF"/>
        </w:rPr>
        <w:t>changing</w:t>
      </w:r>
      <w:r>
        <w:rPr>
          <w:rStyle w:val="apple-style-span"/>
          <w:shd w:val="clear" w:color="auto" w:fill="FFFFFF"/>
        </w:rPr>
        <w:t xml:space="preserve"> </w:t>
      </w:r>
      <w:r w:rsidRPr="00216134">
        <w:rPr>
          <w:rStyle w:val="apple-style-span"/>
          <w:shd w:val="clear" w:color="auto" w:fill="FFFFFF"/>
        </w:rPr>
        <w:t xml:space="preserve"> previously proven </w:t>
      </w:r>
      <w:r>
        <w:rPr>
          <w:rStyle w:val="apple-style-span"/>
          <w:shd w:val="clear" w:color="auto" w:fill="FFFFFF"/>
        </w:rPr>
        <w:t xml:space="preserve"> </w:t>
      </w:r>
      <w:r w:rsidRPr="00216134">
        <w:rPr>
          <w:rStyle w:val="apple-style-span"/>
          <w:shd w:val="clear" w:color="auto" w:fill="FFFFFF"/>
        </w:rPr>
        <w:t>theory.</w:t>
      </w:r>
    </w:p>
    <w:p w:rsidR="00543C1C" w:rsidRDefault="00543C1C" w:rsidP="00543C1C">
      <w:pPr>
        <w:shd w:val="clear" w:color="auto" w:fill="FFFFFF"/>
        <w:rPr>
          <w:shd w:val="clear" w:color="auto" w:fill="FFFFFF"/>
        </w:rPr>
      </w:pPr>
      <w:r w:rsidRPr="001608D4">
        <w:rPr>
          <w:rStyle w:val="apple-style-span"/>
          <w:shd w:val="clear" w:color="auto" w:fill="FFFFFF"/>
        </w:rPr>
        <w:t xml:space="preserve">                             In  my  conclusion,  I  agree  with  Griffiths  there  is  absolutely  no  hope  of doing  a  perfect  research</w:t>
      </w:r>
      <w:r>
        <w:rPr>
          <w:rStyle w:val="apple-style-span"/>
          <w:shd w:val="clear" w:color="auto" w:fill="FFFFFF"/>
        </w:rPr>
        <w:t xml:space="preserve">  as  research  is  an  ongoing  process  that  can  never  be  complete nor  absolute.  At  the  same  time  o</w:t>
      </w:r>
      <w:r w:rsidRPr="00D36C4C">
        <w:rPr>
          <w:rStyle w:val="apple-style-span"/>
        </w:rPr>
        <w:t>ne</w:t>
      </w:r>
      <w:r>
        <w:rPr>
          <w:rStyle w:val="apple-style-span"/>
        </w:rPr>
        <w:t xml:space="preserve"> </w:t>
      </w:r>
      <w:r w:rsidRPr="00D36C4C">
        <w:rPr>
          <w:rStyle w:val="apple-style-span"/>
        </w:rPr>
        <w:t xml:space="preserve"> must</w:t>
      </w:r>
      <w:r>
        <w:rPr>
          <w:rStyle w:val="apple-style-span"/>
        </w:rPr>
        <w:t xml:space="preserve"> </w:t>
      </w:r>
      <w:r w:rsidRPr="00D36C4C">
        <w:rPr>
          <w:rStyle w:val="apple-style-span"/>
        </w:rPr>
        <w:t xml:space="preserve"> also</w:t>
      </w:r>
      <w:r>
        <w:rPr>
          <w:rStyle w:val="apple-style-span"/>
        </w:rPr>
        <w:t xml:space="preserve"> </w:t>
      </w:r>
      <w:r w:rsidRPr="00D36C4C">
        <w:rPr>
          <w:rStyle w:val="apple-style-span"/>
        </w:rPr>
        <w:t xml:space="preserve"> consider </w:t>
      </w:r>
      <w:r>
        <w:rPr>
          <w:rStyle w:val="apple-style-span"/>
        </w:rPr>
        <w:t xml:space="preserve"> </w:t>
      </w:r>
      <w:r w:rsidRPr="00D36C4C">
        <w:rPr>
          <w:rStyle w:val="apple-style-span"/>
        </w:rPr>
        <w:t>the</w:t>
      </w:r>
      <w:r>
        <w:rPr>
          <w:rStyle w:val="apple-style-span"/>
        </w:rPr>
        <w:t xml:space="preserve"> </w:t>
      </w:r>
      <w:r w:rsidRPr="00D36C4C">
        <w:rPr>
          <w:rStyle w:val="apple-style-span"/>
        </w:rPr>
        <w:t xml:space="preserve"> fact</w:t>
      </w:r>
      <w:r>
        <w:rPr>
          <w:rStyle w:val="apple-style-span"/>
        </w:rPr>
        <w:t xml:space="preserve"> </w:t>
      </w:r>
      <w:r w:rsidRPr="00D36C4C">
        <w:rPr>
          <w:rStyle w:val="apple-style-span"/>
        </w:rPr>
        <w:t xml:space="preserve"> that</w:t>
      </w:r>
      <w:r>
        <w:rPr>
          <w:rStyle w:val="apple-style-span"/>
        </w:rPr>
        <w:t xml:space="preserve"> </w:t>
      </w:r>
      <w:r w:rsidRPr="00D36C4C">
        <w:rPr>
          <w:rStyle w:val="apple-style-span"/>
        </w:rPr>
        <w:t xml:space="preserve"> the</w:t>
      </w:r>
      <w:r>
        <w:rPr>
          <w:rStyle w:val="apple-style-span"/>
        </w:rPr>
        <w:t xml:space="preserve"> </w:t>
      </w:r>
      <w:r w:rsidRPr="00D36C4C">
        <w:rPr>
          <w:rStyle w:val="apple-style-span"/>
        </w:rPr>
        <w:t xml:space="preserve"> accuracy </w:t>
      </w:r>
      <w:r>
        <w:rPr>
          <w:rStyle w:val="apple-style-span"/>
        </w:rPr>
        <w:t xml:space="preserve"> </w:t>
      </w:r>
      <w:r w:rsidRPr="00D36C4C">
        <w:rPr>
          <w:rStyle w:val="apple-style-span"/>
        </w:rPr>
        <w:t>of research</w:t>
      </w:r>
      <w:r>
        <w:rPr>
          <w:rStyle w:val="apple-style-span"/>
        </w:rPr>
        <w:t xml:space="preserve"> </w:t>
      </w:r>
      <w:r w:rsidRPr="00D36C4C">
        <w:rPr>
          <w:rStyle w:val="apple-style-span"/>
        </w:rPr>
        <w:t xml:space="preserve"> will</w:t>
      </w:r>
      <w:r>
        <w:rPr>
          <w:rStyle w:val="apple-style-span"/>
        </w:rPr>
        <w:t xml:space="preserve"> </w:t>
      </w:r>
      <w:r w:rsidRPr="00D36C4C">
        <w:rPr>
          <w:rStyle w:val="apple-style-span"/>
        </w:rPr>
        <w:t xml:space="preserve"> never</w:t>
      </w:r>
      <w:r>
        <w:rPr>
          <w:rStyle w:val="apple-style-span"/>
        </w:rPr>
        <w:t xml:space="preserve"> </w:t>
      </w:r>
      <w:r w:rsidRPr="00D36C4C">
        <w:rPr>
          <w:rStyle w:val="apple-style-span"/>
        </w:rPr>
        <w:t xml:space="preserve"> be</w:t>
      </w:r>
      <w:r>
        <w:rPr>
          <w:rStyle w:val="apple-style-span"/>
        </w:rPr>
        <w:t xml:space="preserve"> </w:t>
      </w:r>
      <w:r w:rsidRPr="00D36C4C">
        <w:rPr>
          <w:rStyle w:val="apple-style-span"/>
        </w:rPr>
        <w:t xml:space="preserve"> without</w:t>
      </w:r>
      <w:r>
        <w:rPr>
          <w:rStyle w:val="apple-style-span"/>
        </w:rPr>
        <w:t xml:space="preserve"> </w:t>
      </w:r>
      <w:r w:rsidRPr="00D36C4C">
        <w:rPr>
          <w:rStyle w:val="apple-style-span"/>
        </w:rPr>
        <w:t xml:space="preserve"> doubt</w:t>
      </w:r>
      <w:r>
        <w:rPr>
          <w:rStyle w:val="apple-style-span"/>
        </w:rPr>
        <w:t xml:space="preserve"> </w:t>
      </w:r>
      <w:r w:rsidRPr="00D36C4C">
        <w:rPr>
          <w:rStyle w:val="apple-style-span"/>
        </w:rPr>
        <w:t xml:space="preserve"> or</w:t>
      </w:r>
      <w:r>
        <w:rPr>
          <w:rStyle w:val="apple-style-span"/>
        </w:rPr>
        <w:t xml:space="preserve"> </w:t>
      </w:r>
      <w:r w:rsidRPr="00D36C4C">
        <w:rPr>
          <w:rStyle w:val="apple-style-span"/>
        </w:rPr>
        <w:t xml:space="preserve"> debate</w:t>
      </w:r>
      <w:r>
        <w:rPr>
          <w:rStyle w:val="apple-style-span"/>
        </w:rPr>
        <w:t xml:space="preserve">  as  research  is  done  by  human  being  and                           human  error  is  only  natural.  No  one  is  perfect  and  consequently  no  research  can  ever  be  perfect.   </w:t>
      </w:r>
      <w:r>
        <w:rPr>
          <w:rStyle w:val="apple-style-span"/>
          <w:shd w:val="clear" w:color="auto" w:fill="FFFFFF"/>
        </w:rPr>
        <w:t xml:space="preserve">                          </w:t>
      </w:r>
    </w:p>
    <w:p w:rsidR="00543C1C" w:rsidRPr="00543C1C" w:rsidRDefault="00543C1C">
      <w:pPr>
        <w:rPr>
          <w:b/>
        </w:rPr>
      </w:pPr>
    </w:p>
    <w:sectPr w:rsidR="00543C1C" w:rsidRPr="00543C1C" w:rsidSect="00024D2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117" w:rsidRDefault="00BE3117" w:rsidP="003A1A50">
      <w:r>
        <w:separator/>
      </w:r>
    </w:p>
  </w:endnote>
  <w:endnote w:type="continuationSeparator" w:id="1">
    <w:p w:rsidR="00BE3117" w:rsidRDefault="00BE3117" w:rsidP="003A1A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117" w:rsidRDefault="00BE3117" w:rsidP="003A1A50">
      <w:r>
        <w:separator/>
      </w:r>
    </w:p>
  </w:footnote>
  <w:footnote w:type="continuationSeparator" w:id="1">
    <w:p w:rsidR="00BE3117" w:rsidRDefault="00BE3117" w:rsidP="003A1A50">
      <w:r>
        <w:continuationSeparator/>
      </w:r>
    </w:p>
  </w:footnote>
  <w:footnote w:id="2">
    <w:p w:rsidR="003A1A50" w:rsidRDefault="003A1A50" w:rsidP="003A1A50">
      <w:pPr>
        <w:rPr>
          <w:rFonts w:ascii="Arial" w:hAnsi="Arial" w:cs="Arial"/>
          <w:sz w:val="20"/>
          <w:szCs w:val="20"/>
        </w:rPr>
      </w:pPr>
      <w:r>
        <w:rPr>
          <w:rStyle w:val="FootnoteReference"/>
        </w:rPr>
        <w:footnoteRef/>
      </w:r>
      <w:r>
        <w:t xml:space="preserve"> See</w:t>
      </w:r>
      <w:r w:rsidRPr="00B24605">
        <w:t xml:space="preserve"> </w:t>
      </w:r>
      <w:r>
        <w:t xml:space="preserve">Blackstone’s Guide to the Human Rights Act, Blackstone Press, </w:t>
      </w:r>
      <w:smartTag w:uri="urn:schemas-microsoft-com:office:smarttags" w:element="place">
        <w:smartTag w:uri="urn:schemas-microsoft-com:office:smarttags" w:element="City">
          <w:r>
            <w:t>London</w:t>
          </w:r>
        </w:smartTag>
      </w:smartTag>
      <w:r>
        <w:t>, October 1998.</w:t>
      </w:r>
    </w:p>
    <w:p w:rsidR="003A1A50" w:rsidRDefault="003A1A50" w:rsidP="003A1A50">
      <w:pPr>
        <w:pStyle w:val="FootnoteText"/>
      </w:pPr>
      <w:r>
        <w:t xml:space="preserve"> </w:t>
      </w:r>
    </w:p>
  </w:footnote>
  <w:footnote w:id="3">
    <w:p w:rsidR="003A1A50" w:rsidRDefault="003A1A50" w:rsidP="003A1A50">
      <w:pPr>
        <w:pStyle w:val="FootnoteText"/>
      </w:pPr>
      <w:r>
        <w:rPr>
          <w:rStyle w:val="FootnoteReference"/>
        </w:rPr>
        <w:footnoteRef/>
      </w:r>
      <w:r>
        <w:t xml:space="preserve">  [2003]</w:t>
      </w:r>
    </w:p>
  </w:footnote>
  <w:footnote w:id="4">
    <w:p w:rsidR="003A1A50" w:rsidRDefault="003A1A50" w:rsidP="003A1A50">
      <w:pPr>
        <w:pStyle w:val="FootnoteText"/>
      </w:pPr>
      <w:r>
        <w:rPr>
          <w:rStyle w:val="FootnoteReference"/>
        </w:rPr>
        <w:footnoteRef/>
      </w:r>
      <w:r>
        <w:t xml:space="preserve"> [2006]</w:t>
      </w:r>
    </w:p>
  </w:footnote>
  <w:footnote w:id="5">
    <w:p w:rsidR="003A1A50" w:rsidRDefault="003A1A50" w:rsidP="003A1A50">
      <w:pPr>
        <w:pStyle w:val="FootnoteText"/>
      </w:pPr>
      <w:r>
        <w:rPr>
          <w:rStyle w:val="FootnoteReference"/>
        </w:rPr>
        <w:footnoteRef/>
      </w:r>
      <w:r>
        <w:t xml:space="preserve"> [2004]</w:t>
      </w:r>
    </w:p>
  </w:footnote>
  <w:footnote w:id="6">
    <w:p w:rsidR="003A1A50" w:rsidRDefault="003A1A50" w:rsidP="003A1A50">
      <w:pPr>
        <w:pStyle w:val="FootnoteText"/>
      </w:pPr>
      <w:r>
        <w:rPr>
          <w:rStyle w:val="FootnoteReference"/>
        </w:rPr>
        <w:footnoteRef/>
      </w:r>
      <w:r>
        <w:t xml:space="preserve"> [2005]</w:t>
      </w:r>
    </w:p>
  </w:footnote>
  <w:footnote w:id="7">
    <w:p w:rsidR="003A1A50" w:rsidRDefault="003A1A50" w:rsidP="003A1A50">
      <w:pPr>
        <w:pStyle w:val="FootnoteText"/>
      </w:pPr>
      <w:r>
        <w:rPr>
          <w:rStyle w:val="FootnoteReference"/>
        </w:rPr>
        <w:footnoteRef/>
      </w:r>
      <w:r>
        <w:t xml:space="preserve"> [2000] 2 AC 115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D4307"/>
    <w:multiLevelType w:val="hybridMultilevel"/>
    <w:tmpl w:val="39CCB8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153DEA"/>
    <w:multiLevelType w:val="hybridMultilevel"/>
    <w:tmpl w:val="97623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F5D769F"/>
    <w:multiLevelType w:val="hybridMultilevel"/>
    <w:tmpl w:val="2B7CB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1A50"/>
    <w:rsid w:val="00024D2E"/>
    <w:rsid w:val="003A1A50"/>
    <w:rsid w:val="00543C1C"/>
    <w:rsid w:val="007D72DB"/>
    <w:rsid w:val="008E2886"/>
    <w:rsid w:val="00BE31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A1A50"/>
    <w:pPr>
      <w:spacing w:before="100" w:beforeAutospacing="1" w:after="100" w:afterAutospacing="1"/>
    </w:pPr>
  </w:style>
  <w:style w:type="paragraph" w:styleId="FootnoteText">
    <w:name w:val="footnote text"/>
    <w:basedOn w:val="Normal"/>
    <w:link w:val="FootnoteTextChar"/>
    <w:semiHidden/>
    <w:rsid w:val="003A1A50"/>
    <w:rPr>
      <w:sz w:val="20"/>
      <w:szCs w:val="20"/>
    </w:rPr>
  </w:style>
  <w:style w:type="character" w:customStyle="1" w:styleId="FootnoteTextChar">
    <w:name w:val="Footnote Text Char"/>
    <w:basedOn w:val="DefaultParagraphFont"/>
    <w:link w:val="FootnoteText"/>
    <w:semiHidden/>
    <w:rsid w:val="003A1A50"/>
    <w:rPr>
      <w:rFonts w:ascii="Times New Roman" w:eastAsia="Times New Roman" w:hAnsi="Times New Roman" w:cs="Times New Roman"/>
      <w:sz w:val="20"/>
      <w:szCs w:val="20"/>
    </w:rPr>
  </w:style>
  <w:style w:type="character" w:styleId="FootnoteReference">
    <w:name w:val="footnote reference"/>
    <w:basedOn w:val="DefaultParagraphFont"/>
    <w:semiHidden/>
    <w:rsid w:val="003A1A50"/>
    <w:rPr>
      <w:vertAlign w:val="superscript"/>
    </w:rPr>
  </w:style>
  <w:style w:type="character" w:styleId="Emphasis">
    <w:name w:val="Emphasis"/>
    <w:basedOn w:val="DefaultParagraphFont"/>
    <w:qFormat/>
    <w:rsid w:val="003A1A50"/>
    <w:rPr>
      <w:i/>
      <w:iCs/>
    </w:rPr>
  </w:style>
  <w:style w:type="character" w:styleId="Strong">
    <w:name w:val="Strong"/>
    <w:basedOn w:val="DefaultParagraphFont"/>
    <w:qFormat/>
    <w:rsid w:val="003A1A50"/>
    <w:rPr>
      <w:b/>
      <w:bCs/>
    </w:rPr>
  </w:style>
  <w:style w:type="character" w:styleId="Hyperlink">
    <w:name w:val="Hyperlink"/>
    <w:basedOn w:val="DefaultParagraphFont"/>
    <w:rsid w:val="00543C1C"/>
    <w:rPr>
      <w:strike w:val="0"/>
      <w:dstrike w:val="0"/>
      <w:color w:val="A2610C"/>
      <w:u w:val="none"/>
      <w:effect w:val="none"/>
    </w:rPr>
  </w:style>
  <w:style w:type="paragraph" w:customStyle="1" w:styleId="ecxmsonormal">
    <w:name w:val="ecxmsonormal"/>
    <w:basedOn w:val="Normal"/>
    <w:rsid w:val="00543C1C"/>
    <w:pPr>
      <w:spacing w:after="324"/>
    </w:pPr>
  </w:style>
  <w:style w:type="character" w:customStyle="1" w:styleId="apple-style-span">
    <w:name w:val="apple-style-span"/>
    <w:basedOn w:val="DefaultParagraphFont"/>
    <w:rsid w:val="00543C1C"/>
  </w:style>
  <w:style w:type="character" w:customStyle="1" w:styleId="apple-converted-space">
    <w:name w:val="apple-converted-space"/>
    <w:basedOn w:val="DefaultParagraphFont"/>
    <w:rsid w:val="00543C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awresources.co.uk/forum/viewtopic.php?f=86&amp;t=673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ventors.about.com/od/weirdmuseums/ig/Wright-Brothers/1903-Wright-Fly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C470B-3AA2-42A4-ABFD-0A8E2A4F8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4602</Words>
  <Characters>26232</Characters>
  <Application>Microsoft Office Word</Application>
  <DocSecurity>0</DocSecurity>
  <Lines>218</Lines>
  <Paragraphs>61</Paragraphs>
  <ScaleCrop>false</ScaleCrop>
  <Company>hwsf</Company>
  <LinksUpToDate>false</LinksUpToDate>
  <CharactersWithSpaces>30773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khalid</dc:creator>
  <cp:keywords/>
  <dc:description/>
  <cp:lastModifiedBy>sir khalid</cp:lastModifiedBy>
  <cp:revision>2</cp:revision>
  <dcterms:created xsi:type="dcterms:W3CDTF">2011-11-27T05:57:00Z</dcterms:created>
  <dcterms:modified xsi:type="dcterms:W3CDTF">2011-12-29T14:52:00Z</dcterms:modified>
</cp:coreProperties>
</file>