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terior-book-formatting"/>
    <w:p>
      <w:pPr>
        <w:pStyle w:val="Heading1"/>
      </w:pPr>
      <w:r>
        <w:t xml:space="preserve">Interior Book Formatting</w:t>
      </w:r>
    </w:p>
    <w:p>
      <w:pPr>
        <w:pStyle w:val="FirstParagraph"/>
      </w:pPr>
      <w:r>
        <w:rPr>
          <w:iCs/>
          <w:i/>
          <w:bCs/>
          <w:b/>
        </w:rPr>
        <w:t xml:space="preserve">Interior Book Formatting</w:t>
      </w:r>
    </w:p>
    <w:p>
      <w:pPr>
        <w:pStyle w:val="BodyText"/>
      </w:pPr>
      <w:r>
        <w:rPr>
          <w:iCs/>
          <w:i/>
          <w:bCs/>
          <w:b/>
        </w:rPr>
        <w:t xml:space="preserve">Perfect Pages for Your Story</w:t>
      </w:r>
    </w:p>
    <w:p>
      <w:pPr>
        <w:pStyle w:val="BodyText"/>
      </w:pPr>
      <w:r>
        <w:rPr>
          <w:iCs/>
          <w:i/>
          <w:bCs/>
          <w:b/>
        </w:rPr>
        <w:t xml:space="preserve">Beautiful stories deserve beautiful presentation.</w:t>
      </w:r>
    </w:p>
    <w:p>
      <w:pPr>
        <w:pStyle w:val="BodyText"/>
      </w:pPr>
      <w:r>
        <w:t xml:space="preserve">After writing and editing comes the work that turns a manuscript into a book: typesetting and interior layout. Our book formatting services transform your final manuscript into a professionally laid-out interior — every page balanced, every chapter opener crafted, every footnote properly positioned. Whether your destination is Kindle, ePub, paperback, hardcover, or all of the above, we format to industry specifications and platform requirements so your book displays correctly everywhere readers find it.</w:t>
      </w:r>
    </w:p>
    <w:p>
      <w:pPr>
        <w:pStyle w:val="BodyText"/>
      </w:pPr>
      <w:r>
        <w:t xml:space="preserve">How a book</w:t>
      </w:r>
      <w:r>
        <w:t xml:space="preserve"> </w:t>
      </w:r>
      <w:r>
        <w:rPr>
          <w:iCs/>
          <w:i/>
        </w:rPr>
        <w:t xml:space="preserve">looks</w:t>
      </w:r>
      <w:r>
        <w:t xml:space="preserve"> </w:t>
      </w:r>
      <w:r>
        <w:t xml:space="preserve">is almost as important as what it says. A well-formatted book lends credibility, signals professional production, and keeps readers engaged. Whether it’s a cookbook with photos and recipe layouts, a children’s picture book with carefully placed illustrations, or How your book feels to read matters, and we take that seriously.</w:t>
      </w:r>
    </w:p>
    <w:bookmarkStart w:id="20" w:name="service-tiers"/>
    <w:p>
      <w:pPr>
        <w:pStyle w:val="Heading2"/>
      </w:pPr>
      <w:r>
        <w:t xml:space="preserve">Service Tiers</w:t>
      </w:r>
    </w:p>
    <w:p>
      <w:pPr>
        <w:pStyle w:val="FirstParagraph"/>
      </w:pPr>
      <w:r>
        <w:t xml:space="preserve">Formatting is priced</w:t>
      </w:r>
      <w:r>
        <w:t xml:space="preserve"> </w:t>
      </w:r>
      <w:r>
        <w:rPr>
          <w:bCs/>
          <w:b/>
        </w:rPr>
        <w:t xml:space="preserve">per page</w:t>
      </w:r>
      <w:r>
        <w:t xml:space="preserve">, with rates that vary by book type and target format. The complexity of formatting a cookbook (recipe layouts, ingredient lists, full-bleed photos) is dramatically different from a fiction novel (running text with chapter breaks), and the pricing reflects that.</w:t>
      </w:r>
    </w:p>
    <w:p>
      <w:pPr>
        <w:pStyle w:val="BodyText"/>
      </w:pPr>
      <w:r>
        <w:rPr>
          <w:iCs/>
          <w:i/>
        </w:rPr>
        <w:t xml:space="preserve">Rates are maintained in the central Pricing &amp; Timeline engine. Ask the chatbot for a quote and it will return a precise range based on your specific project.</w:t>
      </w:r>
    </w:p>
    <w:p>
      <w:pPr>
        <w:pStyle w:val="BodyText"/>
      </w:pPr>
      <w:r>
        <w:t xml:space="preserve">The chatbot can give a precise quote via the</w:t>
      </w:r>
      <w:r>
        <w:t xml:space="preserve"> </w:t>
      </w:r>
      <w:r>
        <w:rPr>
          <w:rStyle w:val="VerbatimChar"/>
        </w:rPr>
        <w:t xml:space="preserve">get_pricing_quote</w:t>
      </w:r>
      <w:r>
        <w:t xml:space="preserve"> </w:t>
      </w:r>
      <w:r>
        <w:t xml:space="preserve">tool.</w:t>
      </w:r>
    </w:p>
    <w:bookmarkEnd w:id="20"/>
    <w:bookmarkStart w:id="21" w:name="what-we-offer"/>
    <w:p>
      <w:pPr>
        <w:pStyle w:val="Heading2"/>
      </w:pPr>
      <w:r>
        <w:t xml:space="preserve">What We Offer</w:t>
      </w:r>
    </w:p>
    <w:p>
      <w:pPr>
        <w:numPr>
          <w:ilvl w:val="0"/>
          <w:numId w:val="1001"/>
        </w:numPr>
      </w:pPr>
      <w:r>
        <w:rPr>
          <w:bCs/>
          <w:b/>
        </w:rPr>
        <w:t xml:space="preserve">Print interior layout</w:t>
      </w:r>
      <w:r>
        <w:t xml:space="preserve"> </w:t>
      </w:r>
      <w:r>
        <w:t xml:space="preserve">— Professional typesetting in InDesign with proper margins, gutters, running headers, page numbers, chapter openers, and trim-size optimization for paperback (5.5×8.5, 6×9, etc.) and hardcover.</w:t>
      </w:r>
    </w:p>
    <w:p>
      <w:pPr>
        <w:numPr>
          <w:ilvl w:val="0"/>
          <w:numId w:val="1001"/>
        </w:numPr>
      </w:pPr>
      <w:r>
        <w:rPr>
          <w:bCs/>
          <w:b/>
        </w:rPr>
        <w:t xml:space="preserve">eBook formatting</w:t>
      </w:r>
      <w:r>
        <w:t xml:space="preserve"> </w:t>
      </w:r>
      <w:r>
        <w:t xml:space="preserve">— Reflowable EPUB with proper internal linking (table of contents, chapter navigation, footnotes), metadata embedded, and tested across Kindle, Apple Books, Google Play Books, and Kobo readers.</w:t>
      </w:r>
    </w:p>
    <w:p>
      <w:pPr>
        <w:numPr>
          <w:ilvl w:val="0"/>
          <w:numId w:val="1001"/>
        </w:numPr>
      </w:pPr>
      <w:r>
        <w:rPr>
          <w:bCs/>
          <w:b/>
        </w:rPr>
        <w:t xml:space="preserve">Multi-format delivery</w:t>
      </w:r>
      <w:r>
        <w:t xml:space="preserve"> </w:t>
      </w:r>
      <w:r>
        <w:t xml:space="preserve">— One project, every format you need: print-ready PDF + EPUB + (on request) MOBI for legacy Kindle. Pricing for combined Print + eBook is discounted vs. ordering separately.</w:t>
      </w:r>
    </w:p>
    <w:p>
      <w:pPr>
        <w:numPr>
          <w:ilvl w:val="0"/>
          <w:numId w:val="1001"/>
        </w:numPr>
      </w:pPr>
      <w:r>
        <w:rPr>
          <w:bCs/>
          <w:b/>
        </w:rPr>
        <w:t xml:space="preserve">Right-to-left language support</w:t>
      </w:r>
      <w:r>
        <w:t xml:space="preserve"> </w:t>
      </w:r>
      <w:r>
        <w:t xml:space="preserve">— Arabic, Hebrew, Persian, and other RTL languages. We format with proper RTL flow, mirrored layouts where needed, and embedded fonts that support the script.</w:t>
      </w:r>
    </w:p>
    <w:p>
      <w:pPr>
        <w:numPr>
          <w:ilvl w:val="0"/>
          <w:numId w:val="1001"/>
        </w:numPr>
      </w:pPr>
      <w:r>
        <w:rPr>
          <w:bCs/>
          <w:b/>
        </w:rPr>
        <w:t xml:space="preserve">Image and figure handling</w:t>
      </w:r>
      <w:r>
        <w:t xml:space="preserve"> </w:t>
      </w:r>
      <w:r>
        <w:t xml:space="preserve">— Properly placed illustrations, photos, charts, tables. For print, color-corrected and resolution-checked. For eBook, optimized file sizes without quality loss.</w:t>
      </w:r>
    </w:p>
    <w:p>
      <w:pPr>
        <w:numPr>
          <w:ilvl w:val="0"/>
          <w:numId w:val="1001"/>
        </w:numPr>
      </w:pPr>
      <w:r>
        <w:rPr>
          <w:bCs/>
          <w:b/>
        </w:rPr>
        <w:t xml:space="preserve">Complex-element layout</w:t>
      </w:r>
      <w:r>
        <w:t xml:space="preserve"> </w:t>
      </w:r>
      <w:r>
        <w:t xml:space="preserve">— Footnotes, endnotes, bibliographies, indexes, glossaries, sidebars, pull-quotes, equations (via LaTeX-style rendering), code blocks for technical books.</w:t>
      </w:r>
    </w:p>
    <w:p>
      <w:pPr>
        <w:numPr>
          <w:ilvl w:val="0"/>
          <w:numId w:val="1001"/>
        </w:numPr>
      </w:pPr>
      <w:r>
        <w:rPr>
          <w:bCs/>
          <w:b/>
        </w:rPr>
        <w:t xml:space="preserve">Accessibility-ready output</w:t>
      </w:r>
      <w:r>
        <w:t xml:space="preserve"> </w:t>
      </w:r>
      <w:r>
        <w:t xml:space="preserve">— Alt text on images, proper semantic tagging, navigation landmarks. Required for academic publishing and increasingly important for general retail (especially Kindle’s Accessibility-Aware initiative).</w:t>
      </w:r>
    </w:p>
    <w:bookmarkEnd w:id="21"/>
    <w:bookmarkStart w:id="22" w:name="what-influences-cost-timeline"/>
    <w:p>
      <w:pPr>
        <w:pStyle w:val="Heading2"/>
      </w:pPr>
      <w:r>
        <w:t xml:space="preserve">What Influences Cost &amp; Timeline</w:t>
      </w:r>
    </w:p>
    <w:p>
      <w:pPr>
        <w:pStyle w:val="FirstParagraph"/>
      </w:pPr>
      <w:r>
        <w:t xml:space="preserve">Per-page rates are the base. These complexity factors scale up:</w:t>
      </w:r>
    </w:p>
    <w:p>
      <w:pPr>
        <w:numPr>
          <w:ilvl w:val="0"/>
          <w:numId w:val="1002"/>
        </w:numPr>
        <w:pStyle w:val="Compact"/>
      </w:pPr>
      <w:r>
        <w:rPr>
          <w:bCs/>
          <w:b/>
        </w:rPr>
        <w:t xml:space="preserve">Images/illustrations per chapter</w:t>
      </w:r>
      <w:r>
        <w:t xml:space="preserve"> </w:t>
      </w:r>
      <w:r>
        <w:t xml:space="preserve">— Heavy illustration adds layout time</w:t>
      </w:r>
    </w:p>
    <w:p>
      <w:pPr>
        <w:numPr>
          <w:ilvl w:val="0"/>
          <w:numId w:val="1002"/>
        </w:numPr>
        <w:pStyle w:val="Compact"/>
      </w:pPr>
      <w:r>
        <w:rPr>
          <w:bCs/>
          <w:b/>
        </w:rPr>
        <w:t xml:space="preserve">Tables, charts, graphs</w:t>
      </w:r>
      <w:r>
        <w:t xml:space="preserve"> </w:t>
      </w:r>
      <w:r>
        <w:t xml:space="preserve">— Each requires individual layout work</w:t>
      </w:r>
    </w:p>
    <w:p>
      <w:pPr>
        <w:numPr>
          <w:ilvl w:val="0"/>
          <w:numId w:val="1002"/>
        </w:numPr>
        <w:pStyle w:val="Compact"/>
      </w:pPr>
      <w:r>
        <w:rPr>
          <w:bCs/>
          <w:b/>
        </w:rPr>
        <w:t xml:space="preserve">Footnotes/endnotes</w:t>
      </w:r>
      <w:r>
        <w:t xml:space="preserve"> </w:t>
      </w:r>
      <w:r>
        <w:t xml:space="preserve">— Particularly for academic and historical non-fiction</w:t>
      </w:r>
    </w:p>
    <w:p>
      <w:pPr>
        <w:numPr>
          <w:ilvl w:val="0"/>
          <w:numId w:val="1002"/>
        </w:numPr>
        <w:pStyle w:val="Compact"/>
      </w:pPr>
      <w:r>
        <w:rPr>
          <w:bCs/>
          <w:b/>
        </w:rPr>
        <w:t xml:space="preserve">Special layout elements</w:t>
      </w:r>
      <w:r>
        <w:t xml:space="preserve"> </w:t>
      </w:r>
      <w:r>
        <w:t xml:space="preserve">— Sidebars, pull-quotes, recipe cards, multi-column layouts</w:t>
      </w:r>
    </w:p>
    <w:p>
      <w:pPr>
        <w:numPr>
          <w:ilvl w:val="0"/>
          <w:numId w:val="1002"/>
        </w:numPr>
        <w:pStyle w:val="Compact"/>
      </w:pPr>
      <w:r>
        <w:rPr>
          <w:bCs/>
          <w:b/>
        </w:rPr>
        <w:t xml:space="preserve">Index required</w:t>
      </w:r>
      <w:r>
        <w:t xml:space="preserve"> </w:t>
      </w:r>
      <w:r>
        <w:t xml:space="preserve">— Back-of-book indexes require additional pagination work</w:t>
      </w:r>
    </w:p>
    <w:p>
      <w:pPr>
        <w:numPr>
          <w:ilvl w:val="0"/>
          <w:numId w:val="1002"/>
        </w:numPr>
        <w:pStyle w:val="Compact"/>
      </w:pPr>
      <w:r>
        <w:rPr>
          <w:bCs/>
          <w:b/>
        </w:rPr>
        <w:t xml:space="preserve">Complex chapter starts</w:t>
      </w:r>
      <w:r>
        <w:t xml:space="preserve"> </w:t>
      </w:r>
      <w:r>
        <w:t xml:space="preserve">— Drop caps, decorative ornaments, chapter-opener art</w:t>
      </w:r>
    </w:p>
    <w:p>
      <w:pPr>
        <w:numPr>
          <w:ilvl w:val="0"/>
          <w:numId w:val="1002"/>
        </w:numPr>
        <w:pStyle w:val="Compact"/>
      </w:pPr>
      <w:r>
        <w:rPr>
          <w:bCs/>
          <w:b/>
        </w:rPr>
        <w:t xml:space="preserve">Custom design</w:t>
      </w:r>
      <w:r>
        <w:t xml:space="preserve"> </w:t>
      </w:r>
      <w:r>
        <w:t xml:space="preserve">— Proprietary typography, signature design elements</w:t>
      </w:r>
    </w:p>
    <w:p>
      <w:pPr>
        <w:numPr>
          <w:ilvl w:val="0"/>
          <w:numId w:val="1002"/>
        </w:numPr>
        <w:pStyle w:val="Compact"/>
      </w:pPr>
      <w:r>
        <w:rPr>
          <w:bCs/>
          <w:b/>
        </w:rPr>
        <w:t xml:space="preserve">Licensed fonts required</w:t>
      </w:r>
      <w:r>
        <w:t xml:space="preserve"> </w:t>
      </w:r>
      <w:r>
        <w:t xml:space="preserve">— Premium fonts add licensing fees</w:t>
      </w:r>
    </w:p>
    <w:p>
      <w:pPr>
        <w:numPr>
          <w:ilvl w:val="0"/>
          <w:numId w:val="1002"/>
        </w:numPr>
        <w:pStyle w:val="Compact"/>
      </w:pPr>
      <w:r>
        <w:rPr>
          <w:bCs/>
          <w:b/>
        </w:rPr>
        <w:t xml:space="preserve">Color interior</w:t>
      </w:r>
      <w:r>
        <w:t xml:space="preserve"> </w:t>
      </w:r>
      <w:r>
        <w:t xml:space="preserve">— Significantly increases print cost for buyers; also adds layout/proofing time</w:t>
      </w:r>
    </w:p>
    <w:bookmarkEnd w:id="22"/>
    <w:bookmarkStart w:id="23" w:name="add-on-options"/>
    <w:p>
      <w:pPr>
        <w:pStyle w:val="Heading2"/>
      </w:pPr>
      <w:r>
        <w:t xml:space="preserve">Add-On Options</w:t>
      </w:r>
    </w:p>
    <w:p>
      <w:pPr>
        <w:numPr>
          <w:ilvl w:val="0"/>
          <w:numId w:val="1003"/>
        </w:numPr>
        <w:pStyle w:val="Compact"/>
      </w:pPr>
      <w:r>
        <w:rPr>
          <w:bCs/>
          <w:b/>
        </w:rPr>
        <w:t xml:space="preserve">Custom Chapter Art/Ornaments (per element)</w:t>
      </w:r>
      <w:r>
        <w:t xml:space="preserve">. Decorative ornaments, drop caps, scene-break dingbats. Per design element.</w:t>
      </w:r>
    </w:p>
    <w:p>
      <w:pPr>
        <w:numPr>
          <w:ilvl w:val="0"/>
          <w:numId w:val="1003"/>
        </w:numPr>
        <w:pStyle w:val="Compact"/>
      </w:pPr>
      <w:r>
        <w:rPr>
          <w:bCs/>
          <w:b/>
        </w:rPr>
        <w:t xml:space="preserve">Extra Revision Round (beyond included)</w:t>
      </w:r>
      <w:r>
        <w:t xml:space="preserve">. Additional revision passes beyond the standard rounds.</w:t>
      </w:r>
    </w:p>
    <w:p>
      <w:pPr>
        <w:numPr>
          <w:ilvl w:val="0"/>
          <w:numId w:val="1003"/>
        </w:numPr>
        <w:pStyle w:val="Compact"/>
      </w:pPr>
      <w:r>
        <w:rPr>
          <w:bCs/>
          <w:b/>
        </w:rPr>
        <w:t xml:space="preserve">Font Licensing (premium fonts)</w:t>
      </w:r>
      <w:r>
        <w:t xml:space="preserve">. Licensed-font fees for premium typeface choices.</w:t>
      </w:r>
    </w:p>
    <w:p>
      <w:pPr>
        <w:numPr>
          <w:ilvl w:val="0"/>
          <w:numId w:val="1003"/>
        </w:numPr>
        <w:pStyle w:val="Compact"/>
      </w:pPr>
      <w:r>
        <w:rPr>
          <w:bCs/>
          <w:b/>
        </w:rPr>
        <w:t xml:space="preserve">Print-Ready File Optimization</w:t>
      </w:r>
      <w:r>
        <w:t xml:space="preserve">. Final print prep — color profile correction, font embedding, PDF/X-1a compliance for offset printing.</w:t>
      </w:r>
    </w:p>
    <w:p>
      <w:pPr>
        <w:numPr>
          <w:ilvl w:val="0"/>
          <w:numId w:val="1003"/>
        </w:numPr>
        <w:pStyle w:val="Compact"/>
      </w:pPr>
      <w:r>
        <w:rPr>
          <w:bCs/>
          <w:b/>
        </w:rPr>
        <w:t xml:space="preserve">eBook Conversion (additional formats beyond EPUB)</w:t>
      </w:r>
      <w:r>
        <w:t xml:space="preserve">. MOBI for legacy Kindle, KFX optimization, custom-publisher formats.</w:t>
      </w:r>
    </w:p>
    <w:p>
      <w:pPr>
        <w:numPr>
          <w:ilvl w:val="0"/>
          <w:numId w:val="1003"/>
        </w:numPr>
        <w:pStyle w:val="Compact"/>
      </w:pPr>
      <w:r>
        <w:rPr>
          <w:bCs/>
          <w:b/>
        </w:rPr>
        <w:t xml:space="preserve">Accessibility Features (alt text, proper tagging)</w:t>
      </w:r>
      <w:r>
        <w:t xml:space="preserve">. Image alt text, semantic tagging, navigation landmarks. Required for academic publishing.</w:t>
      </w:r>
    </w:p>
    <w:p>
      <w:pPr>
        <w:numPr>
          <w:ilvl w:val="0"/>
          <w:numId w:val="1003"/>
        </w:numPr>
        <w:pStyle w:val="Compact"/>
      </w:pPr>
      <w:r>
        <w:rPr>
          <w:bCs/>
          <w:b/>
        </w:rPr>
        <w:t xml:space="preserve">Complex Table/Graph Recreation</w:t>
      </w:r>
      <w:r>
        <w:t xml:space="preserve">. When source tables/graphs need to be rebuilt for print quality.</w:t>
      </w:r>
    </w:p>
    <w:bookmarkEnd w:id="23"/>
    <w:bookmarkStart w:id="24" w:name="our-formatting-process"/>
    <w:p>
      <w:pPr>
        <w:pStyle w:val="Heading2"/>
      </w:pPr>
      <w:r>
        <w:t xml:space="preserve">Our Formatting Process</w:t>
      </w:r>
    </w:p>
    <w:p>
      <w:pPr>
        <w:numPr>
          <w:ilvl w:val="0"/>
          <w:numId w:val="1004"/>
        </w:numPr>
      </w:pPr>
      <w:r>
        <w:rPr>
          <w:bCs/>
          <w:b/>
        </w:rPr>
        <w:t xml:space="preserve">Manuscript review &amp; style preferences.</w:t>
      </w:r>
      <w:r>
        <w:t xml:space="preserve"> </w:t>
      </w:r>
      <w:r>
        <w:t xml:space="preserve">We gather your final edited manuscript and discuss design preferences — trim size, fonts, chapter heading style, scene-break conventions, any genre-specific needs.</w:t>
      </w:r>
      <w:r>
        <w:t xml:space="preserve"> </w:t>
      </w:r>
      <w:r>
        <w:rPr>
          <w:iCs/>
          <w:i/>
        </w:rPr>
        <w:t xml:space="preserve">Outcome:</w:t>
      </w:r>
      <w:r>
        <w:t xml:space="preserve"> </w:t>
      </w:r>
      <w:r>
        <w:t xml:space="preserve">a clear plan for your book’s interior look and feel.</w:t>
      </w:r>
    </w:p>
    <w:p>
      <w:pPr>
        <w:numPr>
          <w:ilvl w:val="0"/>
          <w:numId w:val="1004"/>
        </w:numPr>
      </w:pPr>
      <w:r>
        <w:rPr>
          <w:bCs/>
          <w:b/>
        </w:rPr>
        <w:t xml:space="preserve">Platform &amp; format planning.</w:t>
      </w:r>
      <w:r>
        <w:t xml:space="preserve"> </w:t>
      </w:r>
      <w:r>
        <w:t xml:space="preserve">We determine output formats (eBook, paperback, hardcover) and adjust layout requirements for each. Print specifics (margin, gutter, paper type) and eBook specifics (linked TOC, reflowable text) are mapped out.</w:t>
      </w:r>
      <w:r>
        <w:t xml:space="preserve"> </w:t>
      </w:r>
      <w:r>
        <w:rPr>
          <w:iCs/>
          <w:i/>
        </w:rPr>
        <w:t xml:space="preserve">Outcome:</w:t>
      </w:r>
      <w:r>
        <w:t xml:space="preserve"> </w:t>
      </w:r>
      <w:r>
        <w:t xml:space="preserve">format-specific requirements documented with no surprises during conversion.</w:t>
      </w:r>
    </w:p>
    <w:p>
      <w:pPr>
        <w:numPr>
          <w:ilvl w:val="0"/>
          <w:numId w:val="1004"/>
        </w:numPr>
      </w:pPr>
      <w:r>
        <w:rPr>
          <w:bCs/>
          <w:b/>
        </w:rPr>
        <w:t xml:space="preserve">Interior layout design.</w:t>
      </w:r>
      <w:r>
        <w:t xml:space="preserve"> </w:t>
      </w:r>
      <w:r>
        <w:t xml:space="preserve">Using professional tools (Adobe InDesign for print, dedicated tools for EPUB), we create the interior page design with consistent typography, paragraph styles, headings, and page elements (headers, footers, page numbers). For series, we apply established style guides for consistency.</w:t>
      </w:r>
      <w:r>
        <w:t xml:space="preserve"> </w:t>
      </w:r>
      <w:r>
        <w:rPr>
          <w:iCs/>
          <w:i/>
        </w:rPr>
        <w:t xml:space="preserve">Outcome:</w:t>
      </w:r>
      <w:r>
        <w:t xml:space="preserve"> </w:t>
      </w:r>
      <w:r>
        <w:t xml:space="preserve">a polished layout template, ready for the manuscript text.</w:t>
      </w:r>
    </w:p>
    <w:p>
      <w:pPr>
        <w:numPr>
          <w:ilvl w:val="0"/>
          <w:numId w:val="1004"/>
        </w:numPr>
      </w:pPr>
      <w:r>
        <w:rPr>
          <w:bCs/>
          <w:b/>
        </w:rPr>
        <w:t xml:space="preserve">Visual enhancements &amp; final polish.</w:t>
      </w:r>
      <w:r>
        <w:t xml:space="preserve"> </w:t>
      </w:r>
      <w:r>
        <w:t xml:space="preserve">We integrate any visual enhancements — drop caps, ornaments, chapter opener images. Image placement is checked for resolution, color, and aesthetic. We do a QA review for widows, orphans, page breaks, and formatting consistency.</w:t>
      </w:r>
      <w:r>
        <w:t xml:space="preserve"> </w:t>
      </w:r>
      <w:r>
        <w:rPr>
          <w:iCs/>
          <w:i/>
        </w:rPr>
        <w:t xml:space="preserve">Outcome:</w:t>
      </w:r>
      <w:r>
        <w:t xml:space="preserve"> </w:t>
      </w:r>
      <w:r>
        <w:t xml:space="preserve">an error-free, visually refined interior file.</w:t>
      </w:r>
    </w:p>
    <w:p>
      <w:pPr>
        <w:numPr>
          <w:ilvl w:val="0"/>
          <w:numId w:val="1004"/>
        </w:numPr>
      </w:pPr>
      <w:r>
        <w:rPr>
          <w:bCs/>
          <w:b/>
        </w:rPr>
        <w:t xml:space="preserve">Format conversion &amp; compatibility testing.</w:t>
      </w:r>
      <w:r>
        <w:t xml:space="preserve"> </w:t>
      </w:r>
      <w:r>
        <w:t xml:space="preserve">The master layout converts into required formats: reflowable EPUB for eBooks (and MOBI if needed), print-ready PDF for print editions. EPUBs are tested on multiple devices (Kindle, iPad, Android tablet, Kobo) to verify text reflow and image display. PDFs are checked for embedded fonts and correct print layout.</w:t>
      </w:r>
      <w:r>
        <w:t xml:space="preserve"> </w:t>
      </w:r>
      <w:r>
        <w:rPr>
          <w:iCs/>
          <w:i/>
        </w:rPr>
        <w:t xml:space="preserve">Outcome:</w:t>
      </w:r>
      <w:r>
        <w:t xml:space="preserve"> </w:t>
      </w:r>
      <w:r>
        <w:t xml:space="preserve">validated files for every format.</w:t>
      </w:r>
    </w:p>
    <w:p>
      <w:pPr>
        <w:numPr>
          <w:ilvl w:val="0"/>
          <w:numId w:val="1004"/>
        </w:numPr>
      </w:pPr>
      <w:r>
        <w:rPr>
          <w:bCs/>
          <w:b/>
        </w:rPr>
        <w:t xml:space="preserve">Final deliverable &amp; guidance.</w:t>
      </w:r>
      <w:r>
        <w:t xml:space="preserve"> </w:t>
      </w:r>
      <w:r>
        <w:t xml:space="preserve">You receive the formatted files plus any source files you’ve requested. We also provide guidance for next steps — uploading to KDP, IngramSpark, Apple Books, etc.</w:t>
      </w:r>
      <w:r>
        <w:t xml:space="preserve"> </w:t>
      </w:r>
      <w:r>
        <w:rPr>
          <w:iCs/>
          <w:i/>
        </w:rPr>
        <w:t xml:space="preserve">Outcome:</w:t>
      </w:r>
      <w:r>
        <w:t xml:space="preserve"> </w:t>
      </w:r>
      <w:r>
        <w:t xml:space="preserve">production-ready files for all chosen publishing platforms.</w:t>
      </w:r>
    </w:p>
    <w:bookmarkEnd w:id="24"/>
    <w:bookmarkStart w:id="25" w:name="technical-specifications"/>
    <w:p>
      <w:pPr>
        <w:pStyle w:val="Heading2"/>
      </w:pPr>
      <w:r>
        <w:t xml:space="preserve">Technical Specifications</w:t>
      </w:r>
    </w:p>
    <w:p>
      <w:pPr>
        <w:numPr>
          <w:ilvl w:val="0"/>
          <w:numId w:val="1005"/>
        </w:numPr>
        <w:pStyle w:val="Compact"/>
      </w:pPr>
      <w:r>
        <w:rPr>
          <w:bCs/>
          <w:b/>
        </w:rPr>
        <w:t xml:space="preserve">Print PDFs:</w:t>
      </w:r>
      <w:r>
        <w:t xml:space="preserve"> </w:t>
      </w:r>
      <w:r>
        <w:t xml:space="preserve">PDF/X-1a compliant, all fonts embedded, CMYK color profile, 300 DPI for images, proper bleed (0.125”) and trim. KDP, IngramSpark, Lulu, Mixam, BookBaby formats supported.</w:t>
      </w:r>
    </w:p>
    <w:p>
      <w:pPr>
        <w:numPr>
          <w:ilvl w:val="0"/>
          <w:numId w:val="1005"/>
        </w:numPr>
        <w:pStyle w:val="Compact"/>
      </w:pPr>
      <w:r>
        <w:rPr>
          <w:bCs/>
          <w:b/>
        </w:rPr>
        <w:t xml:space="preserve">EPUBs:</w:t>
      </w:r>
      <w:r>
        <w:t xml:space="preserve"> </w:t>
      </w:r>
      <w:r>
        <w:t xml:space="preserve">EPUB 3 standard with reflowable text. Supports rich features (embedded audio/video for enhanced editions, MathML for academic). Tested for Kindle, Apple Books, Google Play Books, Kobo display.</w:t>
      </w:r>
    </w:p>
    <w:p>
      <w:pPr>
        <w:numPr>
          <w:ilvl w:val="0"/>
          <w:numId w:val="1005"/>
        </w:numPr>
        <w:pStyle w:val="Compact"/>
      </w:pPr>
      <w:r>
        <w:rPr>
          <w:bCs/>
          <w:b/>
        </w:rPr>
        <w:t xml:space="preserve">MOBI files:</w:t>
      </w:r>
      <w:r>
        <w:t xml:space="preserve"> </w:t>
      </w:r>
      <w:r>
        <w:t xml:space="preserve">Kindle-legacy format; only needed if you’re publishing to old Kindle direct-publishing accounts. Modern Kindle uses KPF/KFX, which we generate via Kindle Direct Publishing’s converter.</w:t>
      </w:r>
    </w:p>
    <w:p>
      <w:pPr>
        <w:numPr>
          <w:ilvl w:val="0"/>
          <w:numId w:val="1005"/>
        </w:numPr>
        <w:pStyle w:val="Compact"/>
      </w:pPr>
      <w:r>
        <w:rPr>
          <w:bCs/>
          <w:b/>
        </w:rPr>
        <w:t xml:space="preserve">Trim sizes:</w:t>
      </w:r>
      <w:r>
        <w:t xml:space="preserve"> </w:t>
      </w:r>
      <w:r>
        <w:t xml:space="preserve">Common — 5×8, 5.25×8, 5.5×8.5, 6×9, 6.14×9.21, 7×10. Custom trim sizes supported on request.</w:t>
      </w:r>
    </w:p>
    <w:p>
      <w:pPr>
        <w:numPr>
          <w:ilvl w:val="0"/>
          <w:numId w:val="1005"/>
        </w:numPr>
        <w:pStyle w:val="Compact"/>
      </w:pPr>
      <w:r>
        <w:rPr>
          <w:bCs/>
          <w:b/>
        </w:rPr>
        <w:t xml:space="preserve">Font handling:</w:t>
      </w:r>
      <w:r>
        <w:t xml:space="preserve"> </w:t>
      </w:r>
      <w:r>
        <w:t xml:space="preserve">All fonts embedded in print PDFs. EPUB uses your specified fonts as fallback (subscriber readers may override). Premium fonts licensed via the Font Licensing add-on.</w:t>
      </w:r>
    </w:p>
    <w:p>
      <w:pPr>
        <w:numPr>
          <w:ilvl w:val="0"/>
          <w:numId w:val="1005"/>
        </w:numPr>
        <w:pStyle w:val="Compact"/>
      </w:pPr>
      <w:r>
        <w:rPr>
          <w:bCs/>
          <w:b/>
        </w:rPr>
        <w:t xml:space="preserve">Source files:</w:t>
      </w:r>
      <w:r>
        <w:t xml:space="preserve"> </w:t>
      </w:r>
      <w:r>
        <w:t xml:space="preserve">InDesign (.indd) source files available on request — useful for in-house future updates.</w:t>
      </w:r>
    </w:p>
    <w:bookmarkEnd w:id="25"/>
    <w:bookmarkStart w:id="26" w:name="common-questions"/>
    <w:p>
      <w:pPr>
        <w:pStyle w:val="Heading2"/>
      </w:pPr>
      <w:r>
        <w:t xml:space="preserve">Common Questions</w:t>
      </w:r>
    </w:p>
    <w:p>
      <w:pPr>
        <w:pStyle w:val="FirstParagraph"/>
      </w:pPr>
      <w:r>
        <w:rPr>
          <w:bCs/>
          <w:b/>
        </w:rPr>
        <w:t xml:space="preserve">What is book formatting, and why is it important?</w:t>
      </w:r>
      <w:r>
        <w:t xml:space="preserve"> </w:t>
      </w:r>
      <w:r>
        <w:t xml:space="preserve">Book formatting (also called typesetting) is the process of laying out your manuscript text and images into the actual page design that readers see. It includes choosing fonts, setting margins and spacing, designing chapter openers, placing images, and exporting to print-ready PDF and reflowable EPUB. Professional formatting matters because it signals quality, improves readability, and ensures your book displays correctly on every device and in every print format.</w:t>
      </w:r>
    </w:p>
    <w:p>
      <w:pPr>
        <w:pStyle w:val="BodyText"/>
      </w:pPr>
      <w:r>
        <w:rPr>
          <w:bCs/>
          <w:b/>
        </w:rPr>
        <w:t xml:space="preserve">Can you format illustrations or images within the manuscript?</w:t>
      </w:r>
      <w:r>
        <w:t xml:space="preserve"> </w:t>
      </w:r>
      <w:r>
        <w:t xml:space="preserve">Yes. We integrate illustrations and images at proper resolution and placement. For print, images need to be 300 DPI minimum and properly color-corrected (CMYK). For eBook, we optimize file size while preserving visual quality. Children’s illustrated books and cookbooks (with their dedicated rate tiers) involve heavy illustration work; novels with occasional images add minimal complexity.</w:t>
      </w:r>
    </w:p>
    <w:p>
      <w:pPr>
        <w:pStyle w:val="BodyText"/>
      </w:pPr>
      <w:r>
        <w:rPr>
          <w:bCs/>
          <w:b/>
        </w:rPr>
        <w:t xml:space="preserve">Can you design chapter headings or unique section breaks?</w:t>
      </w:r>
      <w:r>
        <w:t xml:space="preserve"> </w:t>
      </w:r>
      <w:r>
        <w:t xml:space="preserve">Yes. Standard chapter headings are included in your tier; custom decorative chapter art (ornaments, drop caps, illustrated openers) is available via the Custom Chapter Art/Ornaments add-on at per element. Many books use just one or two custom designs (one chapter-opener style, one scene-break ornament) and reuse them throughout.</w:t>
      </w:r>
    </w:p>
    <w:p>
      <w:pPr>
        <w:pStyle w:val="BodyText"/>
      </w:pPr>
      <w:r>
        <w:rPr>
          <w:bCs/>
          <w:b/>
        </w:rPr>
        <w:t xml:space="preserve">Do you include page numbering in the formatting service?</w:t>
      </w:r>
      <w:r>
        <w:t xml:space="preserve"> </w:t>
      </w:r>
      <w:r>
        <w:t xml:space="preserve">Yes. Page numbering is part of standard formatting — including the convention of starting page 1 at the first page of body text (with front matter using Roman numerals if appropriate), proper handling of blank pages opposite chapter openers, and consistent header/footer styling.</w:t>
      </w:r>
    </w:p>
    <w:p>
      <w:pPr>
        <w:pStyle w:val="BodyText"/>
      </w:pPr>
      <w:r>
        <w:rPr>
          <w:bCs/>
          <w:b/>
        </w:rPr>
        <w:t xml:space="preserve">Do you format for right-to-left languages like Arabic or Hebrew?</w:t>
      </w:r>
      <w:r>
        <w:t xml:space="preserve"> </w:t>
      </w:r>
      <w:r>
        <w:t xml:space="preserve">Yes. We support RTL languages including Arabic, Hebrew, Persian, and Urdu. RTL formatting requires properly mirrored page layouts, RTL text flow, and embedded fonts that support the script. We can also handle bidirectional text (a mostly-LTR book with embedded Arabic quotations, for example).</w:t>
      </w:r>
    </w:p>
    <w:p>
      <w:pPr>
        <w:pStyle w:val="BodyText"/>
      </w:pPr>
      <w:r>
        <w:rPr>
          <w:bCs/>
          <w:b/>
        </w:rPr>
        <w:t xml:space="preserve">Will you advise on the best trim size for my book?</w:t>
      </w:r>
      <w:r>
        <w:t xml:space="preserve"> </w:t>
      </w:r>
      <w:r>
        <w:t xml:space="preserve">Yes. Trim size matters for genre conventions (mass-market paperbacks are 4.25×6.87; trade paperbacks are typically 5.5×8.5 or 6×9; literary fiction often uses 5.25×8) and for cost efficiency at print-on-demand. We recommend a trim size during the planning phase based on your genre, page count, and pricing strategy.</w:t>
      </w:r>
    </w:p>
    <w:p>
      <w:pPr>
        <w:pStyle w:val="BodyText"/>
      </w:pPr>
      <w:r>
        <w:rPr>
          <w:bCs/>
          <w:b/>
        </w:rPr>
        <w:t xml:space="preserve">How do you approach formatting for interactive eBooks?</w:t>
      </w:r>
      <w:r>
        <w:t xml:space="preserve"> </w:t>
      </w:r>
      <w:r>
        <w:t xml:space="preserve">Interactive eBook elements (embedded audio, video, hyperlinks, internal cross-references) are part of EPUB 3 spec and we support them. Note that interactive features render differently across reading apps — some Kindles strip embedded video, for example. We test on target devices and inform you of any compromises required for cross-platform compatibility.</w:t>
      </w:r>
    </w:p>
    <w:p>
      <w:pPr>
        <w:pStyle w:val="BodyText"/>
      </w:pPr>
      <w:r>
        <w:rPr>
          <w:bCs/>
          <w:b/>
        </w:rPr>
        <w:t xml:space="preserve">Can you format manuscripts with dynamic elements like pop-ups for eBooks?</w:t>
      </w:r>
      <w:r>
        <w:t xml:space="preserve"> </w:t>
      </w:r>
      <w:r>
        <w:t xml:space="preserve">Limited support. Truly dynamic elements (interactive quizzes, branching narratives, pop-up footnotes) require fixed-layout EPUB rather than reflowable EPUB, which significantly limits which devices can render the book and which retailers will accept it. We can do this on request but generally recommend keeping EPUBs reflowable for maximum reach.</w:t>
      </w:r>
    </w:p>
    <w:p>
      <w:pPr>
        <w:pStyle w:val="BodyText"/>
      </w:pPr>
      <w:r>
        <w:rPr>
          <w:bCs/>
          <w:b/>
        </w:rPr>
        <w:t xml:space="preserve">How do you approach formatting for mixed-media books?</w:t>
      </w:r>
      <w:r>
        <w:t xml:space="preserve"> </w:t>
      </w:r>
      <w:r>
        <w:t xml:space="preserve">Mixed-media books (those combining heavy text with significant illustration, photography, or graphic design — like memoirs with photo inserts or business books with infographic chapters) are typically priced as Non-Fiction or Children’s tiers depending on illustration density. We discuss the specifics during planning and may recommend the Custom Chapter Art and Complex Table/Graph Recreation add-ons.</w:t>
      </w:r>
    </w:p>
    <w:p>
      <w:pPr>
        <w:pStyle w:val="BodyText"/>
      </w:pPr>
      <w:r>
        <w:rPr>
          <w:bCs/>
          <w:b/>
        </w:rPr>
        <w:t xml:space="preserve">Do you handle formatting corrections after professional reviews?</w:t>
      </w:r>
      <w:r>
        <w:t xml:space="preserve"> </w:t>
      </w:r>
      <w:r>
        <w:t xml:space="preserve">Yes. Standard formatting includes a defined number of revision rounds (typically 2). Beyond that, the Extra Revision Round add-on covers additional passes. After publication, formatting changes for new editions or corrections are handled as new mini-projects.</w:t>
      </w:r>
    </w:p>
    <w:bookmarkEnd w:id="26"/>
    <w:bookmarkStart w:id="27" w:name="related-services"/>
    <w:p>
      <w:pPr>
        <w:pStyle w:val="Heading2"/>
      </w:pPr>
      <w:r>
        <w:t xml:space="preserve">Related Services</w:t>
      </w:r>
    </w:p>
    <w:p>
      <w:pPr>
        <w:numPr>
          <w:ilvl w:val="0"/>
          <w:numId w:val="1006"/>
        </w:numPr>
        <w:pStyle w:val="Compact"/>
      </w:pPr>
      <w:r>
        <w:rPr>
          <w:bCs/>
          <w:b/>
        </w:rPr>
        <w:t xml:space="preserve">Editing &amp; Proofreading</w:t>
      </w:r>
      <w:r>
        <w:t xml:space="preserve"> </w:t>
      </w:r>
      <w:r>
        <w:t xml:space="preserve">— A clean, well-edited manuscript formats faster and produces fewer typesetting errors. Copy editing should be complete before formatting begins; final proofreading should happen</w:t>
      </w:r>
      <w:r>
        <w:t xml:space="preserve"> </w:t>
      </w:r>
      <w:r>
        <w:rPr>
          <w:iCs/>
          <w:i/>
        </w:rPr>
        <w:t xml:space="preserve">after</w:t>
      </w:r>
      <w:r>
        <w:t xml:space="preserve"> </w:t>
      </w:r>
      <w:r>
        <w:t xml:space="preserve">formatting (catches layout-introduced errors).</w:t>
      </w:r>
    </w:p>
    <w:p>
      <w:pPr>
        <w:numPr>
          <w:ilvl w:val="0"/>
          <w:numId w:val="1006"/>
        </w:numPr>
        <w:pStyle w:val="Compact"/>
      </w:pPr>
      <w:r>
        <w:rPr>
          <w:bCs/>
          <w:b/>
        </w:rPr>
        <w:t xml:space="preserve">Cover Design &amp; Illustration</w:t>
      </w:r>
      <w:r>
        <w:t xml:space="preserve"> </w:t>
      </w:r>
      <w:r>
        <w:t xml:space="preserve">— Cover and interior should feel like one book. When we handle both, we share design tokens (fonts, ornaments, color accents) to unify the reader experience.</w:t>
      </w:r>
    </w:p>
    <w:p>
      <w:pPr>
        <w:numPr>
          <w:ilvl w:val="0"/>
          <w:numId w:val="1006"/>
        </w:numPr>
        <w:pStyle w:val="Compact"/>
      </w:pPr>
      <w:r>
        <w:rPr>
          <w:bCs/>
          <w:b/>
        </w:rPr>
        <w:t xml:space="preserve">Publishing &amp; Distribution</w:t>
      </w:r>
      <w:r>
        <w:t xml:space="preserve"> </w:t>
      </w:r>
      <w:r>
        <w:t xml:space="preserve">— Formatted files go straight to publishing platforms. We can submit to KDP, IngramSpark, Apple Books, etc. as part of our publishing service.</w:t>
      </w:r>
    </w:p>
    <w:p>
      <w:pPr>
        <w:numPr>
          <w:ilvl w:val="0"/>
          <w:numId w:val="1006"/>
        </w:numPr>
        <w:pStyle w:val="Compact"/>
      </w:pPr>
      <w:r>
        <w:rPr>
          <w:bCs/>
          <w:b/>
        </w:rPr>
        <w:t xml:space="preserve">Audiobook Production</w:t>
      </w:r>
      <w:r>
        <w:t xml:space="preserve"> </w:t>
      </w:r>
      <w:r>
        <w:t xml:space="preserve">— Some authors release print and audio simultaneously. The formatted print version provides the script for audio recording; we can hand off cleanly between the two services.</w:t>
      </w:r>
    </w:p>
    <w:p>
      <w:pPr>
        <w:pStyle w:val="FirstParagraph"/>
      </w:pPr>
      <w:r>
        <w:rPr>
          <w:bCs/>
          <w:b/>
        </w:rPr>
        <w:t xml:space="preserve">At BookCraft, formatting is the often-invisible craft that separates self-published-looking books from professionally produced ones.</w:t>
      </w:r>
      <w:r>
        <w:t xml:space="preserve"> </w:t>
      </w:r>
      <w:r>
        <w:t xml:space="preserve">Your readers will never consciously think</w:t>
      </w:r>
      <w:r>
        <w:t xml:space="preserve"> </w:t>
      </w:r>
      <w:r>
        <w:t xml:space="preserve">“</w:t>
      </w:r>
      <w:r>
        <w:t xml:space="preserve">this book is well formatted</w:t>
      </w:r>
      <w:r>
        <w:t xml:space="preserve">”</w:t>
      </w:r>
      <w:r>
        <w:t xml:space="preserve"> </w:t>
      </w:r>
      <w:r>
        <w:t xml:space="preserve">— but they will keep reading without distraction, finish the book, and recommend it. That’s what good formatting does.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