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实验名称</w:t>
            </w: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配置静态\动态 NAT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实验时间：</w:t>
            </w:r>
            <w: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/>
              </w:rPr>
              <w:t>2023/12/12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实验目的：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•配置网络地址变换；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>•提供到公司共享服务器的可靠外部访问。</w:t>
            </w:r>
          </w:p>
          <w:p>
            <w:pPr>
              <w:ind w:firstLine="420" w:firstLineChars="200"/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Times New Roman" w:hAnsi="Times New Roman" w:eastAsia="宋体" w:cs="Times New Roman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PacketTracer6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实验过程、步骤（可另附页、使用网络拓扑图等辅助说明）及结果：</w:t>
            </w:r>
          </w:p>
          <w:p>
            <w:pPr>
              <w:pStyle w:val="7"/>
              <w:numPr>
                <w:ilvl w:val="0"/>
                <w:numId w:val="1"/>
              </w:numPr>
              <w:ind w:left="360" w:firstLine="0" w:firstLineChars="0"/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实验拓扑图</w:t>
            </w:r>
          </w:p>
          <w:p>
            <w:pPr>
              <w:pStyle w:val="7"/>
              <w:numPr>
                <w:ilvl w:val="0"/>
                <w:numId w:val="0"/>
              </w:numPr>
              <w:ind w:left="360" w:leftChars="0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3536950" cy="30353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1"/>
              </w:numPr>
              <w:ind w:left="360" w:leftChars="0" w:firstLine="0" w:firstLineChars="0"/>
              <w:rPr>
                <w:rFonts w:hint="default" w:ascii="Song" w:hAnsi="Song" w:eastAsia="Song" w:cs="Song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b w:val="0"/>
                <w:bCs w:val="0"/>
                <w:sz w:val="21"/>
                <w:szCs w:val="21"/>
                <w:lang w:val="en-US" w:eastAsia="zh-CN"/>
              </w:rPr>
              <w:t>给设备分配地址</w:t>
            </w:r>
          </w:p>
          <w:p>
            <w:pPr>
              <w:pStyle w:val="7"/>
              <w:numPr>
                <w:ilvl w:val="0"/>
                <w:numId w:val="0"/>
              </w:numPr>
              <w:ind w:firstLine="420" w:firstLineChars="200"/>
              <w:rPr>
                <w:rFonts w:hint="eastAsia" w:ascii="Song" w:hAnsi="Song" w:eastAsia="Song" w:cs="Song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b w:val="0"/>
                <w:bCs w:val="0"/>
                <w:sz w:val="21"/>
                <w:szCs w:val="21"/>
                <w:lang w:val="en-US" w:eastAsia="zh-CN"/>
              </w:rPr>
              <w:t>服务器</w:t>
            </w:r>
          </w:p>
          <w:p>
            <w:pPr>
              <w:pStyle w:val="7"/>
              <w:numPr>
                <w:ilvl w:val="0"/>
                <w:numId w:val="0"/>
              </w:numPr>
              <w:rPr>
                <w:rFonts w:hint="default" w:ascii="Song" w:hAnsi="Song" w:eastAsia="Song" w:cs="Song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3625850" cy="28448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850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  <w:t>终端设备</w:t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4381500" cy="307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307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  <w:t>路由器</w:t>
            </w:r>
          </w:p>
          <w:p>
            <w:pP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ga0/0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5266690" cy="1076325"/>
                  <wp:effectExtent l="0" t="0" r="381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  <w:t>ga0/1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5269230" cy="1275080"/>
                  <wp:effectExtent l="0" t="0" r="127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配置静态nat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3251200" cy="373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  <w:t>测试连通性</w:t>
            </w: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  <w:br w:type="textWrapping"/>
            </w: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pc0到server0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4305300" cy="28130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81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  <w:t>server0到pc0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3848100" cy="32067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320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b w:val="0"/>
                <w:bCs w:val="0"/>
                <w:sz w:val="21"/>
                <w:szCs w:val="21"/>
                <w:lang w:eastAsia="zh-CN"/>
              </w:rPr>
              <w:t>配置动态</w:t>
            </w:r>
            <w: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  <w:t>nat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3657600" cy="2921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b w:val="0"/>
                <w:bCs w:val="0"/>
                <w:sz w:val="21"/>
                <w:szCs w:val="21"/>
                <w:lang w:eastAsia="zh-CN"/>
              </w:rPr>
              <w:t>访问服务器的</w:t>
            </w:r>
            <w: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  <w:t>ftp服务</w:t>
            </w:r>
          </w:p>
          <w:p>
            <w:pPr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5105400" cy="53784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537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SimSun"/>
                <w:b w:val="0"/>
                <w:bCs w:val="0"/>
                <w:sz w:val="21"/>
                <w:szCs w:val="21"/>
                <w:lang w:eastAsia="zh-CN"/>
              </w:rPr>
              <w:t>检查</w:t>
            </w:r>
            <w:r>
              <w:rPr>
                <w:rFonts w:hint="eastAsia" w:eastAsia="SimSun"/>
                <w:b w:val="0"/>
                <w:bCs w:val="0"/>
                <w:sz w:val="21"/>
                <w:szCs w:val="21"/>
                <w:lang w:val="en-US" w:eastAsia="zh-CN"/>
              </w:rPr>
              <w:t>nat协议工作状态</w:t>
            </w:r>
          </w:p>
          <w:p>
            <w:pPr>
              <w:rPr>
                <w:rFonts w:hint="default" w:eastAsia="SimSun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b w:val="0"/>
                <w:bCs w:val="0"/>
                <w:sz w:val="21"/>
                <w:szCs w:val="21"/>
              </w:rPr>
              <w:drawing>
                <wp:inline distT="0" distB="0" distL="114300" distR="114300">
                  <wp:extent cx="2921000" cy="1295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实验总结（遇到的问题及解决办法、体会）：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配置动态nat后不能连接到服务器，nat的内外方向配置反了，改过来后正常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不管怎么样连接设备都是发红光，参考了同学的项目后正常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静态 NAT 的配置是相对比较简单的，因为只涉及具体 IP 地址的转换，而动态 NAT 要考虑的是一个范围的 IP 地址，所以引入了 ACL 确定内网 IP 地址转换的范围，引入 IP 池确定由内网地址转换为外网 IP 地址的范围。</w:t>
            </w:r>
          </w:p>
          <w:p>
            <w:pPr>
              <w:numPr>
                <w:ilvl w:val="0"/>
                <w:numId w:val="2"/>
              </w:numPr>
              <w:rPr>
                <w:rFonts w:hint="default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器材、工具领用及归还负责人：</w:t>
            </w: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实验记录人：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宋体" w:hAnsi="宋体" w:eastAsia="宋体" w:cs="Times New Roman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实验执笔人：</w:t>
            </w:r>
            <w:bookmarkStart w:id="0" w:name="_GoBack"/>
            <w:bookmarkEnd w:id="0"/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小组成员签名：（签名）</w:t>
            </w:r>
          </w:p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b w:val="0"/>
                <w:bCs w:val="0"/>
                <w:kern w:val="0"/>
                <w:sz w:val="21"/>
                <w:szCs w:val="21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D6B364"/>
    <w:multiLevelType w:val="singleLevel"/>
    <w:tmpl w:val="DFD6B3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FE8899"/>
    <w:multiLevelType w:val="singleLevel"/>
    <w:tmpl w:val="7DFE88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82923"/>
    <w:rsid w:val="000F0C85"/>
    <w:rsid w:val="00105E3F"/>
    <w:rsid w:val="001B5E77"/>
    <w:rsid w:val="001E00CD"/>
    <w:rsid w:val="002D0433"/>
    <w:rsid w:val="002E4494"/>
    <w:rsid w:val="00375A9B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7A5F7F"/>
    <w:rsid w:val="00912F88"/>
    <w:rsid w:val="00937E10"/>
    <w:rsid w:val="00A600EA"/>
    <w:rsid w:val="00AF7A00"/>
    <w:rsid w:val="00CF79B2"/>
    <w:rsid w:val="00E85728"/>
    <w:rsid w:val="00EE1001"/>
    <w:rsid w:val="00F03883"/>
    <w:rsid w:val="00F269F2"/>
    <w:rsid w:val="6BB68862"/>
    <w:rsid w:val="E67FC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</Words>
  <Characters>194</Characters>
  <Lines>1</Lines>
  <Paragraphs>1</Paragraphs>
  <TotalTime>97</TotalTime>
  <ScaleCrop>false</ScaleCrop>
  <LinksUpToDate>false</LinksUpToDate>
  <CharactersWithSpaces>226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2023-12-13T17:09:53Z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