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交换机的基本配置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实验台号：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t>2023/12/26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实验目的：</w:t>
            </w:r>
          </w:p>
          <w:p>
            <w:pPr>
              <w:ind w:firstLine="420" w:firstLineChars="20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•掌握交换机命令行各种操作模式的区别；</w:t>
            </w:r>
          </w:p>
          <w:p>
            <w:pPr>
              <w:ind w:firstLine="420" w:firstLineChars="20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•能够使用各种帮助信息；</w:t>
            </w:r>
          </w:p>
          <w:p>
            <w:pPr>
              <w:ind w:firstLine="420" w:firstLineChars="20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•以及用命令进行基本的配置。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PacketTracer6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实验过程、步骤（可另附页、使用网络拓扑图等辅助说明）及结果：</w:t>
            </w:r>
          </w:p>
          <w:p>
            <w:pPr>
              <w:pStyle w:val="7"/>
              <w:ind w:left="36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drawing>
                <wp:inline distT="0" distB="0" distL="114300" distR="114300">
                  <wp:extent cx="5270500" cy="3411220"/>
                  <wp:effectExtent l="0" t="0" r="0" b="5080"/>
                  <wp:docPr id="1" name="Picture 1" descr="46CDD2E31564ADEBE66DBCC964E7EF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46CDD2E31564ADEBE66DBCC964E7EFD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4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t>1）用户模式。进入交换机后的第一个操作模式是用户模式。该模式下只能使用有限的命令，可以简单查看交换机的软、硬件版本信息，并进行简单的测试。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t>（2） 特权模式。使用 enable命令可由用户模式进入高一级模式一特权模式。该模式下可以对交换机的配置文件进行管理，查看交换机的配置信息，进行网络的测试和调试等。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t>（3） 全局配置模式。全局配置模式是属于特权模式的更高一级模式，该模式下可以配置交换机的全局性参数（如主机名、登录信息等），可以进入端口配置模式、线路配置模式、路由配置模式、VLAN配置模式等。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eastAsia="zh-CN"/>
              </w:rPr>
              <w:t>不同配置模式之间的切换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2755900" cy="26670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输入？显示当前模式可执行的命令，使用命令简写，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tab补齐命令，显示相似命令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530600" cy="21463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提示命令参数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187700" cy="1111250"/>
                  <wp:effectExtent l="0" t="0" r="0" b="635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配置命令和交换机登录信息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4343400" cy="3892550"/>
                  <wp:effectExtent l="0" t="0" r="0" b="635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89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配置端口状态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2851150" cy="4279900"/>
                  <wp:effectExtent l="0" t="0" r="635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50" cy="427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恢复默认配置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2794000" cy="32131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32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显示系统信息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530600" cy="3168650"/>
                  <wp:effectExtent l="0" t="0" r="0" b="635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显示交换机运行配置信息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1676400" cy="7340600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3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保存配置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2317750" cy="1225550"/>
                  <wp:effectExtent l="0" t="0" r="6350" b="635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禁用默认域名解析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2070100" cy="400050"/>
                  <wp:effectExtent l="0" t="0" r="0" b="635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实验总结（遇到的问题及解决办法、体会）：</w:t>
            </w:r>
          </w:p>
          <w:p>
            <w:pPr>
              <w:spacing w:line="360" w:lineRule="auto"/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实验过程一切顺利没有，遇到什么问题。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Song" w:hAnsi="Song" w:eastAsia="Song" w:cs="Song"/>
                <w:sz w:val="21"/>
                <w:szCs w:val="21"/>
              </w:rPr>
              <w:t>掌握了基本的交换机配置命令</w:t>
            </w: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ong" w:hAnsi="Song" w:eastAsia="Song" w:cs="Song"/>
                <w:sz w:val="21"/>
                <w:szCs w:val="21"/>
              </w:rPr>
              <w:t>计网实验能够帮助我们更好地理解课堂上学习到的内容，在实验中我们能够更直观地体会到交换机是如何运作的，通过实验，我们对计算机网络的理论知识也有了更直观、更深入的理解和认识。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实验执笔人：（签名）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验收人：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Arimo Nerd Font Propo">
    <w:panose1 w:val="00000000000000000000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F0C85"/>
    <w:rsid w:val="001B5E77"/>
    <w:rsid w:val="001E00CD"/>
    <w:rsid w:val="00384499"/>
    <w:rsid w:val="0039097E"/>
    <w:rsid w:val="003C2245"/>
    <w:rsid w:val="00406013"/>
    <w:rsid w:val="004804D3"/>
    <w:rsid w:val="004F5843"/>
    <w:rsid w:val="006A78E1"/>
    <w:rsid w:val="00937E10"/>
    <w:rsid w:val="00AF7A00"/>
    <w:rsid w:val="00E85728"/>
    <w:rsid w:val="00F269F2"/>
    <w:rsid w:val="3F3F4A15"/>
    <w:rsid w:val="7FF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205</Characters>
  <Lines>1</Lines>
  <Paragraphs>1</Paragraphs>
  <TotalTime>2</TotalTime>
  <ScaleCrop>false</ScaleCrop>
  <LinksUpToDate>false</LinksUpToDate>
  <CharactersWithSpaces>239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ashenye</cp:lastModifiedBy>
  <dcterms:modified xsi:type="dcterms:W3CDTF">2023-12-26T19:31:11Z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