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Task 2 – Rule-Based Scholarship</w:t>
      </w:r>
    </w:p>
    <w:p>
      <w:pPr>
        <w:pStyle w:val="Heading2"/>
      </w:pPr>
      <w:r>
        <w:t>Problem Faced</w:t>
      </w:r>
    </w:p>
    <w:p>
      <w:r>
        <w:t>The problem was adding two clear conditions without removing the original score and document rules, and then testing the important cases requested in the lab task.</w:t>
      </w:r>
    </w:p>
    <w:p>
      <w:pPr>
        <w:pStyle w:val="Heading2"/>
      </w:pPr>
      <w:r>
        <w:t>Solution</w:t>
      </w:r>
    </w:p>
    <w:p>
      <w:r>
        <w:t>I added Attendance &gt;= 75% and Interview Score &gt;= 60% as named conditions. Four test cases cover a normal pass, failure of each new condition, and the score boundary of exactly 70. The program prints the input, expected result, actual result, and reason.</w:t>
      </w:r>
    </w:p>
    <w:p>
      <w:pPr>
        <w:pStyle w:val="Heading2"/>
      </w:pPr>
      <w:r>
        <w:t>Short Note</w:t>
      </w:r>
    </w:p>
    <w:p>
      <w:r>
        <w:t>The thresholds in this example are synthetic lab assumptions, not real scholarship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