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Task 3 – Conversational Test and General Intelligence</w:t>
      </w:r>
    </w:p>
    <w:p>
      <w:pPr>
        <w:pStyle w:val="Heading2"/>
      </w:pPr>
      <w:r>
        <w:t>Problem Faced</w:t>
      </w:r>
    </w:p>
    <w:p>
      <w:r>
        <w:t>The difficulty was explaining why a system can sound convincing in a conversation without necessarily being generally intelligent or consistently correct.</w:t>
      </w:r>
    </w:p>
    <w:p>
      <w:pPr>
        <w:pStyle w:val="Heading2"/>
      </w:pPr>
      <w:r>
        <w:t>Solution</w:t>
      </w:r>
    </w:p>
    <w:p>
      <w:r>
        <w:t>I compared the conversational test with the scholarship case. The program explains what conversation measures and what it cannot prove, then gives a fluent-but-wrong reasoning example and suggests testing many unseen scholarship cases against a verified answer key.</w:t>
      </w:r>
    </w:p>
    <w:p>
      <w:pPr>
        <w:pStyle w:val="Heading2"/>
      </w:pPr>
      <w:r>
        <w:t>Short Note</w:t>
      </w:r>
    </w:p>
    <w:p>
      <w:r>
        <w:t>Historical discussion can be supported with Turing's 1950 paper and later AI literature.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