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0BD101" w14:textId="77777777" w:rsidR="004C0F54" w:rsidRDefault="00000000">
      <w:pPr>
        <w:spacing w:after="26"/>
        <w:jc w:val="center"/>
      </w:pPr>
      <w:r>
        <w:rPr>
          <w:b/>
          <w:bCs/>
          <w:color w:val="1B3A6B"/>
          <w:sz w:val="34"/>
          <w:szCs w:val="34"/>
        </w:rPr>
        <w:t>MOEIN ESFAHANI</w:t>
      </w:r>
    </w:p>
    <w:p w14:paraId="7E5DD0E0" w14:textId="77777777" w:rsidR="004C0F54" w:rsidRDefault="00000000">
      <w:pPr>
        <w:spacing w:after="16"/>
        <w:jc w:val="center"/>
      </w:pPr>
      <w:r>
        <w:t>Power Systems Software Engineer | Transmission Planning Automation · Grid Simulation · Python/C++ · Software Validation</w:t>
      </w:r>
    </w:p>
    <w:p w14:paraId="70232672" w14:textId="77777777" w:rsidR="004C0F54" w:rsidRDefault="00000000">
      <w:pPr>
        <w:spacing w:after="34"/>
        <w:jc w:val="center"/>
        <w:rPr>
          <w:color w:val="555555"/>
          <w:sz w:val="16"/>
          <w:szCs w:val="16"/>
        </w:rPr>
      </w:pPr>
      <w:r>
        <w:rPr>
          <w:color w:val="555555"/>
          <w:sz w:val="16"/>
          <w:szCs w:val="16"/>
        </w:rPr>
        <w:t xml:space="preserve">Montréal, QC, Canada   |   +1-581-578-7202   |   </w:t>
      </w:r>
      <w:r w:rsidR="00E06BCB">
        <w:rPr>
          <w:color w:val="555555"/>
          <w:sz w:val="16"/>
          <w:szCs w:val="16"/>
        </w:rPr>
        <w:t>moien.esfahani1993@gmail.com |</w:t>
      </w:r>
      <w:r>
        <w:rPr>
          <w:color w:val="555555"/>
          <w:sz w:val="16"/>
          <w:szCs w:val="16"/>
        </w:rPr>
        <w:t xml:space="preserve">   linkedin.com/in/moeinesfahani1993</w:t>
      </w:r>
    </w:p>
    <w:p w14:paraId="0F86D409" w14:textId="77777777" w:rsidR="00EA1E81" w:rsidRPr="00EA1E81" w:rsidRDefault="00EA1E81">
      <w:pPr>
        <w:spacing w:after="34"/>
        <w:jc w:val="center"/>
        <w:rPr>
          <w:b/>
          <w:bCs/>
        </w:rPr>
      </w:pPr>
      <w:r w:rsidRPr="00EA1E81">
        <w:rPr>
          <w:b/>
          <w:bCs/>
        </w:rPr>
        <w:t>Website: https://moeinesfahani.com/</w:t>
      </w:r>
    </w:p>
    <w:p w14:paraId="4281110C" w14:textId="77777777" w:rsidR="004C0F54" w:rsidRDefault="004C0F54" w:rsidP="00280B67">
      <w:pPr>
        <w:pBdr>
          <w:bottom w:val="single" w:sz="8" w:space="1" w:color="2E5BA8"/>
        </w:pBdr>
        <w:spacing w:after="40"/>
      </w:pPr>
    </w:p>
    <w:p w14:paraId="6C77C08A" w14:textId="77777777" w:rsidR="004C0F54" w:rsidRDefault="00000000" w:rsidP="00280B67">
      <w:pPr>
        <w:pBdr>
          <w:bottom w:val="single" w:sz="6" w:space="1" w:color="2E5BA8"/>
        </w:pBdr>
        <w:spacing w:after="55"/>
      </w:pPr>
      <w:r>
        <w:rPr>
          <w:b/>
          <w:bCs/>
          <w:color w:val="1B3A6B"/>
          <w:sz w:val="20"/>
          <w:szCs w:val="20"/>
        </w:rPr>
        <w:t>PROFESSIONAL SUMMARY</w:t>
      </w:r>
    </w:p>
    <w:p w14:paraId="49225D67" w14:textId="77777777" w:rsidR="004C0F54" w:rsidRDefault="00000000" w:rsidP="00000C03">
      <w:pPr>
        <w:spacing w:after="40"/>
        <w:jc w:val="both"/>
      </w:pPr>
      <w:r>
        <w:t>Power systems software engineer with a Ph.D. background in power-system modelling, DER/VPP coordination, grid-feasibility analysis, and simulation-driven validation. Current work focuses on building engineering software workflows that connect forecasting, optimization, power-system simulation, controller interfaces, data pipelines, and validation logic into repeatable tools for grid-analysis and operational decision support. Experienced in Python, C/C++, FastAPI, SQL, MATLAB, OpenDSS, PSS/E, PSCAD, automated study workflows, large-scale data processing, software validation, and troubleshooting of simulation/software interfaces. Published researcher with 8 peer-reviewed publications on DER aggregation, active-distribution-network operation, ancillary services, and uncertainty-aware grid operation.</w:t>
      </w:r>
    </w:p>
    <w:p w14:paraId="46660837" w14:textId="77777777" w:rsidR="004C0F54" w:rsidRDefault="00000000">
      <w:pPr>
        <w:pBdr>
          <w:bottom w:val="single" w:sz="6" w:space="1" w:color="2E5BA8"/>
        </w:pBdr>
        <w:spacing w:before="150" w:after="55"/>
      </w:pPr>
      <w:r>
        <w:rPr>
          <w:b/>
          <w:bCs/>
          <w:color w:val="1B3A6B"/>
          <w:sz w:val="20"/>
          <w:szCs w:val="20"/>
        </w:rPr>
        <w:t>CORE TECHNICAL SKILLS</w:t>
      </w:r>
    </w:p>
    <w:p w14:paraId="535610FA" w14:textId="77777777" w:rsidR="003A160F" w:rsidRPr="003A160F" w:rsidRDefault="003A160F" w:rsidP="00000C03">
      <w:pPr>
        <w:pStyle w:val="ListParagraph"/>
        <w:numPr>
          <w:ilvl w:val="0"/>
          <w:numId w:val="2"/>
        </w:numPr>
        <w:spacing w:after="46"/>
        <w:jc w:val="both"/>
      </w:pPr>
      <w:r>
        <w:rPr>
          <w:b/>
        </w:rPr>
        <w:t xml:space="preserve">Transmission Planning &amp; Grid Studies: </w:t>
      </w:r>
      <w:r>
        <w:t>Power-flow and grid-feasibility analysis; steady-state and QSTS studies; voltage/reactive-power support; feeder loading and grid-impact assessment; renewable and DER integration; generation-interconnection concepts; ISO/RTO market structures and transmission/distribution model validation.</w:t>
      </w:r>
    </w:p>
    <w:p w14:paraId="27D62F59" w14:textId="77777777" w:rsidR="003A160F" w:rsidRPr="003A160F" w:rsidRDefault="003A160F" w:rsidP="00000C03">
      <w:pPr>
        <w:pStyle w:val="ListParagraph"/>
        <w:numPr>
          <w:ilvl w:val="0"/>
          <w:numId w:val="2"/>
        </w:numPr>
        <w:spacing w:after="46"/>
        <w:jc w:val="both"/>
      </w:pPr>
      <w:r>
        <w:rPr>
          <w:b/>
        </w:rPr>
        <w:t xml:space="preserve">Engineering Software &amp; Automation: </w:t>
      </w:r>
      <w:r>
        <w:t>Python-based automation, C/C++, FastAPI services, SQL data layers, RESTful APIs, modular workflow design, simulation orchestration, automated study execution, logging, Git-based development, and dashboard/data-interface support.</w:t>
      </w:r>
    </w:p>
    <w:p w14:paraId="5EE32BB8" w14:textId="77777777" w:rsidR="003A160F" w:rsidRPr="003A160F" w:rsidRDefault="003A160F" w:rsidP="00000C03">
      <w:pPr>
        <w:pStyle w:val="ListParagraph"/>
        <w:numPr>
          <w:ilvl w:val="0"/>
          <w:numId w:val="2"/>
        </w:numPr>
        <w:spacing w:after="46"/>
        <w:jc w:val="both"/>
      </w:pPr>
      <w:r>
        <w:rPr>
          <w:b/>
        </w:rPr>
        <w:t xml:space="preserve">Software Testing &amp; Validation: </w:t>
      </w:r>
      <w:r>
        <w:t>Test-case design, simulation result verification, model/software troubleshooting, regression-style execution, pass/fail checks, data-quality checks, validation evidence, and documentation for power-system analysis tools.</w:t>
      </w:r>
    </w:p>
    <w:p w14:paraId="4C110923" w14:textId="77777777" w:rsidR="003A160F" w:rsidRPr="003A160F" w:rsidRDefault="003A160F" w:rsidP="00000C03">
      <w:pPr>
        <w:pStyle w:val="ListParagraph"/>
        <w:numPr>
          <w:ilvl w:val="0"/>
          <w:numId w:val="2"/>
        </w:numPr>
        <w:spacing w:after="46"/>
        <w:jc w:val="both"/>
      </w:pPr>
      <w:r>
        <w:rPr>
          <w:b/>
        </w:rPr>
        <w:t xml:space="preserve">Power-System Simulation Tools: </w:t>
      </w:r>
      <w:r>
        <w:t>OpenDSS QSTS/time-series studies, PSS/E, PSCAD EMT analysis, MATLAB/Simulink studies, SIL and controller-in-the-loop preparation, voltage-limit assessment, frequency-reserve adequacy checks, and simulation interface validation.</w:t>
      </w:r>
    </w:p>
    <w:p w14:paraId="44984EA5" w14:textId="77777777" w:rsidR="003A160F" w:rsidRPr="003A160F" w:rsidRDefault="003A160F" w:rsidP="00000C03">
      <w:pPr>
        <w:pStyle w:val="ListParagraph"/>
        <w:numPr>
          <w:ilvl w:val="0"/>
          <w:numId w:val="2"/>
        </w:numPr>
        <w:spacing w:after="46"/>
        <w:jc w:val="both"/>
      </w:pPr>
      <w:r>
        <w:rPr>
          <w:b/>
        </w:rPr>
        <w:t xml:space="preserve">Optimization, Forecasting &amp; Analytics: </w:t>
      </w:r>
      <w:r>
        <w:t>LP, MILP, NLP, MISOCP, stochastic/robust/DRO formulations, ADMM coordination, scenario generation, sensitivity analysis, price/load/PV forecasting, and large-scale weather/market/simulation data processing.</w:t>
      </w:r>
    </w:p>
    <w:p w14:paraId="220DDBFF" w14:textId="77777777" w:rsidR="002A5F78" w:rsidRPr="003A160F" w:rsidRDefault="003A160F" w:rsidP="00000C03">
      <w:pPr>
        <w:pStyle w:val="ListParagraph"/>
        <w:numPr>
          <w:ilvl w:val="0"/>
          <w:numId w:val="2"/>
        </w:numPr>
        <w:spacing w:after="46"/>
        <w:jc w:val="both"/>
      </w:pPr>
      <w:r>
        <w:rPr>
          <w:b/>
        </w:rPr>
        <w:t xml:space="preserve">DER, VPP &amp; Microgrid EMS: </w:t>
      </w:r>
      <w:r>
        <w:t>DER aggregation, capability estimation, dispatch disaggregation, BESS SoC and ramp constraints, inverter P-Q limits, microgrid operating modes, EMS setpoint coordination, and controller data interfaces over Modbus TCP, IEC 61850, OPC UA, MQTT, WebSocket, and Kafka.</w:t>
      </w:r>
    </w:p>
    <w:p w14:paraId="08BD8721" w14:textId="77777777" w:rsidR="004C0F54" w:rsidRDefault="00000000">
      <w:pPr>
        <w:pBdr>
          <w:bottom w:val="single" w:sz="6" w:space="1" w:color="2E5BA8"/>
        </w:pBdr>
        <w:spacing w:before="150" w:after="55"/>
      </w:pPr>
      <w:r>
        <w:rPr>
          <w:b/>
          <w:bCs/>
          <w:color w:val="1B3A6B"/>
          <w:sz w:val="20"/>
          <w:szCs w:val="20"/>
        </w:rPr>
        <w:t>SELECTED TECHNICAL PROJECTS</w:t>
      </w:r>
    </w:p>
    <w:p w14:paraId="69F5A705" w14:textId="77777777" w:rsidR="004C0F54" w:rsidRDefault="00000000">
      <w:pPr>
        <w:tabs>
          <w:tab w:val="right" w:pos="9026"/>
        </w:tabs>
        <w:spacing w:before="70" w:after="14"/>
      </w:pPr>
      <w:r>
        <w:rPr>
          <w:b/>
        </w:rPr>
        <w:t>Grid-Analysis Software Platform</w:t>
      </w:r>
      <w:r>
        <w:tab/>
      </w:r>
      <w:r>
        <w:rPr>
          <w:i/>
          <w:sz w:val="16"/>
        </w:rPr>
        <w:t>Python/SQL · OpenDSS/QSTS · ISO/RTO · Automation</w:t>
      </w:r>
    </w:p>
    <w:p w14:paraId="10156733" w14:textId="77777777" w:rsidR="004C0F54" w:rsidRDefault="00000000" w:rsidP="00000C03">
      <w:pPr>
        <w:pStyle w:val="ListParagraph"/>
        <w:numPr>
          <w:ilvl w:val="0"/>
          <w:numId w:val="2"/>
        </w:numPr>
        <w:spacing w:after="40"/>
        <w:jc w:val="both"/>
      </w:pPr>
      <w:r>
        <w:t>Developed an integrated software workflow that connects market signals, forecasts, DER capability extraction, optimization, dispatch propagation, monitoring, and grid-feasibility validation into a repeatable study pipeline.</w:t>
      </w:r>
    </w:p>
    <w:p w14:paraId="2024D716" w14:textId="77777777" w:rsidR="004C0F54" w:rsidRDefault="00000000" w:rsidP="00000C03">
      <w:pPr>
        <w:pStyle w:val="ListParagraph"/>
        <w:numPr>
          <w:ilvl w:val="0"/>
          <w:numId w:val="2"/>
        </w:numPr>
        <w:spacing w:after="40"/>
        <w:jc w:val="both"/>
      </w:pPr>
      <w:r>
        <w:t>Implemented market- and grid-aware logic for BESS, PV, and controllable DER using prices, reserve/regulation products, portfolio capability, risk-aware constraints, and ISO/RTO-style operating assumptions.</w:t>
      </w:r>
    </w:p>
    <w:p w14:paraId="405C2C60" w14:textId="77777777" w:rsidR="004C0F54" w:rsidRDefault="00000000" w:rsidP="00000C03">
      <w:pPr>
        <w:pStyle w:val="ListParagraph"/>
        <w:numPr>
          <w:ilvl w:val="0"/>
          <w:numId w:val="2"/>
        </w:numPr>
        <w:spacing w:after="40"/>
        <w:jc w:val="both"/>
      </w:pPr>
      <w:r>
        <w:t>Validated dispatch results through OpenDSS-based QSTS studies, checking voltage profiles, feeder loading, DER response, inverter limits, and grid-support modes before accepting study outputs.</w:t>
      </w:r>
    </w:p>
    <w:p w14:paraId="2B1F405C" w14:textId="77777777" w:rsidR="004C0F54" w:rsidRDefault="00000000" w:rsidP="00000C03">
      <w:pPr>
        <w:pStyle w:val="ListParagraph"/>
        <w:numPr>
          <w:ilvl w:val="0"/>
          <w:numId w:val="2"/>
        </w:numPr>
        <w:spacing w:after="40"/>
        <w:jc w:val="both"/>
      </w:pPr>
      <w:r>
        <w:t>Built the platform as running engineering software: an EMS daemon, a time-synchronized QSTS co-simulation API, and a streaming/data layer using Kafka, MQTT, WebSocket, FastAPI services, Redis caching, and SQL-backed datasets.</w:t>
      </w:r>
    </w:p>
    <w:p w14:paraId="68F4C8F5" w14:textId="77777777" w:rsidR="004C0F54" w:rsidRDefault="00000000">
      <w:pPr>
        <w:tabs>
          <w:tab w:val="right" w:pos="9026"/>
        </w:tabs>
        <w:spacing w:before="70" w:after="14"/>
      </w:pPr>
      <w:r>
        <w:rPr>
          <w:b/>
        </w:rPr>
        <w:t>Microgrid EMS Validation Workflow</w:t>
      </w:r>
      <w:r>
        <w:tab/>
      </w:r>
      <w:r>
        <w:rPr>
          <w:i/>
          <w:sz w:val="16"/>
        </w:rPr>
        <w:t>PLCnext · IEC 61131-3 ST · OpenDSS QSTS · Modbus TCP · CHIL prep</w:t>
      </w:r>
    </w:p>
    <w:p w14:paraId="11CE6069" w14:textId="77777777" w:rsidR="004C0F54" w:rsidRDefault="00000000" w:rsidP="00000C03">
      <w:pPr>
        <w:pStyle w:val="ListParagraph"/>
        <w:numPr>
          <w:ilvl w:val="0"/>
          <w:numId w:val="2"/>
        </w:numPr>
        <w:spacing w:after="40"/>
        <w:jc w:val="both"/>
      </w:pPr>
      <w:r>
        <w:t>Built a microgrid EMS/controller validation environment connecting distribution time-series simulation, PLCnext controller logic, telemetry/command maps, and Python orchestration to test supervisory setpoints against simulated grid response.</w:t>
      </w:r>
    </w:p>
    <w:p w14:paraId="355543DC" w14:textId="77777777" w:rsidR="004C0F54" w:rsidRDefault="00000000" w:rsidP="00000C03">
      <w:pPr>
        <w:pStyle w:val="ListParagraph"/>
        <w:numPr>
          <w:ilvl w:val="0"/>
          <w:numId w:val="2"/>
        </w:numPr>
        <w:spacing w:after="40"/>
        <w:jc w:val="both"/>
      </w:pPr>
      <w:r>
        <w:t>Programmed PLCnext logic for BESS PCS, meter, and PV inverter coordination, including active/reactive power setpoints, operating-state commands, SoC and measurement readback, command sequencing, acknowledgement, and latency checks.</w:t>
      </w:r>
    </w:p>
    <w:p w14:paraId="23190CBD" w14:textId="77777777" w:rsidR="004C0F54" w:rsidRDefault="00000000">
      <w:pPr>
        <w:tabs>
          <w:tab w:val="right" w:pos="9026"/>
        </w:tabs>
        <w:spacing w:before="70" w:after="14"/>
      </w:pPr>
      <w:r>
        <w:rPr>
          <w:b/>
        </w:rPr>
        <w:t>Forecasting and Data Pipeline</w:t>
      </w:r>
      <w:r>
        <w:tab/>
      </w:r>
      <w:r>
        <w:rPr>
          <w:i/>
          <w:sz w:val="16"/>
        </w:rPr>
        <w:t>LSTM/XGBoost · APIs · Scenario Generation · 50+ GB data</w:t>
      </w:r>
    </w:p>
    <w:p w14:paraId="130A82E2" w14:textId="77777777" w:rsidR="004C0F54" w:rsidRDefault="00000000" w:rsidP="00000C03">
      <w:pPr>
        <w:pStyle w:val="ListParagraph"/>
        <w:numPr>
          <w:ilvl w:val="0"/>
          <w:numId w:val="2"/>
        </w:numPr>
        <w:spacing w:after="40"/>
        <w:jc w:val="both"/>
      </w:pPr>
      <w:r>
        <w:t>Built the forecasting layer feeding auto-trader and optimization workflows over a 50+ GB archive of ISO price, load, PV, and weather data, combining sequence models and tree ensembles to capture trend, seasonality, weather sensitivity, and volatility.</w:t>
      </w:r>
    </w:p>
    <w:p w14:paraId="154BD1E0" w14:textId="77777777" w:rsidR="004C0F54" w:rsidRDefault="00000000" w:rsidP="00000C03">
      <w:pPr>
        <w:pStyle w:val="ListParagraph"/>
        <w:numPr>
          <w:ilvl w:val="0"/>
          <w:numId w:val="2"/>
        </w:numPr>
        <w:spacing w:after="40"/>
        <w:jc w:val="both"/>
      </w:pPr>
      <w:r>
        <w:t>Produced forecast-error metrics, scenarios, and sensitivity inputs for risk-aware bidding, DER dispatch, repeatable day-ahead studies, and simulation-driven validation.</w:t>
      </w:r>
    </w:p>
    <w:p w14:paraId="18BF3394" w14:textId="77777777" w:rsidR="004C0F54" w:rsidRDefault="00000000">
      <w:pPr>
        <w:tabs>
          <w:tab w:val="right" w:pos="9026"/>
        </w:tabs>
        <w:spacing w:before="70" w:after="14"/>
      </w:pPr>
      <w:r>
        <w:rPr>
          <w:b/>
        </w:rPr>
        <w:t>Optimization Models for Grid Services</w:t>
      </w:r>
      <w:r>
        <w:tab/>
      </w:r>
      <w:r>
        <w:rPr>
          <w:i/>
          <w:sz w:val="16"/>
        </w:rPr>
        <w:t>LP/MILP/DRO · ADMM · Ancillary Services · Grid Constraints</w:t>
      </w:r>
    </w:p>
    <w:p w14:paraId="7A2A66E4" w14:textId="77777777" w:rsidR="004C0F54" w:rsidRDefault="00000000" w:rsidP="00000C03">
      <w:pPr>
        <w:pStyle w:val="ListParagraph"/>
        <w:numPr>
          <w:ilvl w:val="0"/>
          <w:numId w:val="2"/>
        </w:numPr>
        <w:spacing w:after="40"/>
        <w:jc w:val="both"/>
      </w:pPr>
      <w:r>
        <w:t>Developed Wasserstein-DRO and stochastic-robust models for energy dispatch, frequency regulation, and voltage support under uncertainty, with distributed DSO-VPP coordination validated on IEEE test systems and published in Applied Energy.</w:t>
      </w:r>
    </w:p>
    <w:p w14:paraId="47BA2686" w14:textId="77777777" w:rsidR="004C0F54" w:rsidRDefault="00000000">
      <w:pPr>
        <w:pBdr>
          <w:bottom w:val="single" w:sz="6" w:space="1" w:color="2E5BA8"/>
        </w:pBdr>
        <w:spacing w:before="150" w:after="55"/>
      </w:pPr>
      <w:r>
        <w:rPr>
          <w:b/>
          <w:bCs/>
          <w:color w:val="1B3A6B"/>
          <w:sz w:val="20"/>
          <w:szCs w:val="20"/>
        </w:rPr>
        <w:t>PROFESSIONAL EXPERIENCE</w:t>
      </w:r>
    </w:p>
    <w:p w14:paraId="4B64B985" w14:textId="77777777" w:rsidR="004C0F54" w:rsidRDefault="00000000" w:rsidP="00E06BCB">
      <w:pPr>
        <w:tabs>
          <w:tab w:val="right" w:pos="9026"/>
        </w:tabs>
        <w:spacing w:before="115" w:after="18"/>
      </w:pPr>
      <w:r>
        <w:rPr>
          <w:b/>
        </w:rPr>
        <w:t>Researcher — Power-System Software &amp; Validation</w:t>
      </w:r>
      <w:r>
        <w:t xml:space="preserve"> | </w:t>
      </w:r>
      <w:r>
        <w:rPr>
          <w:b/>
        </w:rPr>
        <w:t>Huawei Technologies Canada, Montréal, QC</w:t>
      </w:r>
      <w:r>
        <w:tab/>
      </w:r>
      <w:r>
        <w:rPr>
          <w:i/>
        </w:rPr>
        <w:t>Dec 2024 – Present</w:t>
      </w:r>
      <w:r>
        <w:rPr>
          <w:i/>
          <w:sz w:val="16"/>
        </w:rPr>
        <w:br/>
        <w:t>Promoted to Researcher level 16</w:t>
      </w:r>
    </w:p>
    <w:p w14:paraId="722E1129" w14:textId="77777777" w:rsidR="004C0F54" w:rsidRDefault="00000000">
      <w:pPr>
        <w:pStyle w:val="ListParagraph"/>
        <w:numPr>
          <w:ilvl w:val="0"/>
          <w:numId w:val="2"/>
        </w:numPr>
        <w:spacing w:after="40"/>
      </w:pPr>
      <w:r>
        <w:t>Develop engineering workflows that translate ISO/RTO rules, forecasts, DER operating limits, reserve requirements, and grid-security constraints into dispatch schedules, KPI logic, and validation requirements.</w:t>
      </w:r>
    </w:p>
    <w:p w14:paraId="6C5536AC" w14:textId="77777777" w:rsidR="00666AE9" w:rsidRDefault="00000000" w:rsidP="00000C03">
      <w:pPr>
        <w:pStyle w:val="ListParagraph"/>
        <w:numPr>
          <w:ilvl w:val="0"/>
          <w:numId w:val="2"/>
        </w:numPr>
        <w:spacing w:after="40"/>
        <w:jc w:val="both"/>
      </w:pPr>
      <w:r>
        <w:lastRenderedPageBreak/>
        <w:t>Advance the VPP/EMS platform from separate analytical modules into an integrated software workflow linking forecasting, capability estimation, optimization, dispatch propagation, OpenDSS/QSTS grid validation, and monitoring.</w:t>
      </w:r>
    </w:p>
    <w:p w14:paraId="1C1F4A2A" w14:textId="77777777" w:rsidR="00666AE9" w:rsidRDefault="00666AE9" w:rsidP="00000C03">
      <w:pPr>
        <w:pStyle w:val="ListParagraph"/>
        <w:numPr>
          <w:ilvl w:val="0"/>
          <w:numId w:val="2"/>
        </w:numPr>
        <w:jc w:val="both"/>
      </w:pPr>
      <w:r>
        <w:t>Design and develop a real-time validation platform based on RTS and PLCnext AXC F 3152 to test secondary-controller algorithms, evaluate solver/interface performance, and analyze closed-loop controller behavior.</w:t>
      </w:r>
    </w:p>
    <w:p w14:paraId="776CF376" w14:textId="77777777" w:rsidR="004C0F54" w:rsidRDefault="00000000" w:rsidP="00000C03">
      <w:pPr>
        <w:pStyle w:val="ListParagraph"/>
        <w:numPr>
          <w:ilvl w:val="0"/>
          <w:numId w:val="2"/>
        </w:numPr>
        <w:spacing w:after="40"/>
        <w:jc w:val="both"/>
      </w:pPr>
      <w:r>
        <w:t>Define BESS, PCS, and meter telemetry/control mappings, P/Q setpoints, state commands, SoC, measurements, acknowledgement/readback, latency checks, and validation logs for EMS and controller studies.</w:t>
      </w:r>
    </w:p>
    <w:p w14:paraId="29C4FDA4" w14:textId="77777777" w:rsidR="0030569E" w:rsidRDefault="00000000" w:rsidP="00000C03">
      <w:pPr>
        <w:pStyle w:val="ListParagraph"/>
        <w:numPr>
          <w:ilvl w:val="0"/>
          <w:numId w:val="2"/>
        </w:numPr>
        <w:spacing w:after="40"/>
        <w:jc w:val="both"/>
      </w:pPr>
      <w:r>
        <w:t>Prepare technical documentation, validation evidence, and engineering explanations for teams working across power systems, controls, and software integration.</w:t>
      </w:r>
    </w:p>
    <w:p w14:paraId="05433527" w14:textId="77777777" w:rsidR="00280B67" w:rsidRDefault="00280B67">
      <w:pPr>
        <w:spacing w:before="115" w:after="18"/>
      </w:pPr>
      <w:r>
        <w:rPr>
          <w:b/>
        </w:rPr>
        <w:t>Research Intern — VPP Platform &amp; Grid-Analysis Software</w:t>
      </w:r>
      <w:r>
        <w:t xml:space="preserve"> | </w:t>
      </w:r>
      <w:r>
        <w:rPr>
          <w:b/>
        </w:rPr>
        <w:t>Huawei Technologies Canada, Montréal, QC</w:t>
      </w:r>
      <w:r>
        <w:tab/>
      </w:r>
      <w:r>
        <w:rPr>
          <w:i/>
        </w:rPr>
        <w:t>Oct 2023 – Dec 2024</w:t>
      </w:r>
      <w:r>
        <w:rPr>
          <w:i/>
          <w:sz w:val="16"/>
        </w:rPr>
        <w:br/>
        <w:t>Promoted to full-time Researcher after graduation</w:t>
      </w:r>
    </w:p>
    <w:p w14:paraId="7E5AD1F6" w14:textId="77777777" w:rsidR="004C0F54" w:rsidRDefault="00000000" w:rsidP="00000C03">
      <w:pPr>
        <w:pStyle w:val="ListParagraph"/>
        <w:numPr>
          <w:ilvl w:val="0"/>
          <w:numId w:val="2"/>
        </w:numPr>
        <w:spacing w:after="40"/>
        <w:jc w:val="both"/>
      </w:pPr>
      <w:r>
        <w:t>Built the early VPP platform foundation: ISO/RTO market-rule analysis, DER aggregation requirements, and architecture for forecasting, capability estimation, bidding support, dispatch propagation, distribution-system simulation, and SIL workflows.</w:t>
      </w:r>
    </w:p>
    <w:p w14:paraId="7D35BE6D" w14:textId="77777777" w:rsidR="004C0F54" w:rsidRDefault="00000000" w:rsidP="00000C03">
      <w:pPr>
        <w:pStyle w:val="ListParagraph"/>
        <w:numPr>
          <w:ilvl w:val="0"/>
          <w:numId w:val="2"/>
        </w:numPr>
        <w:spacing w:after="40"/>
        <w:jc w:val="both"/>
      </w:pPr>
      <w:r>
        <w:t>Created the 50+ GB historical price/weather/load/PV data foundation used for forecasting, scenario generation, sensitivity studies, and repeatable validation.</w:t>
      </w:r>
    </w:p>
    <w:p w14:paraId="11D769BD" w14:textId="77777777" w:rsidR="00666AE9" w:rsidRDefault="00666AE9" w:rsidP="00000C03">
      <w:pPr>
        <w:pStyle w:val="ListParagraph"/>
        <w:numPr>
          <w:ilvl w:val="0"/>
          <w:numId w:val="2"/>
        </w:numPr>
        <w:jc w:val="both"/>
      </w:pPr>
      <w:r>
        <w:t>Developed and validated key software modules, including the optimizer, dispatch propagator, capability extractor, forecasting engine, and digital-twin models, both as standalone components and as part of the end-to-end orchestration workflow.</w:t>
      </w:r>
    </w:p>
    <w:p w14:paraId="1000412B" w14:textId="77777777" w:rsidR="004C0F54" w:rsidRPr="00280B67" w:rsidRDefault="00000000" w:rsidP="00666AE9">
      <w:pPr>
        <w:tabs>
          <w:tab w:val="right" w:pos="9026"/>
        </w:tabs>
        <w:spacing w:before="115" w:after="18"/>
      </w:pPr>
      <w:r>
        <w:rPr>
          <w:b/>
        </w:rPr>
        <w:t>Doctoral Researcher — Grid Modelling &amp; VPP Coordination</w:t>
      </w:r>
      <w:r>
        <w:t xml:space="preserve"> | </w:t>
      </w:r>
      <w:r>
        <w:rPr>
          <w:b/>
        </w:rPr>
        <w:t>Université Laval, Québec City, QC</w:t>
      </w:r>
      <w:r>
        <w:tab/>
      </w:r>
      <w:r>
        <w:rPr>
          <w:i/>
        </w:rPr>
        <w:t>Dec 2020 – Dec 2024</w:t>
      </w:r>
      <w:r>
        <w:rPr>
          <w:i/>
          <w:sz w:val="16"/>
        </w:rPr>
        <w:br/>
        <w:t>Supervisor: Prof. I. Kamwa; Advisor: Prof. Nima Amjady</w:t>
      </w:r>
    </w:p>
    <w:p w14:paraId="74D0C95D" w14:textId="77777777" w:rsidR="004C0F54" w:rsidRDefault="00000000" w:rsidP="00000C03">
      <w:pPr>
        <w:pStyle w:val="ListParagraph"/>
        <w:numPr>
          <w:ilvl w:val="0"/>
          <w:numId w:val="2"/>
        </w:numPr>
        <w:spacing w:after="40"/>
        <w:jc w:val="both"/>
      </w:pPr>
      <w:r>
        <w:t>Developed stochastic, robust, and Wasserstein-DRO models for VPP coordination under renewable, load, and market uncertainty, covering energy scheduling, frequency regulation, voltage support, grid-feasibility assessment, ADMM-based coordination, and strategic DSO-VPP interaction.</w:t>
      </w:r>
    </w:p>
    <w:p w14:paraId="08C9DE37" w14:textId="77777777" w:rsidR="004C0F54" w:rsidRDefault="00000000">
      <w:pPr>
        <w:tabs>
          <w:tab w:val="right" w:pos="9026"/>
        </w:tabs>
        <w:spacing w:before="115" w:after="18"/>
      </w:pPr>
      <w:r>
        <w:rPr>
          <w:b/>
          <w:bCs/>
          <w:color w:val="1B3A6B"/>
        </w:rPr>
        <w:t xml:space="preserve">Research Collaborator — DER Resilience &amp; Grid </w:t>
      </w:r>
      <w:r w:rsidR="00E06BCB">
        <w:rPr>
          <w:b/>
          <w:bCs/>
          <w:color w:val="1B3A6B"/>
        </w:rPr>
        <w:t>Integration</w:t>
      </w:r>
      <w:r w:rsidR="00E06BCB">
        <w:rPr>
          <w:color w:val="555555"/>
        </w:rPr>
        <w:t xml:space="preserve"> |</w:t>
      </w:r>
      <w:r>
        <w:rPr>
          <w:color w:val="555555"/>
        </w:rPr>
        <w:t xml:space="preserve"> </w:t>
      </w:r>
      <w:r>
        <w:rPr>
          <w:b/>
          <w:bCs/>
        </w:rPr>
        <w:t>Université Laval – EVLO collaboration, Québec City, QC</w:t>
      </w:r>
      <w:r>
        <w:tab/>
      </w:r>
      <w:r w:rsidR="00280B67">
        <w:t xml:space="preserve"> </w:t>
      </w:r>
      <w:r>
        <w:rPr>
          <w:i/>
          <w:iCs/>
          <w:color w:val="555555"/>
        </w:rPr>
        <w:t>Jan 2021 – Sep 2022</w:t>
      </w:r>
    </w:p>
    <w:p w14:paraId="435E86F9" w14:textId="77777777" w:rsidR="004C0F54" w:rsidRDefault="00000000" w:rsidP="00000C03">
      <w:pPr>
        <w:pStyle w:val="ListParagraph"/>
        <w:numPr>
          <w:ilvl w:val="0"/>
          <w:numId w:val="2"/>
        </w:numPr>
        <w:spacing w:after="40"/>
        <w:jc w:val="both"/>
      </w:pPr>
      <w:r>
        <w:t>Supported robust scenario analysis and storage-based DER coordination for active distribution networks under severe-event, resilience, and operating-constraint conditions.</w:t>
      </w:r>
    </w:p>
    <w:p w14:paraId="1C6CD1A1" w14:textId="77777777" w:rsidR="004C0F54" w:rsidRDefault="00000000">
      <w:pPr>
        <w:pBdr>
          <w:bottom w:val="single" w:sz="6" w:space="1" w:color="2E5BA8"/>
        </w:pBdr>
        <w:spacing w:before="150" w:after="55"/>
      </w:pPr>
      <w:r>
        <w:rPr>
          <w:b/>
          <w:bCs/>
          <w:color w:val="1B3A6B"/>
          <w:sz w:val="20"/>
          <w:szCs w:val="20"/>
        </w:rPr>
        <w:t>EDUCATION</w:t>
      </w:r>
    </w:p>
    <w:p w14:paraId="15B2D8CB" w14:textId="77777777" w:rsidR="004C0F54" w:rsidRDefault="00000000">
      <w:pPr>
        <w:tabs>
          <w:tab w:val="right" w:pos="9026"/>
        </w:tabs>
        <w:spacing w:after="18"/>
      </w:pPr>
      <w:r>
        <w:rPr>
          <w:b/>
          <w:bCs/>
        </w:rPr>
        <w:t xml:space="preserve">Ph.D., Electrical Engineering (Power </w:t>
      </w:r>
      <w:r w:rsidR="00E06BCB">
        <w:rPr>
          <w:b/>
          <w:bCs/>
        </w:rPr>
        <w:t>Systems)</w:t>
      </w:r>
      <w:r w:rsidR="00E06BCB">
        <w:t xml:space="preserve"> — Université</w:t>
      </w:r>
      <w:r>
        <w:t xml:space="preserve"> Laval, Québec City, QC</w:t>
      </w:r>
      <w:r>
        <w:tab/>
      </w:r>
      <w:r>
        <w:rPr>
          <w:i/>
          <w:iCs/>
          <w:color w:val="555555"/>
        </w:rPr>
        <w:t>2020 – 2024</w:t>
      </w:r>
    </w:p>
    <w:p w14:paraId="0933AC48" w14:textId="77777777" w:rsidR="004C0F54" w:rsidRDefault="00000000">
      <w:pPr>
        <w:tabs>
          <w:tab w:val="right" w:pos="9026"/>
        </w:tabs>
        <w:spacing w:after="18"/>
      </w:pPr>
      <w:r>
        <w:rPr>
          <w:b/>
          <w:bCs/>
        </w:rPr>
        <w:t xml:space="preserve">M.Sc., Electrical Engineering (Power </w:t>
      </w:r>
      <w:r w:rsidR="00E06BCB">
        <w:rPr>
          <w:b/>
          <w:bCs/>
        </w:rPr>
        <w:t>Systems)</w:t>
      </w:r>
      <w:r w:rsidR="00E06BCB">
        <w:t xml:space="preserve"> — Semnan</w:t>
      </w:r>
      <w:r>
        <w:t xml:space="preserve"> University, Iran</w:t>
      </w:r>
      <w:r>
        <w:tab/>
      </w:r>
      <w:r>
        <w:rPr>
          <w:i/>
          <w:iCs/>
          <w:color w:val="555555"/>
        </w:rPr>
        <w:t>2016 – 2019</w:t>
      </w:r>
    </w:p>
    <w:p w14:paraId="1E64F30A" w14:textId="77777777" w:rsidR="004C0F54" w:rsidRDefault="00000000">
      <w:pPr>
        <w:tabs>
          <w:tab w:val="right" w:pos="9026"/>
        </w:tabs>
        <w:spacing w:after="18"/>
      </w:pPr>
      <w:r>
        <w:rPr>
          <w:b/>
          <w:bCs/>
        </w:rPr>
        <w:t xml:space="preserve">B.Sc., Electrical Engineering (Power </w:t>
      </w:r>
      <w:r w:rsidR="00E06BCB">
        <w:rPr>
          <w:b/>
          <w:bCs/>
        </w:rPr>
        <w:t>Systems)</w:t>
      </w:r>
      <w:r w:rsidR="00E06BCB">
        <w:t xml:space="preserve"> — Shahrood</w:t>
      </w:r>
      <w:r>
        <w:t xml:space="preserve"> University of Technology, Iran</w:t>
      </w:r>
      <w:r>
        <w:tab/>
      </w:r>
      <w:r>
        <w:rPr>
          <w:i/>
          <w:iCs/>
          <w:color w:val="555555"/>
        </w:rPr>
        <w:t>2011 – 2015</w:t>
      </w:r>
    </w:p>
    <w:p w14:paraId="21CC98E8" w14:textId="77777777" w:rsidR="004C0F54" w:rsidRDefault="00000000">
      <w:pPr>
        <w:pBdr>
          <w:bottom w:val="single" w:sz="6" w:space="1" w:color="2E5BA8"/>
        </w:pBdr>
        <w:spacing w:before="150" w:after="55"/>
      </w:pPr>
      <w:r>
        <w:rPr>
          <w:b/>
          <w:bCs/>
          <w:color w:val="1B3A6B"/>
          <w:sz w:val="20"/>
          <w:szCs w:val="20"/>
        </w:rPr>
        <w:t xml:space="preserve">SELECTED </w:t>
      </w:r>
      <w:r w:rsidR="00E06BCB">
        <w:rPr>
          <w:b/>
          <w:bCs/>
          <w:color w:val="1B3A6B"/>
          <w:sz w:val="20"/>
          <w:szCs w:val="20"/>
        </w:rPr>
        <w:t>PUBLICATIONS (</w:t>
      </w:r>
      <w:r>
        <w:rPr>
          <w:b/>
          <w:bCs/>
          <w:color w:val="1B3A6B"/>
          <w:sz w:val="20"/>
          <w:szCs w:val="20"/>
        </w:rPr>
        <w:t>TOTAL CITATIONS &gt;200, GOOGLE SCHOLAR)</w:t>
      </w:r>
    </w:p>
    <w:p w14:paraId="4112C0B1" w14:textId="77777777" w:rsidR="004C0F54" w:rsidRPr="00280B67" w:rsidRDefault="00000000" w:rsidP="00000C03">
      <w:pPr>
        <w:spacing w:after="26"/>
        <w:jc w:val="both"/>
        <w:rPr>
          <w:color w:val="000000" w:themeColor="text1"/>
          <w:sz w:val="20"/>
          <w:szCs w:val="20"/>
        </w:rPr>
      </w:pPr>
      <w:r w:rsidRPr="00280B67">
        <w:rPr>
          <w:color w:val="000000" w:themeColor="text1"/>
        </w:rPr>
        <w:t xml:space="preserve">[1] M. Esfahani et al., “A Distributed VPP-Integrated Co-Optimization Framework for Energy Scheduling, Frequency Regulation, and Voltage Support Using DRO,” </w:t>
      </w:r>
      <w:r w:rsidRPr="00280B67">
        <w:rPr>
          <w:i/>
          <w:iCs/>
          <w:color w:val="000000" w:themeColor="text1"/>
        </w:rPr>
        <w:t>Applied Energy</w:t>
      </w:r>
      <w:r w:rsidRPr="00280B67">
        <w:rPr>
          <w:color w:val="000000" w:themeColor="text1"/>
        </w:rPr>
        <w:t xml:space="preserve">, vol. 361, 2024.  </w:t>
      </w:r>
      <w:r w:rsidRPr="00280B67">
        <w:rPr>
          <w:b/>
          <w:bCs/>
          <w:color w:val="000000" w:themeColor="text1"/>
        </w:rPr>
        <w:t>72 citations</w:t>
      </w:r>
    </w:p>
    <w:p w14:paraId="077719ED" w14:textId="77777777" w:rsidR="004C0F54" w:rsidRPr="00280B67" w:rsidRDefault="00000000" w:rsidP="00000C03">
      <w:pPr>
        <w:spacing w:after="26"/>
        <w:jc w:val="both"/>
        <w:rPr>
          <w:color w:val="000000" w:themeColor="text1"/>
          <w:sz w:val="20"/>
          <w:szCs w:val="20"/>
        </w:rPr>
      </w:pPr>
      <w:r w:rsidRPr="00280B67">
        <w:rPr>
          <w:color w:val="000000" w:themeColor="text1"/>
        </w:rPr>
        <w:t xml:space="preserve">[2] M. Esfahani et al., “Robust Resiliency-Oriented Operation of Active Distribution Networks Considering Windstorms,” </w:t>
      </w:r>
      <w:r w:rsidRPr="00280B67">
        <w:rPr>
          <w:i/>
          <w:iCs/>
          <w:color w:val="000000" w:themeColor="text1"/>
        </w:rPr>
        <w:t>IEEE Trans. Power Systems</w:t>
      </w:r>
      <w:r w:rsidRPr="00280B67">
        <w:rPr>
          <w:color w:val="000000" w:themeColor="text1"/>
        </w:rPr>
        <w:t xml:space="preserve">, vol. 35, pp. 3481–3493, 2020.  </w:t>
      </w:r>
      <w:r w:rsidRPr="00280B67">
        <w:rPr>
          <w:b/>
          <w:bCs/>
          <w:color w:val="000000" w:themeColor="text1"/>
        </w:rPr>
        <w:t>78 citations</w:t>
      </w:r>
    </w:p>
    <w:p w14:paraId="7F2A417B" w14:textId="77777777" w:rsidR="004C0F54" w:rsidRPr="00280B67" w:rsidRDefault="00000000" w:rsidP="00000C03">
      <w:pPr>
        <w:spacing w:after="26"/>
        <w:jc w:val="both"/>
        <w:rPr>
          <w:color w:val="000000" w:themeColor="text1"/>
          <w:sz w:val="20"/>
          <w:szCs w:val="20"/>
        </w:rPr>
      </w:pPr>
      <w:r w:rsidRPr="00280B67">
        <w:rPr>
          <w:color w:val="000000" w:themeColor="text1"/>
        </w:rPr>
        <w:t xml:space="preserve">[3] M. Esfahani et al., “Virtual Power Plant Formation Strategy Based on Stackelberg Game,” </w:t>
      </w:r>
      <w:r w:rsidRPr="00280B67">
        <w:rPr>
          <w:i/>
          <w:iCs/>
          <w:color w:val="000000" w:themeColor="text1"/>
        </w:rPr>
        <w:t>Applied Energy</w:t>
      </w:r>
      <w:r w:rsidRPr="00280B67">
        <w:rPr>
          <w:color w:val="000000" w:themeColor="text1"/>
        </w:rPr>
        <w:t xml:space="preserve">, vol. 377, 2025.  </w:t>
      </w:r>
      <w:r w:rsidRPr="00280B67">
        <w:rPr>
          <w:b/>
          <w:bCs/>
          <w:color w:val="000000" w:themeColor="text1"/>
        </w:rPr>
        <w:t>20 citations</w:t>
      </w:r>
    </w:p>
    <w:p w14:paraId="131F0838" w14:textId="77777777" w:rsidR="004C0F54" w:rsidRPr="00280B67" w:rsidRDefault="00000000" w:rsidP="00000C03">
      <w:pPr>
        <w:spacing w:after="26"/>
        <w:jc w:val="both"/>
        <w:rPr>
          <w:color w:val="000000" w:themeColor="text1"/>
          <w:sz w:val="20"/>
          <w:szCs w:val="20"/>
        </w:rPr>
      </w:pPr>
      <w:r w:rsidRPr="00280B67">
        <w:rPr>
          <w:color w:val="000000" w:themeColor="text1"/>
        </w:rPr>
        <w:t xml:space="preserve">[4] M. Esfahani et al., “A Stochastic-Robust Aggregation Strategy for VPP Frequency Regulation via Backup Batteries,” </w:t>
      </w:r>
      <w:r w:rsidRPr="00280B67">
        <w:rPr>
          <w:i/>
          <w:iCs/>
          <w:color w:val="000000" w:themeColor="text1"/>
        </w:rPr>
        <w:t>Journal of Energy Storage</w:t>
      </w:r>
      <w:r w:rsidRPr="00280B67">
        <w:rPr>
          <w:color w:val="000000" w:themeColor="text1"/>
        </w:rPr>
        <w:t xml:space="preserve">, vol. 98, 2024.  </w:t>
      </w:r>
      <w:r w:rsidRPr="00280B67">
        <w:rPr>
          <w:b/>
          <w:bCs/>
          <w:color w:val="000000" w:themeColor="text1"/>
        </w:rPr>
        <w:t>14 citations</w:t>
      </w:r>
    </w:p>
    <w:p w14:paraId="288AFBA0" w14:textId="77777777" w:rsidR="004C0F54" w:rsidRPr="00280B67" w:rsidRDefault="00000000" w:rsidP="00000C03">
      <w:pPr>
        <w:spacing w:after="26"/>
        <w:jc w:val="both"/>
        <w:rPr>
          <w:color w:val="000000" w:themeColor="text1"/>
          <w:sz w:val="20"/>
          <w:szCs w:val="20"/>
        </w:rPr>
      </w:pPr>
      <w:r w:rsidRPr="00280B67">
        <w:rPr>
          <w:color w:val="000000" w:themeColor="text1"/>
        </w:rPr>
        <w:t xml:space="preserve">[5] M. Esfahani et al., “Utility-Agnostic Virtual Power Plant Operation: Architecture, Challenges, and Essential Features,” </w:t>
      </w:r>
      <w:r w:rsidRPr="00280B67">
        <w:rPr>
          <w:i/>
          <w:iCs/>
          <w:color w:val="000000" w:themeColor="text1"/>
        </w:rPr>
        <w:t>IEEE Power &amp; Energy Magazine</w:t>
      </w:r>
      <w:r w:rsidRPr="00280B67">
        <w:rPr>
          <w:color w:val="000000" w:themeColor="text1"/>
        </w:rPr>
        <w:t>, vol. 23(6), 2025.</w:t>
      </w:r>
    </w:p>
    <w:p w14:paraId="76E3F433" w14:textId="77777777" w:rsidR="004C0F54" w:rsidRDefault="00000000">
      <w:pPr>
        <w:pBdr>
          <w:bottom w:val="single" w:sz="6" w:space="1" w:color="2E5BA8"/>
        </w:pBdr>
        <w:spacing w:before="150" w:after="55"/>
      </w:pPr>
      <w:r>
        <w:rPr>
          <w:b/>
          <w:bCs/>
          <w:color w:val="1B3A6B"/>
          <w:sz w:val="20"/>
          <w:szCs w:val="20"/>
        </w:rPr>
        <w:t>LANGUAGES</w:t>
      </w:r>
    </w:p>
    <w:p w14:paraId="221C48E2" w14:textId="77777777" w:rsidR="00666AE9" w:rsidRDefault="00000000">
      <w:pPr>
        <w:spacing w:after="20"/>
      </w:pPr>
      <w:r>
        <w:t>English (Professional), French (Conversational), Persian (Native)</w:t>
      </w:r>
    </w:p>
    <w:sectPr w:rsidR="00666AE9">
      <w:pgSz w:w="12240" w:h="15840"/>
      <w:pgMar w:top="720" w:right="1008" w:bottom="720" w:left="1008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2D5CC1"/>
    <w:multiLevelType w:val="multilevel"/>
    <w:tmpl w:val="46AA6D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5CB3777"/>
    <w:multiLevelType w:val="hybridMultilevel"/>
    <w:tmpl w:val="FEB2A4DE"/>
    <w:lvl w:ilvl="0" w:tplc="78DAE5EC">
      <w:start w:val="1"/>
      <w:numFmt w:val="bullet"/>
      <w:lvlText w:val="•"/>
      <w:lvlJc w:val="left"/>
      <w:pPr>
        <w:ind w:left="290" w:hanging="180"/>
      </w:pPr>
    </w:lvl>
    <w:lvl w:ilvl="1" w:tplc="0BF0714A">
      <w:numFmt w:val="decimal"/>
      <w:lvlText w:val=""/>
      <w:lvlJc w:val="left"/>
    </w:lvl>
    <w:lvl w:ilvl="2" w:tplc="A8CE979C">
      <w:numFmt w:val="decimal"/>
      <w:lvlText w:val=""/>
      <w:lvlJc w:val="left"/>
    </w:lvl>
    <w:lvl w:ilvl="3" w:tplc="A484FCE8">
      <w:numFmt w:val="decimal"/>
      <w:lvlText w:val=""/>
      <w:lvlJc w:val="left"/>
    </w:lvl>
    <w:lvl w:ilvl="4" w:tplc="D2ACC9AA">
      <w:numFmt w:val="decimal"/>
      <w:lvlText w:val=""/>
      <w:lvlJc w:val="left"/>
    </w:lvl>
    <w:lvl w:ilvl="5" w:tplc="10865842">
      <w:numFmt w:val="decimal"/>
      <w:lvlText w:val=""/>
      <w:lvlJc w:val="left"/>
    </w:lvl>
    <w:lvl w:ilvl="6" w:tplc="4BC0978C">
      <w:numFmt w:val="decimal"/>
      <w:lvlText w:val=""/>
      <w:lvlJc w:val="left"/>
    </w:lvl>
    <w:lvl w:ilvl="7" w:tplc="3A624EB4">
      <w:numFmt w:val="decimal"/>
      <w:lvlText w:val=""/>
      <w:lvlJc w:val="left"/>
    </w:lvl>
    <w:lvl w:ilvl="8" w:tplc="CBCC01C2">
      <w:numFmt w:val="decimal"/>
      <w:lvlText w:val=""/>
      <w:lvlJc w:val="left"/>
    </w:lvl>
  </w:abstractNum>
  <w:abstractNum w:abstractNumId="2" w15:restartNumberingAfterBreak="0">
    <w:nsid w:val="1A0D2C24"/>
    <w:multiLevelType w:val="multilevel"/>
    <w:tmpl w:val="3C9C9A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1061140"/>
    <w:multiLevelType w:val="hybridMultilevel"/>
    <w:tmpl w:val="5F966610"/>
    <w:lvl w:ilvl="0" w:tplc="CCDC8ED4">
      <w:start w:val="1"/>
      <w:numFmt w:val="bullet"/>
      <w:lvlText w:val="●"/>
      <w:lvlJc w:val="left"/>
      <w:pPr>
        <w:ind w:left="720" w:hanging="360"/>
      </w:pPr>
    </w:lvl>
    <w:lvl w:ilvl="1" w:tplc="F5D6A938">
      <w:start w:val="1"/>
      <w:numFmt w:val="bullet"/>
      <w:lvlText w:val="○"/>
      <w:lvlJc w:val="left"/>
      <w:pPr>
        <w:ind w:left="1440" w:hanging="360"/>
      </w:pPr>
    </w:lvl>
    <w:lvl w:ilvl="2" w:tplc="62444E6E">
      <w:start w:val="1"/>
      <w:numFmt w:val="bullet"/>
      <w:lvlText w:val="■"/>
      <w:lvlJc w:val="left"/>
      <w:pPr>
        <w:ind w:left="2160" w:hanging="360"/>
      </w:pPr>
    </w:lvl>
    <w:lvl w:ilvl="3" w:tplc="41BE6EB6">
      <w:start w:val="1"/>
      <w:numFmt w:val="bullet"/>
      <w:lvlText w:val="●"/>
      <w:lvlJc w:val="left"/>
      <w:pPr>
        <w:ind w:left="2880" w:hanging="360"/>
      </w:pPr>
    </w:lvl>
    <w:lvl w:ilvl="4" w:tplc="9D4858E0">
      <w:start w:val="1"/>
      <w:numFmt w:val="bullet"/>
      <w:lvlText w:val="○"/>
      <w:lvlJc w:val="left"/>
      <w:pPr>
        <w:ind w:left="3600" w:hanging="360"/>
      </w:pPr>
    </w:lvl>
    <w:lvl w:ilvl="5" w:tplc="F03CB25A">
      <w:start w:val="1"/>
      <w:numFmt w:val="bullet"/>
      <w:lvlText w:val="■"/>
      <w:lvlJc w:val="left"/>
      <w:pPr>
        <w:ind w:left="4320" w:hanging="360"/>
      </w:pPr>
    </w:lvl>
    <w:lvl w:ilvl="6" w:tplc="B5E0D82E">
      <w:start w:val="1"/>
      <w:numFmt w:val="bullet"/>
      <w:lvlText w:val="●"/>
      <w:lvlJc w:val="left"/>
      <w:pPr>
        <w:ind w:left="5040" w:hanging="360"/>
      </w:pPr>
    </w:lvl>
    <w:lvl w:ilvl="7" w:tplc="E1263478">
      <w:start w:val="1"/>
      <w:numFmt w:val="bullet"/>
      <w:lvlText w:val="●"/>
      <w:lvlJc w:val="left"/>
      <w:pPr>
        <w:ind w:left="5760" w:hanging="360"/>
      </w:pPr>
    </w:lvl>
    <w:lvl w:ilvl="8" w:tplc="42147A24">
      <w:start w:val="1"/>
      <w:numFmt w:val="bullet"/>
      <w:lvlText w:val="●"/>
      <w:lvlJc w:val="left"/>
      <w:pPr>
        <w:ind w:left="6480" w:hanging="360"/>
      </w:pPr>
    </w:lvl>
  </w:abstractNum>
  <w:abstractNum w:abstractNumId="4" w15:restartNumberingAfterBreak="0">
    <w:nsid w:val="424A4761"/>
    <w:multiLevelType w:val="multilevel"/>
    <w:tmpl w:val="1C925F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88315DD"/>
    <w:multiLevelType w:val="multilevel"/>
    <w:tmpl w:val="02A82D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6BE0131"/>
    <w:multiLevelType w:val="multilevel"/>
    <w:tmpl w:val="CAD62B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44306216">
    <w:abstractNumId w:val="3"/>
    <w:lvlOverride w:ilvl="0">
      <w:startOverride w:val="1"/>
    </w:lvlOverride>
  </w:num>
  <w:num w:numId="2" w16cid:durableId="1403018646">
    <w:abstractNumId w:val="1"/>
    <w:lvlOverride w:ilvl="0">
      <w:startOverride w:val="1"/>
    </w:lvlOverride>
  </w:num>
  <w:num w:numId="3" w16cid:durableId="1897089079">
    <w:abstractNumId w:val="2"/>
  </w:num>
  <w:num w:numId="4" w16cid:durableId="117142791">
    <w:abstractNumId w:val="6"/>
  </w:num>
  <w:num w:numId="5" w16cid:durableId="287787795">
    <w:abstractNumId w:val="0"/>
  </w:num>
  <w:num w:numId="6" w16cid:durableId="717700638">
    <w:abstractNumId w:val="4"/>
  </w:num>
  <w:num w:numId="7" w16cid:durableId="778600060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C0F54"/>
    <w:rsid w:val="00000C03"/>
    <w:rsid w:val="00280B67"/>
    <w:rsid w:val="002A5F78"/>
    <w:rsid w:val="0030569E"/>
    <w:rsid w:val="003A160F"/>
    <w:rsid w:val="0042728F"/>
    <w:rsid w:val="0045264D"/>
    <w:rsid w:val="004C0F54"/>
    <w:rsid w:val="00666453"/>
    <w:rsid w:val="00666AE9"/>
    <w:rsid w:val="006C0BFD"/>
    <w:rsid w:val="0073179D"/>
    <w:rsid w:val="007502B1"/>
    <w:rsid w:val="00A43A24"/>
    <w:rsid w:val="00D33B7D"/>
    <w:rsid w:val="00E06BCB"/>
    <w:rsid w:val="00E57238"/>
    <w:rsid w:val="00EA1E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81CEB4E"/>
  <w15:docId w15:val="{1195A602-3881-4C19-A8D5-43DCDDC038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color w:val="1A1A1A"/>
        <w:sz w:val="18"/>
        <w:szCs w:val="18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66AE9"/>
    <w:pPr>
      <w:keepNext/>
      <w:keepLines/>
      <w:spacing w:before="40"/>
      <w:outlineLvl w:val="6"/>
    </w:pPr>
    <w:rPr>
      <w:rFonts w:asciiTheme="majorHAnsi" w:eastAsiaTheme="majorEastAsia" w:hAnsiTheme="majorHAnsi" w:cstheme="majorBidi"/>
      <w:i/>
      <w:iCs/>
      <w:color w:val="0A2F40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66AE9"/>
    <w:pPr>
      <w:keepNext/>
      <w:keepLines/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66AE9"/>
    <w:pPr>
      <w:keepNext/>
      <w:keepLines/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uiPriority w:val="34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character" w:styleId="BookTitle">
    <w:name w:val="Book Title"/>
    <w:basedOn w:val="DefaultParagraphFont"/>
    <w:uiPriority w:val="33"/>
    <w:qFormat/>
    <w:rsid w:val="00666AE9"/>
    <w:rPr>
      <w:b/>
      <w:bCs/>
      <w:i/>
      <w:iCs/>
      <w:spacing w:val="5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666AE9"/>
    <w:pPr>
      <w:spacing w:after="200"/>
    </w:pPr>
    <w:rPr>
      <w:i/>
      <w:iCs/>
      <w:color w:val="0E2841" w:themeColor="text2"/>
    </w:rPr>
  </w:style>
  <w:style w:type="character" w:styleId="Emphasis">
    <w:name w:val="Emphasis"/>
    <w:basedOn w:val="DefaultParagraphFont"/>
    <w:uiPriority w:val="20"/>
    <w:qFormat/>
    <w:rsid w:val="00666AE9"/>
    <w:rPr>
      <w:i/>
      <w:iCs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66AE9"/>
    <w:rPr>
      <w:rFonts w:asciiTheme="majorHAnsi" w:eastAsiaTheme="majorEastAsia" w:hAnsiTheme="majorHAnsi" w:cstheme="majorBidi"/>
      <w:i/>
      <w:iCs/>
      <w:color w:val="0A2F40" w:themeColor="accent1" w:themeShade="7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66AE9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66AE9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styleId="IntenseEmphasis">
    <w:name w:val="Intense Emphasis"/>
    <w:basedOn w:val="DefaultParagraphFont"/>
    <w:uiPriority w:val="21"/>
    <w:qFormat/>
    <w:rsid w:val="00666AE9"/>
    <w:rPr>
      <w:i/>
      <w:iCs/>
      <w:color w:val="156082" w:themeColor="accen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66AE9"/>
    <w:pPr>
      <w:pBdr>
        <w:top w:val="single" w:sz="4" w:space="10" w:color="156082" w:themeColor="accent1"/>
        <w:bottom w:val="single" w:sz="4" w:space="10" w:color="156082" w:themeColor="accent1"/>
      </w:pBdr>
      <w:spacing w:before="360" w:after="360"/>
      <w:ind w:left="864" w:right="864"/>
      <w:jc w:val="center"/>
    </w:pPr>
    <w:rPr>
      <w:i/>
      <w:iCs/>
      <w:color w:val="156082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66AE9"/>
    <w:rPr>
      <w:i/>
      <w:iCs/>
      <w:color w:val="156082" w:themeColor="accent1"/>
    </w:rPr>
  </w:style>
  <w:style w:type="character" w:styleId="IntenseReference">
    <w:name w:val="Intense Reference"/>
    <w:basedOn w:val="DefaultParagraphFont"/>
    <w:uiPriority w:val="32"/>
    <w:qFormat/>
    <w:rsid w:val="00666AE9"/>
    <w:rPr>
      <w:b/>
      <w:bCs/>
      <w:smallCaps/>
      <w:color w:val="156082" w:themeColor="accent1"/>
      <w:spacing w:val="5"/>
    </w:rPr>
  </w:style>
  <w:style w:type="paragraph" w:styleId="NoSpacing">
    <w:name w:val="No Spacing"/>
    <w:uiPriority w:val="1"/>
    <w:qFormat/>
    <w:rsid w:val="00666AE9"/>
  </w:style>
  <w:style w:type="paragraph" w:styleId="Quote">
    <w:name w:val="Quote"/>
    <w:basedOn w:val="Normal"/>
    <w:next w:val="Normal"/>
    <w:link w:val="QuoteChar"/>
    <w:uiPriority w:val="29"/>
    <w:qFormat/>
    <w:rsid w:val="00666AE9"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66AE9"/>
    <w:rPr>
      <w:i/>
      <w:iCs/>
      <w:color w:val="404040" w:themeColor="text1" w:themeTint="BF"/>
    </w:rPr>
  </w:style>
  <w:style w:type="character" w:styleId="Strong">
    <w:name w:val="Strong"/>
    <w:basedOn w:val="DefaultParagraphFont"/>
    <w:uiPriority w:val="22"/>
    <w:qFormat/>
    <w:rsid w:val="00666AE9"/>
    <w:rPr>
      <w:b/>
      <w:bCs/>
    </w:rPr>
  </w:style>
  <w:style w:type="paragraph" w:styleId="Subtitle">
    <w:name w:val="Subtitle"/>
    <w:basedOn w:val="Normal"/>
    <w:next w:val="Normal"/>
    <w:link w:val="SubtitleChar"/>
    <w:uiPriority w:val="11"/>
    <w:qFormat/>
    <w:rsid w:val="00666AE9"/>
    <w:pPr>
      <w:numPr>
        <w:ilvl w:val="1"/>
      </w:numPr>
      <w:spacing w:after="160"/>
    </w:pPr>
    <w:rPr>
      <w:rFonts w:asciiTheme="minorHAnsi" w:eastAsiaTheme="minorEastAsia" w:hAnsiTheme="minorHAnsi" w:cstheme="minorBidi"/>
      <w:color w:val="5A5A5A" w:themeColor="text1" w:themeTint="A5"/>
      <w:spacing w:val="15"/>
      <w:sz w:val="22"/>
      <w:szCs w:val="22"/>
    </w:rPr>
  </w:style>
  <w:style w:type="character" w:customStyle="1" w:styleId="SubtitleChar">
    <w:name w:val="Subtitle Char"/>
    <w:basedOn w:val="DefaultParagraphFont"/>
    <w:link w:val="Subtitle"/>
    <w:uiPriority w:val="11"/>
    <w:rsid w:val="00666AE9"/>
    <w:rPr>
      <w:rFonts w:asciiTheme="minorHAnsi" w:eastAsiaTheme="minorEastAsia" w:hAnsiTheme="minorHAnsi" w:cstheme="minorBidi"/>
      <w:color w:val="5A5A5A" w:themeColor="text1" w:themeTint="A5"/>
      <w:spacing w:val="15"/>
      <w:sz w:val="22"/>
      <w:szCs w:val="22"/>
    </w:rPr>
  </w:style>
  <w:style w:type="character" w:styleId="SubtleEmphasis">
    <w:name w:val="Subtle Emphasis"/>
    <w:basedOn w:val="DefaultParagraphFont"/>
    <w:uiPriority w:val="19"/>
    <w:qFormat/>
    <w:rsid w:val="00666AE9"/>
    <w:rPr>
      <w:i/>
      <w:iCs/>
      <w:color w:val="404040" w:themeColor="text1" w:themeTint="BF"/>
    </w:rPr>
  </w:style>
  <w:style w:type="character" w:styleId="SubtleReference">
    <w:name w:val="Subtle Reference"/>
    <w:basedOn w:val="DefaultParagraphFont"/>
    <w:uiPriority w:val="31"/>
    <w:qFormat/>
    <w:rsid w:val="00666AE9"/>
    <w:rPr>
      <w:smallCaps/>
      <w:color w:val="5A5A5A" w:themeColor="text1" w:themeTint="A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666AE9"/>
    <w:pPr>
      <w:keepNext/>
      <w:keepLines/>
      <w:spacing w:before="240"/>
      <w:outlineLvl w:val="9"/>
    </w:pPr>
    <w:rPr>
      <w:rFonts w:asciiTheme="majorHAnsi" w:eastAsiaTheme="majorEastAsia" w:hAnsiTheme="majorHAnsi" w:cstheme="majorBidi"/>
      <w:color w:val="0F4761" w:themeColor="accent1" w:themeShade="BF"/>
    </w:rPr>
  </w:style>
  <w:style w:type="paragraph" w:customStyle="1" w:styleId="font-claude-response-body">
    <w:name w:val="font-claude-response-body"/>
    <w:basedOn w:val="Normal"/>
    <w:rsid w:val="002A5F78"/>
    <w:pPr>
      <w:spacing w:before="100" w:beforeAutospacing="1" w:after="100" w:afterAutospacing="1"/>
    </w:pPr>
    <w:rPr>
      <w:rFonts w:ascii="Times New Roman" w:eastAsia="Times New Roman" w:hAnsi="Times New Roman" w:cs="Times New Roman"/>
      <w:color w:val="auto"/>
      <w:sz w:val="24"/>
      <w:szCs w:val="24"/>
    </w:rPr>
  </w:style>
  <w:style w:type="character" w:customStyle="1" w:styleId="animating6ta1u10">
    <w:name w:val="_animating_6ta1u_10"/>
    <w:basedOn w:val="DefaultParagraphFont"/>
    <w:rsid w:val="002A5F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2</Pages>
  <Words>1092</Words>
  <Characters>8110</Characters>
  <Application>Microsoft Office Word</Application>
  <DocSecurity>0</DocSecurity>
  <Lines>96</Lines>
  <Paragraphs>60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9142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</dc:title>
  <dc:creator>moein esfahani</dc:creator>
  <cp:keywords>vpp;ems;kernel</cp:keywords>
  <cp:lastModifiedBy>moien esfahani</cp:lastModifiedBy>
  <cp:revision>9</cp:revision>
  <dcterms:created xsi:type="dcterms:W3CDTF">2026-06-29T00:00:00Z</dcterms:created>
  <dcterms:modified xsi:type="dcterms:W3CDTF">2026-06-29T00:00:00Z</dcterms:modified>
</cp:coreProperties>
</file>