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1FED" w14:textId="77777777" w:rsidR="004C0F54" w:rsidRDefault="00000000">
      <w:pPr>
        <w:spacing w:after="26"/>
        <w:jc w:val="center"/>
      </w:pPr>
      <w:r>
        <w:rPr>
          <w:b/>
          <w:bCs/>
          <w:color w:val="1B3A6B"/>
          <w:sz w:val="34"/>
          <w:szCs w:val="34"/>
        </w:rPr>
        <w:t>MOEIN ESFAHANI</w:t>
      </w:r>
    </w:p>
    <w:p w14:paraId="354CA73B" w14:textId="304B21D6" w:rsidR="004C0F54" w:rsidRDefault="00000000">
      <w:pPr>
        <w:spacing w:after="16"/>
        <w:jc w:val="center"/>
      </w:pPr>
      <w:r>
        <w:rPr>
          <w:color w:val="555555"/>
        </w:rPr>
        <w:t xml:space="preserve">Power Systems </w:t>
      </w:r>
      <w:r w:rsidR="00E06BCB">
        <w:rPr>
          <w:color w:val="555555"/>
        </w:rPr>
        <w:t>Engineer | VPP</w:t>
      </w:r>
      <w:r>
        <w:rPr>
          <w:color w:val="555555"/>
        </w:rPr>
        <w:t xml:space="preserve"> &amp; DER Optimization · Microgrid EMS · Voltage/Frequency Support · ISO/RTO Markets</w:t>
      </w:r>
    </w:p>
    <w:p w14:paraId="58B85DFF" w14:textId="5F18C6C4" w:rsidR="004C0F54" w:rsidRDefault="00000000">
      <w:pPr>
        <w:spacing w:after="34"/>
        <w:jc w:val="center"/>
      </w:pPr>
      <w:r>
        <w:rPr>
          <w:color w:val="555555"/>
          <w:sz w:val="16"/>
          <w:szCs w:val="16"/>
        </w:rPr>
        <w:t xml:space="preserve">Montréal, QC, Canada   |   +1-581-578-7202   |   </w:t>
      </w:r>
      <w:r w:rsidR="00E06BCB">
        <w:rPr>
          <w:color w:val="555555"/>
          <w:sz w:val="16"/>
          <w:szCs w:val="16"/>
        </w:rPr>
        <w:t>moien.esfahani1993@gmail.com |</w:t>
      </w:r>
      <w:r>
        <w:rPr>
          <w:color w:val="555555"/>
          <w:sz w:val="16"/>
          <w:szCs w:val="16"/>
        </w:rPr>
        <w:t xml:space="preserve">   linkedin.com/in/moeinesfahani1993</w:t>
      </w:r>
    </w:p>
    <w:p w14:paraId="33FAD821" w14:textId="77777777" w:rsidR="004C0F54" w:rsidRDefault="004C0F54" w:rsidP="00280B67">
      <w:pPr>
        <w:pBdr>
          <w:bottom w:val="single" w:sz="8" w:space="1" w:color="2E5BA8"/>
        </w:pBdr>
        <w:spacing w:after="40"/>
      </w:pPr>
    </w:p>
    <w:p w14:paraId="39423152" w14:textId="77777777" w:rsidR="004C0F54" w:rsidRDefault="00000000" w:rsidP="00280B67">
      <w:pPr>
        <w:pBdr>
          <w:bottom w:val="single" w:sz="6" w:space="1" w:color="2E5BA8"/>
        </w:pBdr>
        <w:spacing w:after="55"/>
      </w:pPr>
      <w:r>
        <w:rPr>
          <w:b/>
          <w:bCs/>
          <w:color w:val="1B3A6B"/>
          <w:sz w:val="20"/>
          <w:szCs w:val="20"/>
        </w:rPr>
        <w:t>PROFESSIONAL SUMMARY</w:t>
      </w:r>
    </w:p>
    <w:p w14:paraId="3B6AEDA2" w14:textId="6C698CBE" w:rsidR="004C0F54" w:rsidRDefault="00000000">
      <w:pPr>
        <w:spacing w:after="40"/>
      </w:pPr>
      <w:r>
        <w:t>Power systems engineer specializing in DER and VPP optimization, microgrid EMS development, and the impact of aggregated resources on voltage and frequency. The power-system problem comes first</w:t>
      </w:r>
      <w:r w:rsidR="00E06BCB">
        <w:t>,</w:t>
      </w:r>
      <w:r>
        <w:t xml:space="preserve"> how a DER portfolio supports the grid and stays within interconnection limits</w:t>
      </w:r>
      <w:r w:rsidR="00E06BCB">
        <w:t>,</w:t>
      </w:r>
      <w:r>
        <w:t xml:space="preserve"> and the market and software layers are built around it. At Huawei Technologies Canada I develop VPP market-participation and microgrid EMS workflows that turn ISO/RTO rules, DER operating limits, forecasts, and grid-security constraints into dispatch decisions validated in closed loop against the grid. Completed Ph.D. in VPP coordination under uncertainty; </w:t>
      </w:r>
      <w:r>
        <w:rPr>
          <w:b/>
          <w:bCs/>
        </w:rPr>
        <w:t>8 peer-reviewed publications</w:t>
      </w:r>
      <w:r>
        <w:t xml:space="preserve"> on DER aggregation, active-distribution-network operation, and ancillary services, top paper </w:t>
      </w:r>
      <w:r w:rsidRPr="00E06BCB">
        <w:rPr>
          <w:color w:val="000000" w:themeColor="text1"/>
        </w:rPr>
        <w:t xml:space="preserve">cited </w:t>
      </w:r>
      <w:r w:rsidRPr="00E06BCB">
        <w:rPr>
          <w:b/>
          <w:bCs/>
          <w:color w:val="000000" w:themeColor="text1"/>
        </w:rPr>
        <w:t>78 times</w:t>
      </w:r>
      <w:r w:rsidRPr="00E06BCB">
        <w:rPr>
          <w:color w:val="000000" w:themeColor="text1"/>
        </w:rPr>
        <w:t>.</w:t>
      </w:r>
    </w:p>
    <w:p w14:paraId="102B2756" w14:textId="77777777" w:rsidR="004C0F54" w:rsidRDefault="00000000">
      <w:pPr>
        <w:pBdr>
          <w:bottom w:val="single" w:sz="6" w:space="1" w:color="2E5BA8"/>
        </w:pBdr>
        <w:spacing w:before="150" w:after="55"/>
      </w:pPr>
      <w:r>
        <w:rPr>
          <w:b/>
          <w:bCs/>
          <w:color w:val="1B3A6B"/>
          <w:sz w:val="20"/>
          <w:szCs w:val="20"/>
        </w:rPr>
        <w:t>CORE TECHNICAL SKILLS</w:t>
      </w:r>
    </w:p>
    <w:p w14:paraId="38E5250B" w14:textId="21D88594" w:rsidR="003A160F" w:rsidRPr="003A160F" w:rsidRDefault="003A160F" w:rsidP="003A160F">
      <w:pPr>
        <w:pStyle w:val="ListParagraph"/>
        <w:numPr>
          <w:ilvl w:val="0"/>
          <w:numId w:val="2"/>
        </w:numPr>
        <w:spacing w:after="46"/>
      </w:pPr>
      <w:r w:rsidRPr="003A160F">
        <w:rPr>
          <w:b/>
          <w:bCs/>
        </w:rPr>
        <w:t xml:space="preserve">Power Systems &amp; Grid Support: </w:t>
      </w:r>
      <w:r w:rsidRPr="003A160F">
        <w:t>Voltage regulation and reactive power support; frequency response (primary/droop) and operating reserves; active/reactive power dispatch; DER hosting-capacity and grid-impact studies; capability-curve (P</w:t>
      </w:r>
      <w:r>
        <w:t>-</w:t>
      </w:r>
      <w:r w:rsidRPr="003A160F">
        <w:t>Q) and interconnection limits; IEEE 1547 grid-support functions (Volt-VAR, Volt-Watt, frequency-watt); studied and applied ISO/RTO market and interconnection rules (ERCOT, MISO, NYISO, ISO-NE).</w:t>
      </w:r>
    </w:p>
    <w:p w14:paraId="49CADABB" w14:textId="611DFA3B" w:rsidR="003A160F" w:rsidRPr="003A160F" w:rsidRDefault="003A160F" w:rsidP="003A160F">
      <w:pPr>
        <w:pStyle w:val="ListParagraph"/>
        <w:numPr>
          <w:ilvl w:val="0"/>
          <w:numId w:val="2"/>
        </w:numPr>
        <w:spacing w:after="46"/>
      </w:pPr>
      <w:r w:rsidRPr="003A160F">
        <w:rPr>
          <w:b/>
          <w:bCs/>
        </w:rPr>
        <w:t xml:space="preserve">Optimization &amp; Uncertainty: </w:t>
      </w:r>
      <w:r w:rsidRPr="003A160F">
        <w:t>LP, MILP, NLP, and MISOCP formulation for DER</w:t>
      </w:r>
      <w:r>
        <w:t>s</w:t>
      </w:r>
      <w:r w:rsidRPr="003A160F">
        <w:t xml:space="preserve"> dispatch; uncertainty modelling of renewables, demand, and prices via stochastic programming, robust optimization, and distributionally robust optimization (DRO); distributed coordination via ADMM; cooperative and non-cooperative game theory (Nash/Stackelberg) in Pyomo, Gurobi, CPLEX, IPOPT, CVX, and MATLAB.</w:t>
      </w:r>
    </w:p>
    <w:p w14:paraId="06361992" w14:textId="238C480C" w:rsidR="003A160F" w:rsidRPr="003A160F" w:rsidRDefault="003A160F" w:rsidP="003A160F">
      <w:pPr>
        <w:pStyle w:val="ListParagraph"/>
        <w:numPr>
          <w:ilvl w:val="0"/>
          <w:numId w:val="2"/>
        </w:numPr>
        <w:spacing w:after="46"/>
      </w:pPr>
      <w:r w:rsidRPr="003A160F">
        <w:rPr>
          <w:b/>
          <w:bCs/>
        </w:rPr>
        <w:t xml:space="preserve">VPP &amp; Microgrid EMS: </w:t>
      </w:r>
      <w:r w:rsidRPr="003A160F">
        <w:t>DER aggregation, capability estimation, dispatch disaggregation, and auto-trader logic; microgrid operating-mode management (grid-connected and islanded); setpoint and secondary-control coordination; BESS state-of-charge and ramp limits and inverter P–Q capability-limit enforcement; cloud</w:t>
      </w:r>
      <w:r>
        <w:t>-</w:t>
      </w:r>
      <w:r w:rsidRPr="003A160F">
        <w:t>fog</w:t>
      </w:r>
      <w:r>
        <w:t>-</w:t>
      </w:r>
      <w:r w:rsidRPr="003A160F">
        <w:t>edge VPP architecture.</w:t>
      </w:r>
    </w:p>
    <w:p w14:paraId="647F9D26" w14:textId="224AF7B3" w:rsidR="003A160F" w:rsidRPr="003A160F" w:rsidRDefault="003A160F" w:rsidP="003A160F">
      <w:pPr>
        <w:pStyle w:val="ListParagraph"/>
        <w:numPr>
          <w:ilvl w:val="0"/>
          <w:numId w:val="2"/>
        </w:numPr>
        <w:spacing w:after="46"/>
      </w:pPr>
      <w:r w:rsidRPr="003A160F">
        <w:rPr>
          <w:b/>
          <w:bCs/>
        </w:rPr>
        <w:t xml:space="preserve">Power-System Simulation &amp; Validation: </w:t>
      </w:r>
      <w:r w:rsidRPr="003A160F">
        <w:t>Steady-state power-flow and quasi-static time-series (QSTS) studies; software-in-the-loop and controller-in-the-loop preparation; voltage-limit and frequency-reserve adequacy assessment in OpenDSS, PSS/E,</w:t>
      </w:r>
      <w:r>
        <w:t xml:space="preserve"> PSCAD</w:t>
      </w:r>
      <w:r w:rsidRPr="003A160F">
        <w:t xml:space="preserve"> and MATLAB.</w:t>
      </w:r>
    </w:p>
    <w:p w14:paraId="0EBCB3F8" w14:textId="77777777" w:rsidR="003A160F" w:rsidRPr="003A160F" w:rsidRDefault="003A160F" w:rsidP="003A160F">
      <w:pPr>
        <w:pStyle w:val="ListParagraph"/>
        <w:numPr>
          <w:ilvl w:val="0"/>
          <w:numId w:val="2"/>
        </w:numPr>
        <w:spacing w:after="46"/>
      </w:pPr>
      <w:r w:rsidRPr="003A160F">
        <w:rPr>
          <w:b/>
          <w:bCs/>
        </w:rPr>
        <w:t xml:space="preserve">Forecasting &amp; Analytics: </w:t>
      </w:r>
      <w:r w:rsidRPr="003A160F">
        <w:t>Day-ahead and intraday forecasting of price, load, and PV generation; weather- and market-data integration; scenario generation and sensitivity analysis using LSTM, GRU, CNN, random forest, and gradient boosting (XGBoost).</w:t>
      </w:r>
    </w:p>
    <w:p w14:paraId="73431FA5" w14:textId="39E42571" w:rsidR="002A5F78" w:rsidRPr="003A160F" w:rsidRDefault="003A160F" w:rsidP="003A160F">
      <w:pPr>
        <w:pStyle w:val="ListParagraph"/>
        <w:numPr>
          <w:ilvl w:val="0"/>
          <w:numId w:val="2"/>
        </w:numPr>
        <w:spacing w:after="46"/>
      </w:pPr>
      <w:r w:rsidRPr="003A160F">
        <w:rPr>
          <w:b/>
          <w:bCs/>
        </w:rPr>
        <w:t>Engineering Software</w:t>
      </w:r>
      <w:r w:rsidRPr="003A160F">
        <w:t xml:space="preserve">: EMS daemon and time-synchronized QSTS co-simulation interface; streaming data pipelines, RESTful APIs, and live-updating dashboards; controller data interfaces over Modbus TCP, IEC 61850, and OPC UA; built in Python, </w:t>
      </w:r>
      <w:r>
        <w:t>Java</w:t>
      </w:r>
      <w:r w:rsidRPr="003A160F">
        <w:t>, C</w:t>
      </w:r>
      <w:r>
        <w:t>/C++</w:t>
      </w:r>
      <w:r w:rsidRPr="003A160F">
        <w:t>, FastAPI, MATLAB, Kafka, MQTT, WebSocket, and Redis</w:t>
      </w:r>
      <w:r w:rsidR="002A5F78" w:rsidRPr="003A160F">
        <w:t>.</w:t>
      </w:r>
    </w:p>
    <w:p w14:paraId="5FC909C3" w14:textId="77777777" w:rsidR="004C0F54" w:rsidRDefault="00000000">
      <w:pPr>
        <w:pBdr>
          <w:bottom w:val="single" w:sz="6" w:space="1" w:color="2E5BA8"/>
        </w:pBdr>
        <w:spacing w:before="150" w:after="55"/>
      </w:pPr>
      <w:r>
        <w:rPr>
          <w:b/>
          <w:bCs/>
          <w:color w:val="1B3A6B"/>
          <w:sz w:val="20"/>
          <w:szCs w:val="20"/>
        </w:rPr>
        <w:t>SELECTED TECHNICAL PROJECTS</w:t>
      </w:r>
    </w:p>
    <w:p w14:paraId="3E887846" w14:textId="77777777" w:rsidR="004C0F54" w:rsidRDefault="00000000">
      <w:pPr>
        <w:tabs>
          <w:tab w:val="right" w:pos="9026"/>
        </w:tabs>
        <w:spacing w:before="70" w:after="14"/>
      </w:pPr>
      <w:r>
        <w:rPr>
          <w:b/>
          <w:bCs/>
          <w:color w:val="1B3A6B"/>
        </w:rPr>
        <w:t>Integrated VPP Market-to-Grid Platform (Cloud-to-Fog-to-Edge)</w:t>
      </w:r>
      <w:r>
        <w:rPr>
          <w:sz w:val="16"/>
          <w:szCs w:val="16"/>
        </w:rPr>
        <w:tab/>
      </w:r>
      <w:r>
        <w:rPr>
          <w:i/>
          <w:iCs/>
          <w:color w:val="555555"/>
          <w:sz w:val="16"/>
          <w:szCs w:val="16"/>
        </w:rPr>
        <w:t>ISO/RTO · LP/MILP/DRO · OpenDSS/QSTS · Python/SQL</w:t>
      </w:r>
    </w:p>
    <w:p w14:paraId="147AE7A1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A VPP must offer DER capacity into the market without violating grid limits, so I integrated auto-trader, forecaster, capability extractor, optimizer, dispatch propagator, and monitoring into one workflow from market signals to DER dispatch targets.</w:t>
      </w:r>
    </w:p>
    <w:p w14:paraId="4A14C8EE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Implemented market-participation logic for BESS, PV, and controllable DER across ERCOT, MISO, and ISO-NE-style structures using prices, reserve/regulation products, portfolio capability, and risk-aware constraints.</w:t>
      </w:r>
    </w:p>
    <w:p w14:paraId="1A6D2A34" w14:textId="07524E91" w:rsidR="004C0F54" w:rsidRDefault="00000000">
      <w:pPr>
        <w:pStyle w:val="ListParagraph"/>
        <w:numPr>
          <w:ilvl w:val="0"/>
          <w:numId w:val="2"/>
        </w:numPr>
        <w:spacing w:after="40"/>
      </w:pPr>
      <w:r>
        <w:t>Enforced grid feasibility through OpenDSS-based QSTS studies</w:t>
      </w:r>
      <w:r w:rsidR="00E06BCB">
        <w:t>,</w:t>
      </w:r>
      <w:r>
        <w:t xml:space="preserve"> checking voltage profiles, feeder loading, DER response, inverter limits, and grid-support modes</w:t>
      </w:r>
      <w:r w:rsidR="00E06BCB">
        <w:t>,</w:t>
      </w:r>
      <w:r>
        <w:t xml:space="preserve"> before any dispatch result is accepted, and modelled cloud-to-edge communication effects (delay, loss, degraded telemetry) for controller-facing cases.</w:t>
      </w:r>
    </w:p>
    <w:p w14:paraId="68F8DB43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Built the platform as running software, not scripts: an EMS daemon orchestrating the modules, a time-synchronized QSTS co-simulation API, and a streaming/data layer (Kafka, MQTT, WebSocket, FastAPI services, Redis caching) that keeps forecasts, telemetry, and dispatch flowing in step.</w:t>
      </w:r>
    </w:p>
    <w:p w14:paraId="2E009965" w14:textId="31828BFE" w:rsidR="004C0F54" w:rsidRDefault="00000000">
      <w:pPr>
        <w:tabs>
          <w:tab w:val="right" w:pos="9026"/>
        </w:tabs>
        <w:spacing w:before="70" w:after="14"/>
      </w:pPr>
      <w:r>
        <w:rPr>
          <w:b/>
          <w:bCs/>
          <w:color w:val="1B3A6B"/>
        </w:rPr>
        <w:t>Microgrid EMS &amp; Secondary-Control Validation Platform</w:t>
      </w:r>
      <w:r>
        <w:rPr>
          <w:sz w:val="16"/>
          <w:szCs w:val="16"/>
        </w:rPr>
        <w:tab/>
      </w:r>
      <w:r>
        <w:rPr>
          <w:i/>
          <w:iCs/>
          <w:color w:val="555555"/>
          <w:sz w:val="16"/>
          <w:szCs w:val="16"/>
        </w:rPr>
        <w:t>PLCnext · IEC 61131-3 ST · OpenDSS QSTS · Modbus TCP · C</w:t>
      </w:r>
      <w:r w:rsidR="00E06BCB">
        <w:rPr>
          <w:i/>
          <w:iCs/>
          <w:color w:val="555555"/>
          <w:sz w:val="16"/>
          <w:szCs w:val="16"/>
        </w:rPr>
        <w:t>H</w:t>
      </w:r>
      <w:r>
        <w:rPr>
          <w:i/>
          <w:iCs/>
          <w:color w:val="555555"/>
          <w:sz w:val="16"/>
          <w:szCs w:val="16"/>
        </w:rPr>
        <w:t>IL prep</w:t>
      </w:r>
    </w:p>
    <w:p w14:paraId="68097B6D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Built a microgrid EMS/controller validation environment connecting distribution time-series simulation, PLCnext controller logic, industrial telemetry maps, and Python orchestration, to test how EMS supervisory decisions and secondary-control setpoints behave against simulated grid response.</w:t>
      </w:r>
    </w:p>
    <w:p w14:paraId="4ED0E63B" w14:textId="7358C33E" w:rsidR="004C0F54" w:rsidRDefault="00000000">
      <w:pPr>
        <w:pStyle w:val="ListParagraph"/>
        <w:numPr>
          <w:ilvl w:val="0"/>
          <w:numId w:val="2"/>
        </w:numPr>
        <w:spacing w:after="40"/>
      </w:pPr>
      <w:r>
        <w:t>Programmed PLCnext logic</w:t>
      </w:r>
      <w:r w:rsidR="00D33B7D">
        <w:t xml:space="preserve"> each endpoint (battery PCS, meter, PV inverter etc.)</w:t>
      </w:r>
      <w:r>
        <w:t xml:space="preserve"> coordination</w:t>
      </w:r>
      <w:r w:rsidR="00E06BCB">
        <w:t>,</w:t>
      </w:r>
      <w:r>
        <w:t xml:space="preserve"> </w:t>
      </w:r>
      <w:r w:rsidR="00E06BCB">
        <w:t>active and reactive power</w:t>
      </w:r>
      <w:r>
        <w:t xml:space="preserve"> setpoints, state commands, SoC and measurement readback, command sequencing, acknowledgement, and latency checks</w:t>
      </w:r>
      <w:r w:rsidR="00E06BCB">
        <w:t>,</w:t>
      </w:r>
      <w:r>
        <w:t xml:space="preserve"> and structured the path from offline QSTS studies toward SIL and controller-in-the-loop preparation.</w:t>
      </w:r>
    </w:p>
    <w:p w14:paraId="3F1D32E9" w14:textId="03C8E2F4" w:rsidR="004C0F54" w:rsidRDefault="00000000">
      <w:pPr>
        <w:tabs>
          <w:tab w:val="right" w:pos="9026"/>
        </w:tabs>
        <w:spacing w:before="70" w:after="14"/>
      </w:pPr>
      <w:r>
        <w:rPr>
          <w:b/>
          <w:bCs/>
          <w:color w:val="1B3A6B"/>
        </w:rPr>
        <w:t>Forecasting Engine: Price, Load &amp; PV</w:t>
      </w:r>
      <w:r>
        <w:rPr>
          <w:sz w:val="16"/>
          <w:szCs w:val="16"/>
        </w:rPr>
        <w:tab/>
      </w:r>
      <w:r>
        <w:rPr>
          <w:i/>
          <w:iCs/>
          <w:color w:val="555555"/>
          <w:sz w:val="16"/>
          <w:szCs w:val="16"/>
        </w:rPr>
        <w:t xml:space="preserve">LSTM/XGBoost ensembles · </w:t>
      </w:r>
      <w:r w:rsidR="00E06BCB">
        <w:rPr>
          <w:i/>
          <w:iCs/>
          <w:color w:val="555555"/>
          <w:sz w:val="16"/>
          <w:szCs w:val="16"/>
        </w:rPr>
        <w:t>RESTful</w:t>
      </w:r>
      <w:r>
        <w:rPr>
          <w:i/>
          <w:iCs/>
          <w:color w:val="555555"/>
          <w:sz w:val="16"/>
          <w:szCs w:val="16"/>
        </w:rPr>
        <w:t xml:space="preserve"> APIs · </w:t>
      </w:r>
      <w:r w:rsidR="00E06BCB">
        <w:rPr>
          <w:i/>
          <w:iCs/>
          <w:color w:val="555555"/>
          <w:sz w:val="16"/>
          <w:szCs w:val="16"/>
        </w:rPr>
        <w:t>Big</w:t>
      </w:r>
      <w:r>
        <w:rPr>
          <w:i/>
          <w:iCs/>
          <w:color w:val="555555"/>
          <w:sz w:val="16"/>
          <w:szCs w:val="16"/>
        </w:rPr>
        <w:t xml:space="preserve"> data</w:t>
      </w:r>
    </w:p>
    <w:p w14:paraId="5E36E770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Good dispatch needs good forecasts, so I built the forecasting layer feeding the auto-trader and optimizer over a 50+ GB archive of ISO price, load, PV, and weather data, combining sequence models and tree ensembles to capture trend, seasonality, weather sensitivity, and volatility.</w:t>
      </w:r>
    </w:p>
    <w:p w14:paraId="7B59A8DF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Produced forecast-error metrics, scenarios, and sensitivity inputs for risk-aware bidding and DER dispatch, with repeatable day-ahead and real-time workflows.</w:t>
      </w:r>
    </w:p>
    <w:p w14:paraId="6DBFA465" w14:textId="77777777" w:rsidR="00A43A24" w:rsidRDefault="00A43A24" w:rsidP="00A43A24">
      <w:pPr>
        <w:pStyle w:val="ListParagraph"/>
        <w:spacing w:after="40"/>
        <w:ind w:left="290"/>
      </w:pPr>
    </w:p>
    <w:p w14:paraId="1569DA8D" w14:textId="77777777" w:rsidR="0045264D" w:rsidRDefault="0045264D" w:rsidP="00A43A24">
      <w:pPr>
        <w:pStyle w:val="ListParagraph"/>
        <w:spacing w:after="40"/>
        <w:ind w:left="290"/>
      </w:pPr>
    </w:p>
    <w:p w14:paraId="1964E247" w14:textId="77777777" w:rsidR="0045264D" w:rsidRDefault="0045264D" w:rsidP="00A43A24">
      <w:pPr>
        <w:pStyle w:val="ListParagraph"/>
        <w:spacing w:after="40"/>
        <w:ind w:left="290"/>
      </w:pPr>
    </w:p>
    <w:p w14:paraId="39B07683" w14:textId="5B5908FC" w:rsidR="004C0F54" w:rsidRDefault="00000000">
      <w:pPr>
        <w:tabs>
          <w:tab w:val="right" w:pos="9026"/>
        </w:tabs>
        <w:spacing w:before="70" w:after="14"/>
      </w:pPr>
      <w:r>
        <w:rPr>
          <w:b/>
          <w:bCs/>
          <w:color w:val="1B3A6B"/>
        </w:rPr>
        <w:lastRenderedPageBreak/>
        <w:t>DRO Co-Optimization for Energy &amp; Ancillary Services</w:t>
      </w:r>
      <w:r>
        <w:rPr>
          <w:sz w:val="16"/>
          <w:szCs w:val="16"/>
        </w:rPr>
        <w:tab/>
      </w:r>
      <w:r w:rsidR="00280B67">
        <w:rPr>
          <w:sz w:val="16"/>
          <w:szCs w:val="16"/>
        </w:rPr>
        <w:t xml:space="preserve">            </w:t>
      </w:r>
      <w:r w:rsidR="00E06BCB">
        <w:rPr>
          <w:i/>
          <w:iCs/>
          <w:color w:val="555555"/>
          <w:sz w:val="16"/>
          <w:szCs w:val="16"/>
        </w:rPr>
        <w:t>Uncertainty Management</w:t>
      </w:r>
      <w:r>
        <w:rPr>
          <w:i/>
          <w:iCs/>
          <w:color w:val="555555"/>
          <w:sz w:val="16"/>
          <w:szCs w:val="16"/>
        </w:rPr>
        <w:t xml:space="preserve"> · Wasserstein DRO · ADMM · </w:t>
      </w:r>
      <w:r w:rsidR="00E06BCB">
        <w:rPr>
          <w:i/>
          <w:iCs/>
          <w:color w:val="555555"/>
          <w:sz w:val="16"/>
          <w:szCs w:val="16"/>
        </w:rPr>
        <w:t>Competition · Game</w:t>
      </w:r>
      <w:r>
        <w:rPr>
          <w:i/>
          <w:iCs/>
          <w:color w:val="555555"/>
          <w:sz w:val="16"/>
          <w:szCs w:val="16"/>
        </w:rPr>
        <w:t xml:space="preserve"> theory</w:t>
      </w:r>
    </w:p>
    <w:p w14:paraId="41BF510A" w14:textId="159CDBF5" w:rsidR="004C0F54" w:rsidRDefault="00000000">
      <w:pPr>
        <w:pStyle w:val="ListParagraph"/>
        <w:numPr>
          <w:ilvl w:val="0"/>
          <w:numId w:val="2"/>
        </w:numPr>
        <w:spacing w:after="40"/>
      </w:pPr>
      <w:r>
        <w:t>Developed Wasserstein-DRO and stochastic-robust models co-optimizing energy dispatch, frequency regulation, and voltage support under uncertainty, with distributed and strategic DSO–VPP coordination</w:t>
      </w:r>
      <w:r w:rsidR="00E06BCB">
        <w:t>,</w:t>
      </w:r>
      <w:r>
        <w:t xml:space="preserve"> validated on IEEE test systems and published in Applied Energy (72 citations).</w:t>
      </w:r>
    </w:p>
    <w:p w14:paraId="6394B11E" w14:textId="77777777" w:rsidR="004C0F54" w:rsidRDefault="00000000">
      <w:pPr>
        <w:pBdr>
          <w:bottom w:val="single" w:sz="6" w:space="1" w:color="2E5BA8"/>
        </w:pBdr>
        <w:spacing w:before="150" w:after="55"/>
      </w:pPr>
      <w:r>
        <w:rPr>
          <w:b/>
          <w:bCs/>
          <w:color w:val="1B3A6B"/>
          <w:sz w:val="20"/>
          <w:szCs w:val="20"/>
        </w:rPr>
        <w:t>PROFESSIONAL EXPERIENCE</w:t>
      </w:r>
    </w:p>
    <w:p w14:paraId="090ED40B" w14:textId="48605118" w:rsidR="004C0F54" w:rsidRDefault="00000000" w:rsidP="00E06BCB">
      <w:pPr>
        <w:tabs>
          <w:tab w:val="right" w:pos="9026"/>
        </w:tabs>
        <w:spacing w:before="115" w:after="18"/>
      </w:pPr>
      <w:r>
        <w:rPr>
          <w:b/>
          <w:bCs/>
          <w:color w:val="1B3A6B"/>
        </w:rPr>
        <w:t>Researcher —</w:t>
      </w:r>
      <w:r w:rsidR="00E06BCB">
        <w:rPr>
          <w:b/>
          <w:bCs/>
          <w:color w:val="1B3A6B"/>
        </w:rPr>
        <w:t xml:space="preserve"> </w:t>
      </w:r>
      <w:r>
        <w:rPr>
          <w:b/>
          <w:bCs/>
          <w:color w:val="1B3A6B"/>
        </w:rPr>
        <w:t xml:space="preserve">Microgrid EMS </w:t>
      </w:r>
      <w:r w:rsidR="00E06BCB">
        <w:rPr>
          <w:b/>
          <w:bCs/>
          <w:color w:val="1B3A6B"/>
        </w:rPr>
        <w:t>Design and Hierarchical Control</w:t>
      </w:r>
      <w:r w:rsidR="00E06BCB">
        <w:rPr>
          <w:color w:val="555555"/>
        </w:rPr>
        <w:t xml:space="preserve"> |</w:t>
      </w:r>
      <w:r>
        <w:rPr>
          <w:color w:val="555555"/>
        </w:rPr>
        <w:t xml:space="preserve"> </w:t>
      </w:r>
      <w:r>
        <w:rPr>
          <w:b/>
          <w:bCs/>
        </w:rPr>
        <w:t>Huawei Technologies Canada, Montréal, QC</w:t>
      </w:r>
      <w:r w:rsidR="00666AE9">
        <w:rPr>
          <w:b/>
          <w:bCs/>
        </w:rPr>
        <w:t xml:space="preserve"> </w:t>
      </w:r>
      <w:r>
        <w:tab/>
      </w:r>
      <w:r>
        <w:rPr>
          <w:i/>
          <w:iCs/>
          <w:color w:val="555555"/>
        </w:rPr>
        <w:t>Dec 2024 – Present</w:t>
      </w:r>
      <w:r w:rsidR="00E06BCB">
        <w:t xml:space="preserve"> </w:t>
      </w:r>
      <w:r>
        <w:rPr>
          <w:i/>
          <w:iCs/>
          <w:color w:val="555555"/>
          <w:sz w:val="16"/>
          <w:szCs w:val="16"/>
        </w:rPr>
        <w:t xml:space="preserve">Promoted </w:t>
      </w:r>
      <w:r w:rsidR="0073179D">
        <w:rPr>
          <w:i/>
          <w:iCs/>
          <w:color w:val="555555"/>
          <w:sz w:val="16"/>
          <w:szCs w:val="16"/>
        </w:rPr>
        <w:t>to researcher level 16</w:t>
      </w:r>
    </w:p>
    <w:p w14:paraId="18E95A2D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Lead VPP market-analytics and grid-aware optimization, translating energy, reserve, and frequency-regulation rules into forecast-driven bid/offer logic, dispatch schedules, KPI models, and grid-feasibility validation requirements.</w:t>
      </w:r>
    </w:p>
    <w:p w14:paraId="524E3A6E" w14:textId="7D63D9C3" w:rsidR="00666AE9" w:rsidRDefault="00000000" w:rsidP="00666AE9">
      <w:pPr>
        <w:pStyle w:val="ListParagraph"/>
        <w:numPr>
          <w:ilvl w:val="0"/>
          <w:numId w:val="2"/>
        </w:numPr>
        <w:spacing w:after="40"/>
      </w:pPr>
      <w:r>
        <w:t>Advanced the VPP platform from separate analytical modules toward an integrated workflow linking auto-trader, forecasting, capability estimation, optimization, dispatch propagation, and grid-validation, and built a parallel microgrid EMS validation workflow on PLCnext AXC F 3152/2152 with IEC 61131-3 Structured Text and Python orchestration.</w:t>
      </w:r>
    </w:p>
    <w:p w14:paraId="6BF7D379" w14:textId="77777777" w:rsidR="00666AE9" w:rsidRDefault="00666AE9" w:rsidP="00666AE9">
      <w:pPr>
        <w:pStyle w:val="ListParagraph"/>
        <w:numPr>
          <w:ilvl w:val="0"/>
          <w:numId w:val="2"/>
        </w:numPr>
      </w:pPr>
      <w:r>
        <w:t xml:space="preserve">Designed and developed a real-time validation platform based on RTS and AXC F 3152 to test and evaluate secondary-controller algorithms, assess real-time solver performance, and </w:t>
      </w:r>
      <w:proofErr w:type="gramStart"/>
      <w:r>
        <w:t>support</w:t>
      </w:r>
      <w:proofErr w:type="gramEnd"/>
      <w:r>
        <w:t xml:space="preserve"> closed-loop analysis of controller behavior under realistic operating conditions.</w:t>
      </w:r>
    </w:p>
    <w:p w14:paraId="553E12B0" w14:textId="37EB2625" w:rsidR="004C0F54" w:rsidRDefault="00000000">
      <w:pPr>
        <w:pStyle w:val="ListParagraph"/>
        <w:numPr>
          <w:ilvl w:val="0"/>
          <w:numId w:val="2"/>
        </w:numPr>
        <w:spacing w:after="40"/>
      </w:pPr>
      <w:r>
        <w:t>Defined BESS, PCS, and meter telemetry/control mappings</w:t>
      </w:r>
      <w:r w:rsidR="00E06BCB">
        <w:t>,</w:t>
      </w:r>
      <w:r>
        <w:t xml:space="preserve"> P/Q </w:t>
      </w:r>
      <w:r w:rsidR="00E06BCB">
        <w:t>setpoints</w:t>
      </w:r>
      <w:r>
        <w:t>, state commands, SoC, measurements, acknowledgement/readback, and latency checks</w:t>
      </w:r>
      <w:r w:rsidR="00666AE9">
        <w:t>,</w:t>
      </w:r>
      <w:r>
        <w:t xml:space="preserve"> for EMS and controller-validation studies.</w:t>
      </w:r>
    </w:p>
    <w:p w14:paraId="490C0B3E" w14:textId="6C9ACF9E" w:rsidR="00280B67" w:rsidRDefault="00280B67">
      <w:pPr>
        <w:spacing w:before="115" w:after="18"/>
      </w:pPr>
      <w:r>
        <w:rPr>
          <w:b/>
          <w:bCs/>
          <w:color w:val="1B3A6B"/>
        </w:rPr>
        <w:t>Research Intern — Design and Development of VPP Functions and Platform</w:t>
      </w:r>
      <w:r>
        <w:rPr>
          <w:color w:val="555555"/>
        </w:rPr>
        <w:t xml:space="preserve"> | </w:t>
      </w:r>
      <w:r>
        <w:rPr>
          <w:b/>
          <w:bCs/>
        </w:rPr>
        <w:t xml:space="preserve">Huawei Technologies Canada, Montréal, </w:t>
      </w:r>
      <w:proofErr w:type="gramStart"/>
      <w:r>
        <w:rPr>
          <w:b/>
          <w:bCs/>
        </w:rPr>
        <w:t>QC</w:t>
      </w:r>
      <w:r>
        <w:t xml:space="preserve">  </w:t>
      </w:r>
      <w:r>
        <w:rPr>
          <w:i/>
          <w:iCs/>
          <w:color w:val="555555"/>
        </w:rPr>
        <w:t>Oct</w:t>
      </w:r>
      <w:proofErr w:type="gramEnd"/>
      <w:r>
        <w:rPr>
          <w:i/>
          <w:iCs/>
          <w:color w:val="555555"/>
        </w:rPr>
        <w:t xml:space="preserve"> 2023 – Dec 2024 Promoted from intern into full-time employee after graduation</w:t>
      </w:r>
      <w:r>
        <w:t xml:space="preserve"> </w:t>
      </w:r>
    </w:p>
    <w:p w14:paraId="7B70493E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Built the early VPP platform foundation: ISO/RTO market-rule analysis, DER portfolio aggregation requirements, and architecture for market-facing dispatch, with first modules for forecasting, capability estimation, bidding support, dispatch propagation, distribution-system simulation, and SIL workflows.</w:t>
      </w:r>
    </w:p>
    <w:p w14:paraId="1DB6DA25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Created the 50+ GB historical price/weather/load/PV data foundation for forecasting, scenario generation, and repeatable validation.</w:t>
      </w:r>
    </w:p>
    <w:p w14:paraId="2EE88BC9" w14:textId="77777777" w:rsidR="00666AE9" w:rsidRDefault="00666AE9" w:rsidP="00666AE9">
      <w:pPr>
        <w:pStyle w:val="ListParagraph"/>
        <w:numPr>
          <w:ilvl w:val="0"/>
          <w:numId w:val="2"/>
        </w:numPr>
      </w:pPr>
      <w:r>
        <w:t>Developed and validated key platform modules, including the optimizer, dispatch propagator, capability extractor, forecasting engine, and digital twin models, both as standalone components and as part of the end-to-end VPP orchestration workflow, ensuring that their individual performance and system-level interactions were robust, coordinated, and ready for integration into market-facing dispatch and simulation-driven validation processes.</w:t>
      </w:r>
    </w:p>
    <w:p w14:paraId="1FC13675" w14:textId="6D8A577A" w:rsidR="004C0F54" w:rsidRPr="00280B67" w:rsidRDefault="00000000" w:rsidP="00666AE9">
      <w:pPr>
        <w:tabs>
          <w:tab w:val="right" w:pos="9026"/>
        </w:tabs>
        <w:spacing w:before="115" w:after="18"/>
      </w:pPr>
      <w:r>
        <w:rPr>
          <w:b/>
          <w:bCs/>
          <w:color w:val="1B3A6B"/>
        </w:rPr>
        <w:t xml:space="preserve">Doctoral Researcher — Optimization &amp; Uncertainty Modelling for VPP </w:t>
      </w:r>
      <w:r w:rsidR="00E06BCB">
        <w:rPr>
          <w:b/>
          <w:bCs/>
          <w:color w:val="1B3A6B"/>
        </w:rPr>
        <w:t>Coordination</w:t>
      </w:r>
      <w:r w:rsidR="00E06BCB">
        <w:rPr>
          <w:color w:val="555555"/>
        </w:rPr>
        <w:t xml:space="preserve"> |</w:t>
      </w:r>
      <w:r>
        <w:rPr>
          <w:color w:val="555555"/>
        </w:rPr>
        <w:t xml:space="preserve"> </w:t>
      </w:r>
      <w:r>
        <w:rPr>
          <w:b/>
          <w:bCs/>
        </w:rPr>
        <w:t>Université Laval, Québec City, QC</w:t>
      </w:r>
      <w:r>
        <w:tab/>
      </w:r>
      <w:r w:rsidR="00666AE9">
        <w:t xml:space="preserve"> </w:t>
      </w:r>
      <w:r>
        <w:rPr>
          <w:i/>
          <w:iCs/>
          <w:color w:val="555555"/>
        </w:rPr>
        <w:t>Dec 2020 – Dec 2024</w:t>
      </w:r>
      <w:r w:rsidR="00666AE9">
        <w:t xml:space="preserve"> </w:t>
      </w:r>
      <w:r w:rsidRPr="00280B67">
        <w:rPr>
          <w:i/>
          <w:iCs/>
          <w:color w:val="000000" w:themeColor="text1"/>
          <w:sz w:val="16"/>
          <w:szCs w:val="16"/>
        </w:rPr>
        <w:t>Supervisor: Prof. I. Kamwa (IREQ/Hydro-Québec Chair)</w:t>
      </w:r>
      <w:r w:rsidR="00280B67" w:rsidRPr="00280B67">
        <w:rPr>
          <w:i/>
          <w:iCs/>
          <w:color w:val="000000" w:themeColor="text1"/>
          <w:sz w:val="16"/>
          <w:szCs w:val="16"/>
        </w:rPr>
        <w:t>, Advisor: Prof. Nima Amjady (Federation University Australia)</w:t>
      </w:r>
    </w:p>
    <w:p w14:paraId="5252FA33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Developed stochastic, robust, and Wasserstein-DRO models for VPP coordination under renewable, load, and market uncertainty — energy scheduling, frequency regulation, voltage support, and grid-feasibility — and ADMM-distributed, Stackelberg, and Nash coordination schemes for DSO–VPP interaction; 4 first-author papers.</w:t>
      </w:r>
    </w:p>
    <w:p w14:paraId="54554C3F" w14:textId="3DF46238" w:rsidR="004C0F54" w:rsidRDefault="00000000">
      <w:pPr>
        <w:tabs>
          <w:tab w:val="right" w:pos="9026"/>
        </w:tabs>
        <w:spacing w:before="115" w:after="18"/>
      </w:pPr>
      <w:r>
        <w:rPr>
          <w:b/>
          <w:bCs/>
          <w:color w:val="1B3A6B"/>
        </w:rPr>
        <w:t xml:space="preserve">Research Collaborator — DER Resilience &amp; Grid </w:t>
      </w:r>
      <w:r w:rsidR="00E06BCB">
        <w:rPr>
          <w:b/>
          <w:bCs/>
          <w:color w:val="1B3A6B"/>
        </w:rPr>
        <w:t>Integration</w:t>
      </w:r>
      <w:r w:rsidR="00E06BCB">
        <w:rPr>
          <w:color w:val="555555"/>
        </w:rPr>
        <w:t xml:space="preserve"> |</w:t>
      </w:r>
      <w:r>
        <w:rPr>
          <w:color w:val="555555"/>
        </w:rPr>
        <w:t xml:space="preserve"> </w:t>
      </w:r>
      <w:r>
        <w:rPr>
          <w:b/>
          <w:bCs/>
        </w:rPr>
        <w:t>Université Laval – EVLO collaboration, Québec City, QC</w:t>
      </w:r>
      <w:r>
        <w:tab/>
      </w:r>
      <w:r w:rsidR="00280B67">
        <w:t xml:space="preserve"> </w:t>
      </w:r>
      <w:r>
        <w:rPr>
          <w:i/>
          <w:iCs/>
          <w:color w:val="555555"/>
        </w:rPr>
        <w:t>Jan 2021 – Sep 2022</w:t>
      </w:r>
    </w:p>
    <w:p w14:paraId="675ADEEE" w14:textId="77777777" w:rsidR="004C0F54" w:rsidRDefault="00000000">
      <w:pPr>
        <w:pStyle w:val="ListParagraph"/>
        <w:numPr>
          <w:ilvl w:val="0"/>
          <w:numId w:val="2"/>
        </w:numPr>
        <w:spacing w:after="40"/>
      </w:pPr>
      <w:r>
        <w:t>Supported robust scenario analysis and storage-based DER coordination for active distribution networks under severe-event, resilience, and operating-constraint conditions.</w:t>
      </w:r>
    </w:p>
    <w:p w14:paraId="24274CB2" w14:textId="77777777" w:rsidR="004C0F54" w:rsidRDefault="00000000">
      <w:pPr>
        <w:pBdr>
          <w:bottom w:val="single" w:sz="6" w:space="1" w:color="2E5BA8"/>
        </w:pBdr>
        <w:spacing w:before="150" w:after="55"/>
      </w:pPr>
      <w:r>
        <w:rPr>
          <w:b/>
          <w:bCs/>
          <w:color w:val="1B3A6B"/>
          <w:sz w:val="20"/>
          <w:szCs w:val="20"/>
        </w:rPr>
        <w:t>EDUCATION</w:t>
      </w:r>
    </w:p>
    <w:p w14:paraId="12B60249" w14:textId="440ACD58" w:rsidR="004C0F54" w:rsidRDefault="00000000">
      <w:pPr>
        <w:tabs>
          <w:tab w:val="right" w:pos="9026"/>
        </w:tabs>
        <w:spacing w:after="18"/>
      </w:pPr>
      <w:r>
        <w:rPr>
          <w:b/>
          <w:bCs/>
        </w:rPr>
        <w:t xml:space="preserve">Ph.D., Electrical Engineering (Power </w:t>
      </w:r>
      <w:r w:rsidR="00E06BCB">
        <w:rPr>
          <w:b/>
          <w:bCs/>
        </w:rPr>
        <w:t>Systems)</w:t>
      </w:r>
      <w:r w:rsidR="00E06BCB">
        <w:t xml:space="preserve"> — Université</w:t>
      </w:r>
      <w:r>
        <w:t xml:space="preserve"> Laval, Québec City, QC</w:t>
      </w:r>
      <w:r>
        <w:tab/>
      </w:r>
      <w:r>
        <w:rPr>
          <w:i/>
          <w:iCs/>
          <w:color w:val="555555"/>
        </w:rPr>
        <w:t>2020 – 2024</w:t>
      </w:r>
    </w:p>
    <w:p w14:paraId="6B827825" w14:textId="638B2030" w:rsidR="004C0F54" w:rsidRDefault="00000000">
      <w:pPr>
        <w:tabs>
          <w:tab w:val="right" w:pos="9026"/>
        </w:tabs>
        <w:spacing w:after="18"/>
      </w:pPr>
      <w:r>
        <w:rPr>
          <w:b/>
          <w:bCs/>
        </w:rPr>
        <w:t xml:space="preserve">M.Sc., Electrical Engineering (Power </w:t>
      </w:r>
      <w:r w:rsidR="00E06BCB">
        <w:rPr>
          <w:b/>
          <w:bCs/>
        </w:rPr>
        <w:t>Systems)</w:t>
      </w:r>
      <w:r w:rsidR="00E06BCB">
        <w:t xml:space="preserve"> — Semnan</w:t>
      </w:r>
      <w:r>
        <w:t xml:space="preserve"> University, Iran</w:t>
      </w:r>
      <w:r>
        <w:tab/>
      </w:r>
      <w:r>
        <w:rPr>
          <w:i/>
          <w:iCs/>
          <w:color w:val="555555"/>
        </w:rPr>
        <w:t>2016 – 2019</w:t>
      </w:r>
    </w:p>
    <w:p w14:paraId="0748042D" w14:textId="6A27F507" w:rsidR="004C0F54" w:rsidRDefault="00000000">
      <w:pPr>
        <w:tabs>
          <w:tab w:val="right" w:pos="9026"/>
        </w:tabs>
        <w:spacing w:after="18"/>
      </w:pPr>
      <w:r>
        <w:rPr>
          <w:b/>
          <w:bCs/>
        </w:rPr>
        <w:t xml:space="preserve">B.Sc., Electrical Engineering (Power </w:t>
      </w:r>
      <w:r w:rsidR="00E06BCB">
        <w:rPr>
          <w:b/>
          <w:bCs/>
        </w:rPr>
        <w:t>Systems)</w:t>
      </w:r>
      <w:r w:rsidR="00E06BCB">
        <w:t xml:space="preserve"> — Shahrood</w:t>
      </w:r>
      <w:r>
        <w:t xml:space="preserve"> University of Technology, Iran</w:t>
      </w:r>
      <w:r>
        <w:tab/>
      </w:r>
      <w:r>
        <w:rPr>
          <w:i/>
          <w:iCs/>
          <w:color w:val="555555"/>
        </w:rPr>
        <w:t>2011 – 2015</w:t>
      </w:r>
    </w:p>
    <w:p w14:paraId="70D4F901" w14:textId="240246F9" w:rsidR="004C0F54" w:rsidRDefault="00000000">
      <w:pPr>
        <w:pBdr>
          <w:bottom w:val="single" w:sz="6" w:space="1" w:color="2E5BA8"/>
        </w:pBdr>
        <w:spacing w:before="150" w:after="55"/>
      </w:pPr>
      <w:r>
        <w:rPr>
          <w:b/>
          <w:bCs/>
          <w:color w:val="1B3A6B"/>
          <w:sz w:val="20"/>
          <w:szCs w:val="20"/>
        </w:rPr>
        <w:t xml:space="preserve">SELECTED </w:t>
      </w:r>
      <w:r w:rsidR="00E06BCB">
        <w:rPr>
          <w:b/>
          <w:bCs/>
          <w:color w:val="1B3A6B"/>
          <w:sz w:val="20"/>
          <w:szCs w:val="20"/>
        </w:rPr>
        <w:t>PUBLICATIONS (</w:t>
      </w:r>
      <w:r>
        <w:rPr>
          <w:b/>
          <w:bCs/>
          <w:color w:val="1B3A6B"/>
          <w:sz w:val="20"/>
          <w:szCs w:val="20"/>
        </w:rPr>
        <w:t>TOTAL CITATIONS &gt;200, GOOGLE SCHOLAR)</w:t>
      </w:r>
    </w:p>
    <w:p w14:paraId="35618038" w14:textId="77777777" w:rsidR="004C0F54" w:rsidRPr="00280B67" w:rsidRDefault="00000000">
      <w:pPr>
        <w:spacing w:after="26"/>
        <w:rPr>
          <w:color w:val="000000" w:themeColor="text1"/>
          <w:sz w:val="20"/>
          <w:szCs w:val="20"/>
        </w:rPr>
      </w:pPr>
      <w:r w:rsidRPr="00280B67">
        <w:rPr>
          <w:color w:val="000000" w:themeColor="text1"/>
        </w:rPr>
        <w:t xml:space="preserve">[1] M. Esfahani et al., “A Distributed VPP-Integrated Co-Optimization Framework for Energy Scheduling, Frequency Regulation, and Voltage Support Using DRO,” </w:t>
      </w:r>
      <w:r w:rsidRPr="00280B67">
        <w:rPr>
          <w:i/>
          <w:iCs/>
          <w:color w:val="000000" w:themeColor="text1"/>
        </w:rPr>
        <w:t>Applied Energy</w:t>
      </w:r>
      <w:r w:rsidRPr="00280B67">
        <w:rPr>
          <w:color w:val="000000" w:themeColor="text1"/>
        </w:rPr>
        <w:t xml:space="preserve">, vol. 361, 2024.  </w:t>
      </w:r>
      <w:r w:rsidRPr="00280B67">
        <w:rPr>
          <w:b/>
          <w:bCs/>
          <w:color w:val="000000" w:themeColor="text1"/>
        </w:rPr>
        <w:t>72 citations</w:t>
      </w:r>
    </w:p>
    <w:p w14:paraId="7880AAB3" w14:textId="77777777" w:rsidR="004C0F54" w:rsidRPr="00280B67" w:rsidRDefault="00000000">
      <w:pPr>
        <w:spacing w:after="26"/>
        <w:rPr>
          <w:color w:val="000000" w:themeColor="text1"/>
          <w:sz w:val="20"/>
          <w:szCs w:val="20"/>
        </w:rPr>
      </w:pPr>
      <w:r w:rsidRPr="00280B67">
        <w:rPr>
          <w:color w:val="000000" w:themeColor="text1"/>
        </w:rPr>
        <w:t xml:space="preserve">[2] M. Esfahani et al., “Robust Resiliency-Oriented Operation of Active Distribution Networks Considering Windstorms,” </w:t>
      </w:r>
      <w:r w:rsidRPr="00280B67">
        <w:rPr>
          <w:i/>
          <w:iCs/>
          <w:color w:val="000000" w:themeColor="text1"/>
        </w:rPr>
        <w:t>IEEE Trans. Power Systems</w:t>
      </w:r>
      <w:r w:rsidRPr="00280B67">
        <w:rPr>
          <w:color w:val="000000" w:themeColor="text1"/>
        </w:rPr>
        <w:t xml:space="preserve">, vol. 35, pp. 3481–3493, 2020.  </w:t>
      </w:r>
      <w:r w:rsidRPr="00280B67">
        <w:rPr>
          <w:b/>
          <w:bCs/>
          <w:color w:val="000000" w:themeColor="text1"/>
        </w:rPr>
        <w:t>78 citations</w:t>
      </w:r>
    </w:p>
    <w:p w14:paraId="7B21845E" w14:textId="77777777" w:rsidR="004C0F54" w:rsidRPr="00280B67" w:rsidRDefault="00000000">
      <w:pPr>
        <w:spacing w:after="26"/>
        <w:rPr>
          <w:color w:val="000000" w:themeColor="text1"/>
          <w:sz w:val="20"/>
          <w:szCs w:val="20"/>
        </w:rPr>
      </w:pPr>
      <w:r w:rsidRPr="00280B67">
        <w:rPr>
          <w:color w:val="000000" w:themeColor="text1"/>
        </w:rPr>
        <w:t xml:space="preserve">[3] M. Esfahani et al., “Virtual Power Plant Formation Strategy Based on Stackelberg Game,” </w:t>
      </w:r>
      <w:r w:rsidRPr="00280B67">
        <w:rPr>
          <w:i/>
          <w:iCs/>
          <w:color w:val="000000" w:themeColor="text1"/>
        </w:rPr>
        <w:t>Applied Energy</w:t>
      </w:r>
      <w:r w:rsidRPr="00280B67">
        <w:rPr>
          <w:color w:val="000000" w:themeColor="text1"/>
        </w:rPr>
        <w:t xml:space="preserve">, vol. 377, 2025.  </w:t>
      </w:r>
      <w:r w:rsidRPr="00280B67">
        <w:rPr>
          <w:b/>
          <w:bCs/>
          <w:color w:val="000000" w:themeColor="text1"/>
        </w:rPr>
        <w:t>20 citations</w:t>
      </w:r>
    </w:p>
    <w:p w14:paraId="4FE0075A" w14:textId="77777777" w:rsidR="004C0F54" w:rsidRPr="00280B67" w:rsidRDefault="00000000">
      <w:pPr>
        <w:spacing w:after="26"/>
        <w:rPr>
          <w:color w:val="000000" w:themeColor="text1"/>
          <w:sz w:val="20"/>
          <w:szCs w:val="20"/>
        </w:rPr>
      </w:pPr>
      <w:r w:rsidRPr="00280B67">
        <w:rPr>
          <w:color w:val="000000" w:themeColor="text1"/>
        </w:rPr>
        <w:t xml:space="preserve">[4] M. Esfahani et al., “A Stochastic-Robust Aggregation Strategy for VPP Frequency Regulation via Backup Batteries,” </w:t>
      </w:r>
      <w:r w:rsidRPr="00280B67">
        <w:rPr>
          <w:i/>
          <w:iCs/>
          <w:color w:val="000000" w:themeColor="text1"/>
        </w:rPr>
        <w:t>Journal of Energy Storage</w:t>
      </w:r>
      <w:r w:rsidRPr="00280B67">
        <w:rPr>
          <w:color w:val="000000" w:themeColor="text1"/>
        </w:rPr>
        <w:t xml:space="preserve">, vol. 98, 2024.  </w:t>
      </w:r>
      <w:r w:rsidRPr="00280B67">
        <w:rPr>
          <w:b/>
          <w:bCs/>
          <w:color w:val="000000" w:themeColor="text1"/>
        </w:rPr>
        <w:t>14 citations</w:t>
      </w:r>
    </w:p>
    <w:p w14:paraId="6086F59D" w14:textId="77777777" w:rsidR="004C0F54" w:rsidRPr="00280B67" w:rsidRDefault="00000000">
      <w:pPr>
        <w:spacing w:after="26"/>
        <w:rPr>
          <w:color w:val="000000" w:themeColor="text1"/>
          <w:sz w:val="20"/>
          <w:szCs w:val="20"/>
        </w:rPr>
      </w:pPr>
      <w:r w:rsidRPr="00280B67">
        <w:rPr>
          <w:color w:val="000000" w:themeColor="text1"/>
        </w:rPr>
        <w:t xml:space="preserve">[5] M. Esfahani et al., “Utility-Agnostic Virtual Power Plant Operation: Architecture, Challenges, and Essential Features,” </w:t>
      </w:r>
      <w:r w:rsidRPr="00280B67">
        <w:rPr>
          <w:i/>
          <w:iCs/>
          <w:color w:val="000000" w:themeColor="text1"/>
        </w:rPr>
        <w:t>IEEE Power &amp; Energy Magazine</w:t>
      </w:r>
      <w:r w:rsidRPr="00280B67">
        <w:rPr>
          <w:color w:val="000000" w:themeColor="text1"/>
        </w:rPr>
        <w:t>, vol. 23(6), 2025.</w:t>
      </w:r>
    </w:p>
    <w:p w14:paraId="348973C8" w14:textId="77777777" w:rsidR="004C0F54" w:rsidRDefault="00000000">
      <w:pPr>
        <w:pBdr>
          <w:bottom w:val="single" w:sz="6" w:space="1" w:color="2E5BA8"/>
        </w:pBdr>
        <w:spacing w:before="150" w:after="55"/>
      </w:pPr>
      <w:r>
        <w:rPr>
          <w:b/>
          <w:bCs/>
          <w:color w:val="1B3A6B"/>
          <w:sz w:val="20"/>
          <w:szCs w:val="20"/>
        </w:rPr>
        <w:t>LANGUAGES</w:t>
      </w:r>
    </w:p>
    <w:p w14:paraId="5F18D43F" w14:textId="77777777" w:rsidR="00666AE9" w:rsidRDefault="00000000">
      <w:pPr>
        <w:spacing w:after="20"/>
      </w:pPr>
      <w:r>
        <w:t>English (Professional), French (Conversational), Persian (Native)</w:t>
      </w:r>
    </w:p>
    <w:p w14:paraId="182BA124" w14:textId="00C990A2" w:rsidR="004C0F54" w:rsidRDefault="004C0F54" w:rsidP="00666AE9">
      <w:pPr>
        <w:pStyle w:val="ListParagraph"/>
      </w:pPr>
    </w:p>
    <w:sectPr w:rsidR="004C0F54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CC1"/>
    <w:multiLevelType w:val="multilevel"/>
    <w:tmpl w:val="46AA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777"/>
    <w:multiLevelType w:val="hybridMultilevel"/>
    <w:tmpl w:val="FEB2A4DE"/>
    <w:lvl w:ilvl="0" w:tplc="78DAE5EC">
      <w:start w:val="1"/>
      <w:numFmt w:val="bullet"/>
      <w:lvlText w:val="•"/>
      <w:lvlJc w:val="left"/>
      <w:pPr>
        <w:ind w:left="290" w:hanging="180"/>
      </w:pPr>
    </w:lvl>
    <w:lvl w:ilvl="1" w:tplc="0BF0714A">
      <w:numFmt w:val="decimal"/>
      <w:lvlText w:val=""/>
      <w:lvlJc w:val="left"/>
    </w:lvl>
    <w:lvl w:ilvl="2" w:tplc="A8CE979C">
      <w:numFmt w:val="decimal"/>
      <w:lvlText w:val=""/>
      <w:lvlJc w:val="left"/>
    </w:lvl>
    <w:lvl w:ilvl="3" w:tplc="A484FCE8">
      <w:numFmt w:val="decimal"/>
      <w:lvlText w:val=""/>
      <w:lvlJc w:val="left"/>
    </w:lvl>
    <w:lvl w:ilvl="4" w:tplc="D2ACC9AA">
      <w:numFmt w:val="decimal"/>
      <w:lvlText w:val=""/>
      <w:lvlJc w:val="left"/>
    </w:lvl>
    <w:lvl w:ilvl="5" w:tplc="10865842">
      <w:numFmt w:val="decimal"/>
      <w:lvlText w:val=""/>
      <w:lvlJc w:val="left"/>
    </w:lvl>
    <w:lvl w:ilvl="6" w:tplc="4BC0978C">
      <w:numFmt w:val="decimal"/>
      <w:lvlText w:val=""/>
      <w:lvlJc w:val="left"/>
    </w:lvl>
    <w:lvl w:ilvl="7" w:tplc="3A624EB4">
      <w:numFmt w:val="decimal"/>
      <w:lvlText w:val=""/>
      <w:lvlJc w:val="left"/>
    </w:lvl>
    <w:lvl w:ilvl="8" w:tplc="CBCC01C2">
      <w:numFmt w:val="decimal"/>
      <w:lvlText w:val=""/>
      <w:lvlJc w:val="left"/>
    </w:lvl>
  </w:abstractNum>
  <w:abstractNum w:abstractNumId="2" w15:restartNumberingAfterBreak="0">
    <w:nsid w:val="1A0D2C24"/>
    <w:multiLevelType w:val="multilevel"/>
    <w:tmpl w:val="3C9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1140"/>
    <w:multiLevelType w:val="hybridMultilevel"/>
    <w:tmpl w:val="5F966610"/>
    <w:lvl w:ilvl="0" w:tplc="CCDC8ED4">
      <w:start w:val="1"/>
      <w:numFmt w:val="bullet"/>
      <w:lvlText w:val="●"/>
      <w:lvlJc w:val="left"/>
      <w:pPr>
        <w:ind w:left="720" w:hanging="360"/>
      </w:pPr>
    </w:lvl>
    <w:lvl w:ilvl="1" w:tplc="F5D6A938">
      <w:start w:val="1"/>
      <w:numFmt w:val="bullet"/>
      <w:lvlText w:val="○"/>
      <w:lvlJc w:val="left"/>
      <w:pPr>
        <w:ind w:left="1440" w:hanging="360"/>
      </w:pPr>
    </w:lvl>
    <w:lvl w:ilvl="2" w:tplc="62444E6E">
      <w:start w:val="1"/>
      <w:numFmt w:val="bullet"/>
      <w:lvlText w:val="■"/>
      <w:lvlJc w:val="left"/>
      <w:pPr>
        <w:ind w:left="2160" w:hanging="360"/>
      </w:pPr>
    </w:lvl>
    <w:lvl w:ilvl="3" w:tplc="41BE6EB6">
      <w:start w:val="1"/>
      <w:numFmt w:val="bullet"/>
      <w:lvlText w:val="●"/>
      <w:lvlJc w:val="left"/>
      <w:pPr>
        <w:ind w:left="2880" w:hanging="360"/>
      </w:pPr>
    </w:lvl>
    <w:lvl w:ilvl="4" w:tplc="9D4858E0">
      <w:start w:val="1"/>
      <w:numFmt w:val="bullet"/>
      <w:lvlText w:val="○"/>
      <w:lvlJc w:val="left"/>
      <w:pPr>
        <w:ind w:left="3600" w:hanging="360"/>
      </w:pPr>
    </w:lvl>
    <w:lvl w:ilvl="5" w:tplc="F03CB25A">
      <w:start w:val="1"/>
      <w:numFmt w:val="bullet"/>
      <w:lvlText w:val="■"/>
      <w:lvlJc w:val="left"/>
      <w:pPr>
        <w:ind w:left="4320" w:hanging="360"/>
      </w:pPr>
    </w:lvl>
    <w:lvl w:ilvl="6" w:tplc="B5E0D82E">
      <w:start w:val="1"/>
      <w:numFmt w:val="bullet"/>
      <w:lvlText w:val="●"/>
      <w:lvlJc w:val="left"/>
      <w:pPr>
        <w:ind w:left="5040" w:hanging="360"/>
      </w:pPr>
    </w:lvl>
    <w:lvl w:ilvl="7" w:tplc="E1263478">
      <w:start w:val="1"/>
      <w:numFmt w:val="bullet"/>
      <w:lvlText w:val="●"/>
      <w:lvlJc w:val="left"/>
      <w:pPr>
        <w:ind w:left="5760" w:hanging="360"/>
      </w:pPr>
    </w:lvl>
    <w:lvl w:ilvl="8" w:tplc="42147A2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24A4761"/>
    <w:multiLevelType w:val="multilevel"/>
    <w:tmpl w:val="1C9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315DD"/>
    <w:multiLevelType w:val="multilevel"/>
    <w:tmpl w:val="02A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E0131"/>
    <w:multiLevelType w:val="multilevel"/>
    <w:tmpl w:val="CAD6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06216">
    <w:abstractNumId w:val="3"/>
    <w:lvlOverride w:ilvl="0">
      <w:startOverride w:val="1"/>
    </w:lvlOverride>
  </w:num>
  <w:num w:numId="2" w16cid:durableId="1403018646">
    <w:abstractNumId w:val="1"/>
    <w:lvlOverride w:ilvl="0">
      <w:startOverride w:val="1"/>
    </w:lvlOverride>
  </w:num>
  <w:num w:numId="3" w16cid:durableId="1897089079">
    <w:abstractNumId w:val="2"/>
  </w:num>
  <w:num w:numId="4" w16cid:durableId="117142791">
    <w:abstractNumId w:val="6"/>
  </w:num>
  <w:num w:numId="5" w16cid:durableId="287787795">
    <w:abstractNumId w:val="0"/>
  </w:num>
  <w:num w:numId="6" w16cid:durableId="717700638">
    <w:abstractNumId w:val="4"/>
  </w:num>
  <w:num w:numId="7" w16cid:durableId="778600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54"/>
    <w:rsid w:val="00280B67"/>
    <w:rsid w:val="002A5F78"/>
    <w:rsid w:val="003A160F"/>
    <w:rsid w:val="0042728F"/>
    <w:rsid w:val="0045264D"/>
    <w:rsid w:val="004C0F54"/>
    <w:rsid w:val="00666453"/>
    <w:rsid w:val="00666AE9"/>
    <w:rsid w:val="006C0BFD"/>
    <w:rsid w:val="0073179D"/>
    <w:rsid w:val="00A43A24"/>
    <w:rsid w:val="00D33B7D"/>
    <w:rsid w:val="00E0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4882B"/>
  <w15:docId w15:val="{1195A602-3881-4C19-A8D5-43DCDDC0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AE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AE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A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666AE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6AE9"/>
    <w:pPr>
      <w:spacing w:after="200"/>
    </w:pPr>
    <w:rPr>
      <w:i/>
      <w:iCs/>
      <w:color w:val="0E2841" w:themeColor="text2"/>
    </w:rPr>
  </w:style>
  <w:style w:type="character" w:styleId="Emphasis">
    <w:name w:val="Emphasis"/>
    <w:basedOn w:val="DefaultParagraphFont"/>
    <w:uiPriority w:val="20"/>
    <w:qFormat/>
    <w:rsid w:val="00666AE9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AE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A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A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666AE9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AE9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AE9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66AE9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666AE9"/>
  </w:style>
  <w:style w:type="paragraph" w:styleId="Quote">
    <w:name w:val="Quote"/>
    <w:basedOn w:val="Normal"/>
    <w:next w:val="Normal"/>
    <w:link w:val="QuoteChar"/>
    <w:uiPriority w:val="29"/>
    <w:qFormat/>
    <w:rsid w:val="00666AE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AE9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666AE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AE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66AE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6AE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66AE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6AE9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font-claude-response-body">
    <w:name w:val="font-claude-response-body"/>
    <w:basedOn w:val="Normal"/>
    <w:rsid w:val="002A5F7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nimating6ta1u10">
    <w:name w:val="_animating_6ta1u_10"/>
    <w:basedOn w:val="DefaultParagraphFont"/>
    <w:rsid w:val="002A5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1328</Words>
  <Characters>9071</Characters>
  <Application>Microsoft Office Word</Application>
  <DocSecurity>0</DocSecurity>
  <Lines>110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moien esfahani</cp:lastModifiedBy>
  <cp:revision>6</cp:revision>
  <dcterms:created xsi:type="dcterms:W3CDTF">2026-06-17T19:10:00Z</dcterms:created>
  <dcterms:modified xsi:type="dcterms:W3CDTF">2026-06-18T01:13:00Z</dcterms:modified>
</cp:coreProperties>
</file>