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9 — Data Room Index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6"/>
          <w:szCs w:val="26"/>
        </w:rPr>
        <w:t xml:space="preserve">Controlled Data Room Index — Financial Partner Access</w:t>
      </w:r>
    </w:p>
    <w:p>
      <w:pPr>
        <w:spacing w:after="140"/>
        <w:jc w:val="both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Access levels: L1 = open to partner after NDA; L2 = open after LOI; L3 = permissioned on request, logged; L4 = restricted / summary form only. All access is permission-based and logged.</w:t>
      </w:r>
    </w:p>
    <w:p>
      <w:pPr>
        <w:pBdr>
          <w:bottom w:val="single" w:color="B08D4A" w:sz="8" w:space="1"/>
        </w:pBdr>
        <w:spacing w:after="2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760"/>
        <w:gridCol w:w="1200"/>
        <w:gridCol w:w="1100"/>
        <w:gridCol w:w="900"/>
      </w:tblGrid>
      <w:tr>
        <w:trPr>
          <w:tblHeader/>
        </w:trP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 &amp; Key Documents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1. Corporate &amp; ProjectCo — incorporation/designation docs, RC extracts, statutes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Verify the entry vehicle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L1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Legal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[●]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2. Capital increase — resolution, subscription agreement drafts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Document the transaction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Legal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Draft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3. Shareholder documents — SHA draft, cap table, reserved matters schedule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Define rights and protections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Legal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Draft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4. License-related — license status confirmations, renewal evidence (summary)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Confirm protected license position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L3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Atlas Mining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[●]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5. Technical &amp; operational — expansion plan, execution reports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Support diligence on the plan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L3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Project team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[●]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6. Mobile station — specifications, procurement plan, supplier files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Verify the core production unit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L3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Project team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[●]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7. Quarry preparation — four-quarry plan, sequencing, readiness checklists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Verify feed architecture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L3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Project team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[●]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8. Financial model &amp; budget — ProjectCo budget, model assumptions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Support financial review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Finance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[●]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9. Use of funds — schedule, deployment tracking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Track ring-fenced capital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Finance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Approved at closing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10. QA/QC — protocols, assay program, verification reports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Evidence discipline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L3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Technical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[●]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11. ESG &amp; water — monitoring plan, controls, indicators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Environmental discipline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L3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ESG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[●]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12. Technology / HYRION — license or service agreement, scope description (no source IP)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Confirm technology is contracted, not transferred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L4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AKANIL / HYRION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Draft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13. Quarterly reporting folder — issued reports, certifications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Ongoing monitoring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Management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From Q1 post-closing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14. Governance folder — protocols, board materials (ProjectCo only)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Governance visibility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Management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[●]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15. Legal &amp; transaction — NDA, LOI, term sheet, closing checklist</w:t>
            </w:r>
          </w:p>
        </w:tc>
        <w:tc>
          <w:tcPr>
            <w:tcW w:type="dxa" w:w="1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Transaction record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12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Legal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Geological raw data, founder-level strategic materials, and HYRION source technology are not Data Room items for this layer; where relevant they appear in summary or contractual form only (L4).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AKANIL Development &amp; Investment — Capital Architecture Office · v1.0 · June 2026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4A" w:sz="4" w:space="1"/>
      </w:pBdr>
      <w:tabs>
        <w:tab w:val="right" w:pos="9026"/>
      </w:tabs>
    </w:pPr>
    <w:r>
      <w:rPr>
        <w:b/>
        <w:bCs/>
        <w:color w:val="B87333"/>
        <w:sz w:val="16"/>
        <w:szCs w:val="16"/>
      </w:rPr>
      <w:t xml:space="preserve">ATLAS ISSEKSI PROJECTCO</w:t>
    </w:r>
    <w:r>
      <w:rPr>
        <w:color w:val="555555"/>
        <w:sz w:val="16"/>
        <w:szCs w:val="16"/>
      </w:rPr>
      <w:t xml:space="preserve">	DOCUMENT 9 OF 11 · PRIVATE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4A" w:sz="10" w:space="2"/>
      </w:pBdr>
      <w:spacing w:after="200" w:before="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B08D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Isseksi ProjectCo — Data Room Index</dc:title>
  <dc:creator>AKANIL Development &amp; Investment</dc:creator>
  <cp:lastModifiedBy>Un-named</cp:lastModifiedBy>
  <cp:revision>1</cp:revision>
  <dcterms:created xsi:type="dcterms:W3CDTF">2026-06-15T13:47:59.339Z</dcterms:created>
  <dcterms:modified xsi:type="dcterms:W3CDTF">2026-06-15T13:47:59.339Z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