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1 — Executive Offer Note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6"/>
          <w:szCs w:val="26"/>
        </w:rPr>
        <w:t xml:space="preserve">ATLAS Isseksi ProjectCo — Moroccan Financial Partner Entry Note</w:t>
      </w:r>
    </w:p>
    <w:p>
      <w:pPr>
        <w:spacing w:after="140"/>
        <w:jc w:val="both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First official document shared after execution of the Confidentiality Agreement (NDA). Private and confidential.</w:t>
      </w:r>
    </w:p>
    <w:p>
      <w:pPr>
        <w:pBdr>
          <w:bottom w:val="single" w:color="B08D4A" w:sz="8" w:space="1"/>
        </w:pBdr>
        <w:spacing w:after="200" w:before="120"/>
      </w:pPr>
    </w:p>
    <w:p>
      <w:pPr>
        <w:pStyle w:val="Heading2"/>
      </w:pPr>
      <w:r>
        <w:t xml:space="preserve">1. Purpose of the Offer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ATLAS is opening a limited, private financial partner layer in the Isseksi Green Copper Production Platform. A single Moroccan financial partner with industrial understanding is invited to enter Isseksi ProjectCo / SPV through a capital increase of USD 3.6 million against up to 10% of ProjectCo equity. The capital is ring-fenced for the current expansion phase: deployment of the mobile green copper processing station, preparation of the four-quarry operating architecture, working capital, technical execution, and reporting discipline.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not a sale of the mine, not a sale of the mining license, not a sale of founder shares, and not a transfer of AKANIL / HYRION technology. It is new money into a dedicated project company, governed by a shareholders' agreement, with full preservation of sponsor control.</w:t>
      </w:r>
    </w:p>
    <w:p>
      <w:pPr>
        <w:pStyle w:val="Heading2"/>
      </w:pPr>
      <w:r>
        <w:t xml:space="preserve">2. Why ProjectCo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ProjectCo / SPV structure isolates the partner's entry inside a clean, single-purpose vehicle. It gives the partner a transparent and auditable perimeter — one company, one budget, one use-of-funds schedule, one reporting protocol — while keeping the mining license with Atlas Mining, the technology and data architecture with AKANIL / HYRION, and the broader portfolio outside the transaction. The partner's rights and the sponsors' protections are both clearer because the perimeter is closed.</w:t>
      </w:r>
    </w:p>
    <w:p>
      <w:pPr>
        <w:pStyle w:val="Heading2"/>
      </w:pPr>
      <w:r>
        <w:t xml:space="preserve">3. Why a Capital Increase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capital increase ensures that every dirham of the partner's contribution enters the project itself. No founder is cashing out; no existing share changes hands. The structure aligns the partner with the expansion phase it is financing, supports a clean audit trail from subscription to deployment, and avoids the valuation and control complications of secondary share sales at this stage.</w:t>
      </w:r>
    </w:p>
    <w:p>
      <w:pPr>
        <w:pStyle w:val="Heading2"/>
      </w:pPr>
      <w:r>
        <w:t xml:space="preserve">4. Why USD 3.6 Million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USD 3.6 million is the costed requirement of the current expansion phase: the mobile processing station (30%), quarry preparation (15%), equipment and material handling (15%), working capital (15%), technical team and QA/QC (8%), water, ESG and monitoring (7%), digital tracking and Data Room (5%), and legal, governance and transaction costs (5%). The amount is sized to the phase — not to a general fundraising target — and is fully allocated in an approved Use of Funds schedule before closing.</w:t>
      </w:r>
    </w:p>
    <w:p>
      <w:pPr>
        <w:pStyle w:val="Heading2"/>
      </w:pPr>
      <w:r>
        <w:t xml:space="preserve">5. Why Up to 10%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10% ceiling is deliberate. It brings disciplined expansion liquidity and an institutional first financial layer while preserving 90% sponsor ownership, protecting strategic flexibility for later strategic financing rounds, and avoiding premature entry of controlling industrial or offtake investors. At USD 3.6 million for 10%, the implied post-money structuring reference is USD 36.0 million (pre-money USD 32.4 million), to be treated as a negotiation reference rather than an audited valuation.</w:t>
      </w:r>
    </w:p>
    <w:p>
      <w:pPr>
        <w:pStyle w:val="Heading2"/>
      </w:pPr>
      <w:r>
        <w:t xml:space="preserve">6. Why Three Staged Tranches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Payments of USD 1.2 million each are released at signing, after Gate 1, and after Gate 2. Staging protects both sides: the partner pays against demonstrated execution and reporting, and ProjectCo receives capital matched to its deployment calendar. Equity is recognized progressively against capital actually paid (3.33% / 3.33% / 3.34%), so the cap table always reflects funded reality.</w:t>
      </w:r>
    </w:p>
    <w:p>
      <w:pPr>
        <w:pStyle w:val="Heading2"/>
      </w:pPr>
      <w:r>
        <w:t xml:space="preserve">7. What the Capital Finances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Mobile green copper processing station — modular leaching, cementation and water-recovery unit (USD 1.08M).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Preparation of the four-quarry operating architecture (USD 540K).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Equipment and material handling — loading, hauling, crushing support (USD 540K).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Working capital — labor, consumables, energy, logistics, continuity (USD 540K).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Technical team and QA/QC — sampling, assays, production verification (USD 288K).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Water, ESG and monitoring controls (USD 252K).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Digital tracking, HYRION reporting layer and controlled Data Room (USD 180K).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Legal, governance and transaction costs (USD 180K).</w:t>
      </w:r>
    </w:p>
    <w:p>
      <w:pPr>
        <w:pStyle w:val="Heading2"/>
      </w:pPr>
      <w:r>
        <w:t xml:space="preserve">8. What the Partner Receives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Up to 10% of ProjectCo equity after full payment, preserved according to the shareholders' agreement.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Staged entry through three transparent payments with defined release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Quarterly review rights every three months across financial, technical, operational, ESG and risk 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Budget visibility and audit rights limited to ProjectCo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Reserved-matter protections against material deviations and uncontrolled dilution.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Priority participation right in future financing rounds (non-exclusive).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Controlled, permission-based access to the investor Data Room.</w:t>
      </w:r>
    </w:p>
    <w:p>
      <w:pPr>
        <w:pStyle w:val="Heading2"/>
      </w:pPr>
      <w:r>
        <w:t xml:space="preserve">9. What Remains Protected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Atlas Mining's license position — not transferred, not pledged to the partner.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AKANIL / HYRION technology and data architecture — licensed or contracted to ProjectCo, never transferred.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Geological, technical and strategic data — controlled access only, through the Data Room protocol.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Founder / sponsor shares — no sale; the partner's capital enters ProjectCo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Operational control — remains entirely with the sponsors and project operators.</w:t>
      </w:r>
    </w:p>
    <w:p>
      <w:pPr>
        <w:pStyle w:val="Heading2"/>
      </w:pPr>
      <w:r>
        <w:t xml:space="preserve">10. Next Steps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Following the NDA: opening of the limited Data Room; execution of a non-binding LOI; focused due diligence; agreement of the term sheet; preparation of ProjectCo documentation (capital increase resolution, subscription agreement, shareholders' agreement, use-of-funds and reporting protocols); and closing of Tranche 1.</w:t>
      </w:r>
    </w:p>
    <w:p>
      <w:pPr>
        <w:spacing w:after="100"/>
      </w:pPr>
    </w:p>
    <w:p>
      <w:pPr>
        <w:pStyle w:val="Heading3"/>
      </w:pPr>
      <w:r>
        <w:t xml:space="preserve">Transaction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Closed Architecture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Transaction type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Capital Increase into Isseksi ProjectCo / SPV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Investor type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Moroccan financial partner with industrial understanding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Total contribution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3.6M — new money into ProjectCo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Maximum investor stake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 to 10% after full subscription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Sponsor retained stake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90% after full subscription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Payment structure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Three staged tranches of USD 1.2M each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Equity recognition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Progressive: 3.33% / 3.33% / 3.34% against paid capital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Quarterly review every 3 months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Future rounds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Priority participation right (non-exclusive)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License ownership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transferred — remains with Atlas Mining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Technology ownership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transferred — AKANIL / HYRION licensed or contracted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Controlled, permission-based Data Room only</w:t>
            </w:r>
          </w:p>
        </w:tc>
      </w:tr>
      <w:tr>
        <w:tc>
          <w:tcPr>
            <w:tcW w:type="dxa" w:w="33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Operational control</w:t>
            </w:r>
          </w:p>
        </w:tc>
        <w:tc>
          <w:tcPr>
            <w:tcW w:type="dxa" w:w="60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Remains with sponsors / project operators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AKANIL Development &amp; Investment — Capital Architecture Office · v1.0 · June 2026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4A" w:sz="4" w:space="1"/>
      </w:pBdr>
      <w:tabs>
        <w:tab w:val="right" w:pos="9026"/>
      </w:tabs>
    </w:pPr>
    <w:r>
      <w:rPr>
        <w:b/>
        <w:bCs/>
        <w:color w:val="B87333"/>
        <w:sz w:val="16"/>
        <w:szCs w:val="16"/>
      </w:rPr>
      <w:t xml:space="preserve">ATLAS ISSEKSI PROJECTCO</w:t>
    </w:r>
    <w:r>
      <w:rPr>
        <w:color w:val="555555"/>
        <w:sz w:val="16"/>
        <w:szCs w:val="16"/>
      </w:rPr>
      <w:t xml:space="preserve">	DOCUMENT 1 OF 11 · 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4A" w:sz="10" w:space="2"/>
      </w:pBdr>
      <w:spacing w:after="200" w:before="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B08D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Isseksi ProjectCo — Executive Offer Note</dc:title>
  <dc:creator>AKANIL Development &amp; Investment</dc:creator>
  <cp:lastModifiedBy>Un-named</cp:lastModifiedBy>
  <cp:revision>1</cp:revision>
  <dcterms:created xsi:type="dcterms:W3CDTF">2026-06-15T13:47:58.537Z</dcterms:created>
  <dcterms:modified xsi:type="dcterms:W3CDTF">2026-06-15T13:47:58.537Z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