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 7 — ProjectCo Governance Note</w:t>
      </w:r>
    </w:p>
    <w:p>
      <w:pPr>
        <w:spacing w:after="140"/>
        <w:jc w:val="both"/>
      </w:pPr>
      <w:r>
        <w:rPr>
          <w:b/>
          <w:bCs/>
          <w:i w:val="false"/>
          <w:iCs w:val="false"/>
          <w:color w:val="1A1A1A"/>
          <w:sz w:val="26"/>
          <w:szCs w:val="26"/>
        </w:rPr>
        <w:t xml:space="preserve">Isseksi ProjectCo — Governance, Rights, and Protections</w:t>
      </w:r>
    </w:p>
    <w:p>
      <w:pPr>
        <w:pBdr>
          <w:bottom w:val="single" w:color="B08D4A" w:sz="8" w:space="1"/>
        </w:pBdr>
        <w:spacing w:after="200" w:before="120"/>
      </w:pPr>
    </w:p>
    <w:p>
      <w:pPr>
        <w:pStyle w:val="Heading2"/>
      </w:pPr>
      <w:r>
        <w:t xml:space="preserve">Governance Structure</w:t>
      </w:r>
    </w:p>
    <w:p>
      <w:pPr>
        <w:spacing w:after="140"/>
        <w:jc w:val="both"/>
      </w:pPr>
      <w:r>
        <w:rPr>
          <w:b w:val="false"/>
          <w:bCs w:val="false"/>
          <w:i w:val="false"/>
          <w:iCs w:val="false"/>
          <w:color w:val="1A1A1A"/>
          <w:sz w:val="22"/>
          <w:szCs w:val="22"/>
        </w:rPr>
        <w:t xml:space="preserve">ProjectCo is governed by its shareholders' agreement and constitutional documents. The Sponsors (90%) direct strategy and operations; the financial partner (up to 10%) holds structured review, visibility, and protection rights. Day-to-day execution rests with the project operators under the operating agreement with Atlas Mining / the license holder and the technology license or service agreement with AKANIL / HYRION.</w:t>
      </w:r>
    </w:p>
    <w:p>
      <w:pPr>
        <w:pStyle w:val="Heading2"/>
      </w:pPr>
      <w:r>
        <w:t xml:space="preserve">Sponsor Control</w:t>
      </w:r>
    </w:p>
    <w:p>
      <w:pPr>
        <w:spacing w:after="140"/>
        <w:jc w:val="both"/>
      </w:pPr>
      <w:r>
        <w:rPr>
          <w:b w:val="false"/>
          <w:bCs w:val="false"/>
          <w:i w:val="false"/>
          <w:iCs w:val="false"/>
          <w:color w:val="1A1A1A"/>
          <w:sz w:val="22"/>
          <w:szCs w:val="22"/>
        </w:rPr>
        <w:t xml:space="preserve">The Sponsors retain operational control, strategic direction, budget proposal authority, and execution authority over the expansion plan. No control transfers to the financial partner at any level of the structure. The partner holds no control premium for its minority stake.</w:t>
      </w:r>
    </w:p>
    <w:p>
      <w:pPr>
        <w:pStyle w:val="Heading2"/>
      </w:pPr>
      <w:r>
        <w:t xml:space="preserve">Financial Partner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9BC9C" w:sz="1"/>
              <w:left w:val="single" w:color="C9BC9C" w:sz="1"/>
              <w:bottom w:val="single" w:color="C9BC9C" w:sz="1"/>
              <w:right w:val="single" w:color="C9BC9C" w:sz="1"/>
            </w:tcBorders>
            <w:shd w:fill="B08D4A" w:val="clear"/>
            <w:tcMar>
              <w:top w:type="dxa" w:w="70"/>
              <w:left w:type="dxa" w:w="110"/>
              <w:bottom w:type="dxa" w:w="70"/>
              <w:right w:type="dxa" w:w="110"/>
            </w:tcMar>
            <w:vAlign w:val="center"/>
          </w:tcPr>
          <w:p>
            <w:r>
              <w:rPr>
                <w:b/>
                <w:bCs/>
                <w:color w:val="FFFFFF"/>
                <w:sz w:val="19"/>
                <w:szCs w:val="19"/>
              </w:rPr>
              <w:t xml:space="preserve">Governance Area</w:t>
            </w:r>
          </w:p>
        </w:tc>
        <w:tc>
          <w:tcPr>
            <w:tcW w:type="dxa" w:w="5860"/>
            <w:tcBorders>
              <w:top w:val="single" w:color="C9BC9C" w:sz="1"/>
              <w:left w:val="single" w:color="C9BC9C" w:sz="1"/>
              <w:bottom w:val="single" w:color="C9BC9C" w:sz="1"/>
              <w:right w:val="single" w:color="C9BC9C" w:sz="1"/>
            </w:tcBorders>
            <w:shd w:fill="B08D4A" w:val="clear"/>
            <w:tcMar>
              <w:top w:type="dxa" w:w="70"/>
              <w:left w:type="dxa" w:w="110"/>
              <w:bottom w:type="dxa" w:w="70"/>
              <w:right w:type="dxa" w:w="110"/>
            </w:tcMar>
            <w:vAlign w:val="center"/>
          </w:tcPr>
          <w:p>
            <w:r>
              <w:rPr>
                <w:b/>
                <w:bCs/>
                <w:color w:val="FFFFFF"/>
                <w:sz w:val="19"/>
                <w:szCs w:val="19"/>
              </w:rPr>
              <w:t xml:space="preserve">Investor Right</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Board presence</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Observer seat or limited board seat, subject to negotiation</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Quarterly review</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Yes — every 3 months, full structured agenda</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Budget visibility</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Yes — limited to ProjectCo</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Audit right</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Yes — limited to ProjectCo accounts</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Reserved matters</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Yes — for material deviations only</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Operational control</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No</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License control</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No</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Technology ownership</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No</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Data access</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Controlled, permission-based Data Room only</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Future financing</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Priority participation right (non-exclusive)</w:t>
            </w:r>
          </w:p>
        </w:tc>
      </w:tr>
      <w:tr>
        <w:tc>
          <w:tcPr>
            <w:tcW w:type="dxa" w:w="3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Related-party transactions</w:t>
            </w:r>
          </w:p>
        </w:tc>
        <w:tc>
          <w:tcPr>
            <w:tcW w:type="dxa" w:w="5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Reviewable if material</w:t>
            </w:r>
          </w:p>
        </w:tc>
      </w:tr>
    </w:tbl>
    <w:p>
      <w:pPr>
        <w:pStyle w:val="Heading2"/>
      </w:pPr>
      <w:r>
        <w:t xml:space="preserve">Reserved Matters</w:t>
      </w:r>
    </w:p>
    <w:p>
      <w:pPr>
        <w:spacing w:after="140"/>
        <w:jc w:val="both"/>
      </w:pPr>
      <w:r>
        <w:rPr>
          <w:b w:val="false"/>
          <w:bCs w:val="false"/>
          <w:i w:val="false"/>
          <w:iCs w:val="false"/>
          <w:color w:val="1A1A1A"/>
          <w:sz w:val="22"/>
          <w:szCs w:val="22"/>
        </w:rPr>
        <w:t xml:space="preserve">The following matters require investor notification or approval, depending on final negotiation. They protect the partner against material deviation; they do not create a blocking right over ordinary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9BC9C" w:sz="1"/>
              <w:left w:val="single" w:color="C9BC9C" w:sz="1"/>
              <w:bottom w:val="single" w:color="C9BC9C" w:sz="1"/>
              <w:right w:val="single" w:color="C9BC9C" w:sz="1"/>
            </w:tcBorders>
            <w:shd w:fill="B08D4A" w:val="clear"/>
            <w:tcMar>
              <w:top w:type="dxa" w:w="70"/>
              <w:left w:type="dxa" w:w="110"/>
              <w:bottom w:type="dxa" w:w="70"/>
              <w:right w:type="dxa" w:w="110"/>
            </w:tcMar>
            <w:vAlign w:val="center"/>
          </w:tcPr>
          <w:p>
            <w:r>
              <w:rPr>
                <w:b/>
                <w:bCs/>
                <w:color w:val="FFFFFF"/>
                <w:sz w:val="19"/>
                <w:szCs w:val="19"/>
              </w:rPr>
              <w:t xml:space="preserve">#</w:t>
            </w:r>
          </w:p>
        </w:tc>
        <w:tc>
          <w:tcPr>
            <w:tcW w:type="dxa" w:w="8560"/>
            <w:tcBorders>
              <w:top w:val="single" w:color="C9BC9C" w:sz="1"/>
              <w:left w:val="single" w:color="C9BC9C" w:sz="1"/>
              <w:bottom w:val="single" w:color="C9BC9C" w:sz="1"/>
              <w:right w:val="single" w:color="C9BC9C" w:sz="1"/>
            </w:tcBorders>
            <w:shd w:fill="B08D4A" w:val="clear"/>
            <w:tcMar>
              <w:top w:type="dxa" w:w="70"/>
              <w:left w:type="dxa" w:w="110"/>
              <w:bottom w:type="dxa" w:w="70"/>
              <w:right w:type="dxa" w:w="110"/>
            </w:tcMar>
            <w:vAlign w:val="center"/>
          </w:tcPr>
          <w:p>
            <w:r>
              <w:rPr>
                <w:b/>
                <w:bCs/>
                <w:color w:val="FFFFFF"/>
                <w:sz w:val="19"/>
                <w:szCs w:val="19"/>
              </w:rPr>
              <w:t xml:space="preserve">Reserved Matter</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Change of ProjectCo purpose</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2</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Use of funds outside the approved expansion budget</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3</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New debt above an agreed threshold</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4</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Sale or pledge of core ProjectCo assets</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5</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Material change to the mobile station strategy</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6</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Issuance of new equity affecting investor dilution</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7</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Material related-party transactions</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8</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Exclusive offtake agreement affecting ProjectCo economics</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9</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Transfer of operating rights or material contractual rights</w:t>
            </w:r>
          </w:p>
        </w:tc>
      </w:tr>
      <w:tr>
        <w:tc>
          <w:tcPr>
            <w:tcW w:type="dxa" w:w="8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10</w:t>
            </w:r>
          </w:p>
        </w:tc>
        <w:tc>
          <w:tcPr>
            <w:tcW w:type="dxa" w:w="85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Change to ProjectCo governance structure</w:t>
            </w:r>
          </w:p>
        </w:tc>
      </w:tr>
    </w:tbl>
    <w:p>
      <w:pPr>
        <w:pStyle w:val="Heading2"/>
      </w:pPr>
      <w:r>
        <w:t xml:space="preserve">Budget Approval and Reporting Framework</w:t>
      </w:r>
    </w:p>
    <w:p>
      <w:pPr>
        <w:spacing w:after="140"/>
        <w:jc w:val="both"/>
      </w:pPr>
      <w:r>
        <w:rPr>
          <w:b w:val="false"/>
          <w:bCs w:val="false"/>
          <w:i w:val="false"/>
          <w:iCs w:val="false"/>
          <w:color w:val="1A1A1A"/>
          <w:sz w:val="22"/>
          <w:szCs w:val="22"/>
        </w:rPr>
        <w:t xml:space="preserve">ProjectCo operates under an annual budget aligned to the Use of Funds schedule. Material deviations trigger reserved-matter treatment. Reporting follows the quarterly protocol (Document 8), with management certification on each report.</w:t>
      </w:r>
    </w:p>
    <w:p>
      <w:pPr>
        <w:pStyle w:val="Heading2"/>
      </w:pPr>
      <w:r>
        <w:t xml:space="preserve">Audit Visibility and Data Room</w:t>
      </w:r>
    </w:p>
    <w:p>
      <w:pPr>
        <w:spacing w:after="140"/>
        <w:jc w:val="both"/>
      </w:pPr>
      <w:r>
        <w:rPr>
          <w:b w:val="false"/>
          <w:bCs w:val="false"/>
          <w:i w:val="false"/>
          <w:iCs w:val="false"/>
          <w:color w:val="1A1A1A"/>
          <w:sz w:val="22"/>
          <w:szCs w:val="22"/>
        </w:rPr>
        <w:t xml:space="preserve">The partner's audit rights are limited to ProjectCo accounts. All technical, geological, and strategic information is accessed exclusively through the controlled Data Room, with permission-based, logged access under the Data Room protocol. No unrestricted geological, technical, or strategic data access is granted.</w:t>
      </w:r>
    </w:p>
    <w:p>
      <w:pPr>
        <w:pStyle w:val="Heading2"/>
      </w:pPr>
      <w:r>
        <w:t xml:space="preserve">Protection of License, Technology, and Confidential Data</w:t>
      </w:r>
    </w:p>
    <w:p>
      <w:pPr>
        <w:pStyle w:val="ListParagraph"/>
        <w:numPr>
          <w:ilvl w:val="0"/>
          <w:numId w:val="2"/>
        </w:numPr>
        <w:spacing w:after="80"/>
      </w:pPr>
      <w:r>
        <w:rPr>
          <w:b w:val="false"/>
          <w:bCs w:val="false"/>
          <w:sz w:val="22"/>
          <w:szCs w:val="22"/>
        </w:rPr>
        <w:t xml:space="preserve">Atlas Mining's license position is protected: not transferred, not pledged, not controlled by the partner.</w:t>
      </w:r>
    </w:p>
    <w:p>
      <w:pPr>
        <w:pStyle w:val="ListParagraph"/>
        <w:numPr>
          <w:ilvl w:val="0"/>
          <w:numId w:val="2"/>
        </w:numPr>
        <w:spacing w:after="80"/>
      </w:pPr>
      <w:r>
        <w:rPr>
          <w:b w:val="false"/>
          <w:bCs w:val="false"/>
          <w:sz w:val="22"/>
          <w:szCs w:val="22"/>
        </w:rPr>
        <w:t xml:space="preserve">AKANIL / HYRION technology and data architecture remain with their owners, made available to ProjectCo by license or service agreement only — never transferred.</w:t>
      </w:r>
    </w:p>
    <w:p>
      <w:pPr>
        <w:pStyle w:val="ListParagraph"/>
        <w:numPr>
          <w:ilvl w:val="0"/>
          <w:numId w:val="2"/>
        </w:numPr>
        <w:spacing w:after="80"/>
      </w:pPr>
      <w:r>
        <w:rPr>
          <w:b w:val="false"/>
          <w:bCs w:val="false"/>
          <w:sz w:val="22"/>
          <w:szCs w:val="22"/>
        </w:rPr>
        <w:t xml:space="preserve">Confidential data is governed by the NDA and Data Room protocol; access is permissioned and logged.</w:t>
      </w:r>
    </w:p>
    <w:p>
      <w:pPr>
        <w:pStyle w:val="ListParagraph"/>
        <w:numPr>
          <w:ilvl w:val="0"/>
          <w:numId w:val="2"/>
        </w:numPr>
        <w:spacing w:after="80"/>
      </w:pPr>
      <w:r>
        <w:rPr>
          <w:b w:val="false"/>
          <w:bCs w:val="false"/>
          <w:sz w:val="22"/>
          <w:szCs w:val="22"/>
        </w:rPr>
        <w:t xml:space="preserve">No transfer of protected assets, and no operational control by the partner, arises from any provision of the governance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AKANIL Development &amp; Investment — Capital Architecture Office · v1.0 · June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4A" w:sz="4" w:space="1"/>
      </w:pBdr>
      <w:tabs>
        <w:tab w:val="right" w:pos="9026"/>
      </w:tabs>
    </w:pPr>
    <w:r>
      <w:rPr>
        <w:b/>
        <w:bCs/>
        <w:color w:val="B87333"/>
        <w:sz w:val="16"/>
        <w:szCs w:val="16"/>
      </w:rPr>
      <w:t xml:space="preserve">ATLAS ISSEKSI PROJECTCO</w:t>
    </w:r>
    <w:r>
      <w:rPr>
        <w:color w:val="555555"/>
        <w:sz w:val="16"/>
        <w:szCs w:val="16"/>
      </w:rPr>
      <w:t xml:space="preserve">	DOCUMENT 7 OF 11 · 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4A" w:sz="10" w:space="2"/>
      </w:pBdr>
      <w:spacing w:after="200" w:before="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B08D4A"/>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Isseksi ProjectCo — ProjectCo Governance Note</dc:title>
  <dc:creator>AKANIL Development &amp; Investment</dc:creator>
  <cp:lastModifiedBy>Un-named</cp:lastModifiedBy>
  <cp:revision>1</cp:revision>
  <dcterms:created xsi:type="dcterms:W3CDTF">2026-06-15T13:47:59.207Z</dcterms:created>
  <dcterms:modified xsi:type="dcterms:W3CDTF">2026-06-15T13:47:59.207Z</dcterms:modified>
</cp:coreProperties>
</file>

<file path=docProps/custom.xml><?xml version="1.0" encoding="utf-8"?>
<Properties xmlns="http://schemas.openxmlformats.org/officeDocument/2006/custom-properties" xmlns:vt="http://schemas.openxmlformats.org/officeDocument/2006/docPropsVTypes"/>
</file>