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11 — Investor Q&amp;A Sheet</w:t>
      </w:r>
    </w:p>
    <w:p>
      <w:pPr>
        <w:spacing w:after="140"/>
        <w:jc w:val="both"/>
      </w:pPr>
      <w:r>
        <w:rPr>
          <w:b/>
          <w:bCs/>
          <w:i w:val="false"/>
          <w:iCs w:val="false"/>
          <w:color w:val="1A1A1A"/>
          <w:sz w:val="26"/>
          <w:szCs w:val="26"/>
        </w:rPr>
        <w:t xml:space="preserve">Meeting Q&amp;A — Isseksi ProjectCo Financial Partner Entry</w:t>
      </w:r>
    </w:p>
    <w:p>
      <w:pPr>
        <w:pBdr>
          <w:bottom w:val="single" w:color="B08D4A" w:sz="8" w:space="1"/>
        </w:pBdr>
        <w:spacing w:after="200" w:before="120"/>
      </w:pPr>
    </w:p>
    <w:p>
      <w:pPr>
        <w:pStyle w:val="Heading3"/>
      </w:pPr>
      <w:r>
        <w:t xml:space="preserve">1. Why are you opening 10%?</w:t>
      </w:r>
    </w:p>
    <w:p>
      <w:pPr>
        <w:spacing w:after="140"/>
        <w:jc w:val="both"/>
      </w:pPr>
      <w:r>
        <w:rPr>
          <w:b w:val="false"/>
          <w:bCs w:val="false"/>
          <w:i w:val="false"/>
          <w:iCs w:val="false"/>
          <w:color w:val="1A1A1A"/>
          <w:sz w:val="22"/>
          <w:szCs w:val="22"/>
        </w:rPr>
        <w:t xml:space="preserve">Because the current expansion phase needs USD 3.6M of disciplined liquidity, and 10% is the largest financial layer we can open while preserving 90% sponsor ownership, strategic flexibility for later rounds, and freedom from premature industrial or offtake control. The ceiling is a design decision, not a fundraising limit.</w:t>
      </w:r>
    </w:p>
    <w:p>
      <w:pPr>
        <w:pStyle w:val="Heading3"/>
      </w:pPr>
      <w:r>
        <w:t xml:space="preserve">2. Why ProjectCo?</w:t>
      </w:r>
    </w:p>
    <w:p>
      <w:pPr>
        <w:spacing w:after="140"/>
        <w:jc w:val="both"/>
      </w:pPr>
      <w:r>
        <w:rPr>
          <w:b w:val="false"/>
          <w:bCs w:val="false"/>
          <w:i w:val="false"/>
          <w:iCs w:val="false"/>
          <w:color w:val="1A1A1A"/>
          <w:sz w:val="22"/>
          <w:szCs w:val="22"/>
        </w:rPr>
        <w:t xml:space="preserve">ProjectCo gives you a clean, closed perimeter: one company, one budget, one use-of-funds schedule, one reporting protocol, audit rights limited to one set of accounts. Your rights are clearer, and the sponsors' protected assets — license, technology, broader portfolio — sit verifiably outside it.</w:t>
      </w:r>
    </w:p>
    <w:p>
      <w:pPr>
        <w:pStyle w:val="Heading3"/>
      </w:pPr>
      <w:r>
        <w:t xml:space="preserve">3. Why a capital increase instead of a share sale?</w:t>
      </w:r>
    </w:p>
    <w:p>
      <w:pPr>
        <w:spacing w:after="140"/>
        <w:jc w:val="both"/>
      </w:pPr>
      <w:r>
        <w:rPr>
          <w:b w:val="false"/>
          <w:bCs w:val="false"/>
          <w:i w:val="false"/>
          <w:iCs w:val="false"/>
          <w:color w:val="1A1A1A"/>
          <w:sz w:val="22"/>
          <w:szCs w:val="22"/>
        </w:rPr>
        <w:t xml:space="preserve">Because every dollar you contribute goes into the project, not into a founder's pocket. New money funds the mobile station, the quarries, and the working capital you will see in the quarterly reports. No founder is exiting; the sponsors remain fully committed at 90%.</w:t>
      </w:r>
    </w:p>
    <w:p>
      <w:pPr>
        <w:pStyle w:val="Heading3"/>
      </w:pPr>
      <w:r>
        <w:t xml:space="preserve">4. Why USD 3.6M?</w:t>
      </w:r>
    </w:p>
    <w:p>
      <w:pPr>
        <w:spacing w:after="140"/>
        <w:jc w:val="both"/>
      </w:pPr>
      <w:r>
        <w:rPr>
          <w:b w:val="false"/>
          <w:bCs w:val="false"/>
          <w:i w:val="false"/>
          <w:iCs w:val="false"/>
          <w:color w:val="1A1A1A"/>
          <w:sz w:val="22"/>
          <w:szCs w:val="22"/>
        </w:rPr>
        <w:t xml:space="preserve">It is the costed requirement of this specific phase, allocated line by line: 30% mobile station, 15% quarry preparation, 15% equipment, 15% working capital, 8% technical and QA/QC, 7% water and ESG, 5% digital and Data Room, 5% legal and governance. The amount follows the work, not the other way around.</w:t>
      </w:r>
    </w:p>
    <w:p>
      <w:pPr>
        <w:pStyle w:val="Heading3"/>
      </w:pPr>
      <w:r>
        <w:t xml:space="preserve">5. Why three tranches?</w:t>
      </w:r>
    </w:p>
    <w:p>
      <w:pPr>
        <w:spacing w:after="140"/>
        <w:jc w:val="both"/>
      </w:pPr>
      <w:r>
        <w:rPr>
          <w:b w:val="false"/>
          <w:bCs w:val="false"/>
          <w:i w:val="false"/>
          <w:iCs w:val="false"/>
          <w:color w:val="1A1A1A"/>
          <w:sz w:val="22"/>
          <w:szCs w:val="22"/>
        </w:rPr>
        <w:t xml:space="preserve">Discipline in both directions. You pay against demonstrated execution — signed agreements, use-of-funds reports, technical execution reports, readiness reviews — and ProjectCo receives capital matched to its deployment calendar. Neither side carries the other's risk.</w:t>
      </w:r>
    </w:p>
    <w:p>
      <w:pPr>
        <w:pStyle w:val="Heading3"/>
      </w:pPr>
      <w:r>
        <w:t xml:space="preserve">6. What does the capital finance?</w:t>
      </w:r>
    </w:p>
    <w:p>
      <w:pPr>
        <w:spacing w:after="140"/>
        <w:jc w:val="both"/>
      </w:pPr>
      <w:r>
        <w:rPr>
          <w:b w:val="false"/>
          <w:bCs w:val="false"/>
          <w:i w:val="false"/>
          <w:iCs w:val="false"/>
          <w:color w:val="1A1A1A"/>
          <w:sz w:val="22"/>
          <w:szCs w:val="22"/>
        </w:rPr>
        <w:t xml:space="preserve">The current Isseksi expansion phase only: the mobile green copper processing station, preparation of the four-quarry architecture, equipment and material handling, working capital through ramp-up, the QA/QC and technical team, water and ESG controls, the digital tracking and Data Room layer, and the legal framework of the transaction itself. The capital is ring-fenced under an approved schedule.</w:t>
      </w:r>
    </w:p>
    <w:p>
      <w:pPr>
        <w:pStyle w:val="Heading3"/>
      </w:pPr>
      <w:r>
        <w:t xml:space="preserve">7. What exactly does the partner receive?</w:t>
      </w:r>
    </w:p>
    <w:p>
      <w:pPr>
        <w:spacing w:after="140"/>
        <w:jc w:val="both"/>
      </w:pPr>
      <w:r>
        <w:rPr>
          <w:b w:val="false"/>
          <w:bCs w:val="false"/>
          <w:i w:val="false"/>
          <w:iCs w:val="false"/>
          <w:color w:val="1A1A1A"/>
          <w:sz w:val="22"/>
          <w:szCs w:val="22"/>
        </w:rPr>
        <w:t xml:space="preserve">Up to 10% of ProjectCo after full payment, preserved under the shareholders' agreement; staged entry through three payments; quarterly review rights; budget visibility and audit rights inside ProjectCo; reserved-matter protections; controlled Data Room access; protection against uncontrolled dilution; and non-exclusive priority participation in future rounds — the first financial layer before larger strategic rounds.</w:t>
      </w:r>
    </w:p>
    <w:p>
      <w:pPr>
        <w:pStyle w:val="Heading3"/>
      </w:pPr>
      <w:r>
        <w:t xml:space="preserve">8. What does the partner not receive?</w:t>
      </w:r>
    </w:p>
    <w:p>
      <w:pPr>
        <w:spacing w:after="140"/>
        <w:jc w:val="both"/>
      </w:pPr>
      <w:r>
        <w:rPr>
          <w:b w:val="false"/>
          <w:bCs w:val="false"/>
          <w:i w:val="false"/>
          <w:iCs w:val="false"/>
          <w:color w:val="1A1A1A"/>
          <w:sz w:val="22"/>
          <w:szCs w:val="22"/>
        </w:rPr>
        <w:t xml:space="preserve">Ownership of the mining license; ownership of AKANIL / HYRION technology; day-to-day operational control; exclusive offtake rights; unrestricted geological data; control over future financing strategy; free transferability of shares; a blocking right over ordinary execution; or a control premium for a minority stake.</w:t>
      </w:r>
    </w:p>
    <w:p>
      <w:pPr>
        <w:pStyle w:val="Heading3"/>
      </w:pPr>
      <w:r>
        <w:t xml:space="preserve">9. How is the partner's stake protected?</w:t>
      </w:r>
    </w:p>
    <w:p>
      <w:pPr>
        <w:spacing w:after="140"/>
        <w:jc w:val="both"/>
      </w:pPr>
      <w:r>
        <w:rPr>
          <w:b w:val="false"/>
          <w:bCs w:val="false"/>
          <w:i w:val="false"/>
          <w:iCs w:val="false"/>
          <w:color w:val="1A1A1A"/>
          <w:sz w:val="22"/>
          <w:szCs w:val="22"/>
        </w:rPr>
        <w:t xml:space="preserve">Equity is recognized against capital actually paid, recorded in the capital increase documentation, and preserved under the shareholders' agreement once the full USD 3.6M is paid. Reserved matters protect you against dilution outside the agreed framework, against use of funds outside the approved budget, and against material structural changes.</w:t>
      </w:r>
    </w:p>
    <w:p>
      <w:pPr>
        <w:pStyle w:val="Heading3"/>
      </w:pPr>
      <w:r>
        <w:t xml:space="preserve">10. What happens if a tranche is not paid?</w:t>
      </w:r>
    </w:p>
    <w:p>
      <w:pPr>
        <w:spacing w:after="140"/>
        <w:jc w:val="both"/>
      </w:pPr>
      <w:r>
        <w:rPr>
          <w:b w:val="false"/>
          <w:bCs w:val="false"/>
          <w:i w:val="false"/>
          <w:iCs w:val="false"/>
          <w:color w:val="1A1A1A"/>
          <w:sz w:val="22"/>
          <w:szCs w:val="22"/>
        </w:rPr>
        <w:t xml:space="preserve">You retain exactly the equity corresponding to capital actually paid — 3.33% after Tranche 1, 6.66% after Tranche 2 — subject to the shareholders' agreement. Nothing is granted before payment, and nothing paid-for is lost.</w:t>
      </w:r>
    </w:p>
    <w:p>
      <w:pPr>
        <w:pStyle w:val="Heading3"/>
      </w:pPr>
      <w:r>
        <w:t xml:space="preserve">11. What reports will the partner receive?</w:t>
      </w:r>
    </w:p>
    <w:p>
      <w:pPr>
        <w:spacing w:after="140"/>
        <w:jc w:val="both"/>
      </w:pPr>
      <w:r>
        <w:rPr>
          <w:b w:val="false"/>
          <w:bCs w:val="false"/>
          <w:i w:val="false"/>
          <w:iCs w:val="false"/>
          <w:color w:val="1A1A1A"/>
          <w:sz w:val="22"/>
          <w:szCs w:val="22"/>
        </w:rPr>
        <w:t xml:space="preserve">A structured quarterly report every three months: executive summary, capital deployed, budget versus actual, tranche status, mobile station and quarry progress, procurement, QA/QC, working capital, ESG and water monitoring, Data Room updates, risk register, corrective actions, next-quarter plan, and management certification. You may question and request clarification on every line.</w:t>
      </w:r>
    </w:p>
    <w:p>
      <w:pPr>
        <w:pStyle w:val="Heading3"/>
      </w:pPr>
      <w:r>
        <w:t xml:space="preserve">12. What is the implied valuation?</w:t>
      </w:r>
    </w:p>
    <w:p>
      <w:pPr>
        <w:spacing w:after="140"/>
        <w:jc w:val="both"/>
      </w:pPr>
      <w:r>
        <w:rPr>
          <w:b w:val="false"/>
          <w:bCs w:val="false"/>
          <w:i w:val="false"/>
          <w:iCs w:val="false"/>
          <w:color w:val="1A1A1A"/>
          <w:sz w:val="22"/>
          <w:szCs w:val="22"/>
        </w:rPr>
        <w:t xml:space="preserve">USD 3.6M for 10% implies a post-money valuation of USD 36.0M and a pre-money of USD 32.4M. We present this explicitly as a structuring reference for negotiation and documentation, not as an independently audited valuation.</w:t>
      </w:r>
    </w:p>
    <w:p>
      <w:pPr>
        <w:pStyle w:val="Heading3"/>
      </w:pPr>
      <w:r>
        <w:t xml:space="preserve">13. Why is the valuation reasonable?</w:t>
      </w:r>
    </w:p>
    <w:p>
      <w:pPr>
        <w:spacing w:after="140"/>
        <w:jc w:val="both"/>
      </w:pPr>
      <w:r>
        <w:rPr>
          <w:b w:val="false"/>
          <w:bCs w:val="false"/>
          <w:i w:val="false"/>
          <w:iCs w:val="false"/>
          <w:color w:val="1A1A1A"/>
          <w:sz w:val="22"/>
          <w:szCs w:val="22"/>
        </w:rPr>
        <w:t xml:space="preserve">Because of what sits behind the 90%: the protected license position and project access, the four-quarry operating architecture, the mobile green copper production strategy, the AKANIL / HYRION technology and data layer contracted to ProjectCo, the technical files and capital architecture — pre-existing sponsor contributions, not just cash. The reference is open to discussion in diligence, and we welcome your advisors' review of the model and budget in the Data Room.</w:t>
      </w:r>
    </w:p>
    <w:p>
      <w:pPr>
        <w:pStyle w:val="Heading3"/>
      </w:pPr>
      <w:r>
        <w:t xml:space="preserve">14. How are Atlas Mining's rights protected?</w:t>
      </w:r>
    </w:p>
    <w:p>
      <w:pPr>
        <w:spacing w:after="140"/>
        <w:jc w:val="both"/>
      </w:pPr>
      <w:r>
        <w:rPr>
          <w:b w:val="false"/>
          <w:bCs w:val="false"/>
          <w:i w:val="false"/>
          <w:iCs w:val="false"/>
          <w:color w:val="1A1A1A"/>
          <w:sz w:val="22"/>
          <w:szCs w:val="22"/>
        </w:rPr>
        <w:t xml:space="preserve">The license position never enters the transaction. It remains with Atlas Mining / the license holder, is not transferred and not pledged to the partner, and is made available to ProjectCo through an operating agreement. Your equity is in ProjectCo only.</w:t>
      </w:r>
    </w:p>
    <w:p>
      <w:pPr>
        <w:pStyle w:val="Heading3"/>
      </w:pPr>
      <w:r>
        <w:t xml:space="preserve">15. How is AKANIL / HYRION technology protected?</w:t>
      </w:r>
    </w:p>
    <w:p>
      <w:pPr>
        <w:spacing w:after="140"/>
        <w:jc w:val="both"/>
      </w:pPr>
      <w:r>
        <w:rPr>
          <w:b w:val="false"/>
          <w:bCs w:val="false"/>
          <w:i w:val="false"/>
          <w:iCs w:val="false"/>
          <w:color w:val="1A1A1A"/>
          <w:sz w:val="22"/>
          <w:szCs w:val="22"/>
        </w:rPr>
        <w:t xml:space="preserve">The technology, ESG, data, and traceability layer remains the property of AKANIL / HYRION and is provided to ProjectCo under a license or service agreement — never transferred. Data Room access to technology materials is restricted to contractual and summary form.</w:t>
      </w:r>
    </w:p>
    <w:p>
      <w:pPr>
        <w:pStyle w:val="Heading3"/>
      </w:pPr>
      <w:r>
        <w:t xml:space="preserve">16. What is the partner's role in future rounds?</w:t>
      </w:r>
    </w:p>
    <w:p>
      <w:pPr>
        <w:spacing w:after="140"/>
        <w:jc w:val="both"/>
      </w:pPr>
      <w:r>
        <w:rPr>
          <w:b w:val="false"/>
          <w:bCs w:val="false"/>
          <w:i w:val="false"/>
          <w:iCs w:val="false"/>
          <w:color w:val="1A1A1A"/>
          <w:sz w:val="22"/>
          <w:szCs w:val="22"/>
        </w:rPr>
        <w:t xml:space="preserve">You hold a priority participation right in future financing rounds, subject to compliance with your obligations. It is a priority, not an exclusivity and not a veto — the company's future capital strategy remains unconstrained, and your first-layer position is recognized when new capital is raised.</w:t>
      </w:r>
    </w:p>
    <w:p>
      <w:pPr>
        <w:pStyle w:val="Heading3"/>
      </w:pPr>
      <w:r>
        <w:t xml:space="preserve">17. What is the immediate next step after the meeting?</w:t>
      </w:r>
    </w:p>
    <w:p>
      <w:pPr>
        <w:spacing w:after="140"/>
        <w:jc w:val="both"/>
      </w:pPr>
      <w:r>
        <w:rPr>
          <w:b w:val="false"/>
          <w:bCs w:val="false"/>
          <w:i w:val="false"/>
          <w:iCs w:val="false"/>
          <w:color w:val="1A1A1A"/>
          <w:sz w:val="22"/>
          <w:szCs w:val="22"/>
        </w:rPr>
        <w:t xml:space="preserve">Execution of the NDA, followed by access to the limited Data Room and the non-binding LOI. From there: focused due diligence, term sheet, definitive documentation, and closing of Tranche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AKANIL Development &amp; Investment — Capital Architecture Office · v1.0 · June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A" w:sz="4" w:space="1"/>
      </w:pBdr>
      <w:tabs>
        <w:tab w:val="right" w:pos="9026"/>
      </w:tabs>
    </w:pPr>
    <w:r>
      <w:rPr>
        <w:b/>
        <w:bCs/>
        <w:color w:val="B87333"/>
        <w:sz w:val="16"/>
        <w:szCs w:val="16"/>
      </w:rPr>
      <w:t xml:space="preserve">ATLAS ISSEKSI PROJECTCO</w:t>
    </w:r>
    <w:r>
      <w:rPr>
        <w:color w:val="555555"/>
        <w:sz w:val="16"/>
        <w:szCs w:val="16"/>
      </w:rPr>
      <w:t xml:space="preserve">	DOCUMENT 10 OF 11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A" w:sz="10" w:space="2"/>
      </w:pBdr>
      <w:spacing w:after="200" w:before="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4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Isseksi ProjectCo — Investor Q&amp;A Sheet</dc:title>
  <dc:creator>AKANIL Development &amp; Investment</dc:creator>
  <cp:lastModifiedBy>Un-named</cp:lastModifiedBy>
  <cp:revision>1</cp:revision>
  <dcterms:created xsi:type="dcterms:W3CDTF">2026-06-15T13:47:59.414Z</dcterms:created>
  <dcterms:modified xsi:type="dcterms:W3CDTF">2026-06-15T13:47:59.414Z</dcterms:modified>
</cp:coreProperties>
</file>

<file path=docProps/custom.xml><?xml version="1.0" encoding="utf-8"?>
<Properties xmlns="http://schemas.openxmlformats.org/officeDocument/2006/custom-properties" xmlns:vt="http://schemas.openxmlformats.org/officeDocument/2006/docPropsVTypes"/>
</file>