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 4 — Indicative Term Sheet</w:t>
      </w:r>
    </w:p>
    <w:p>
      <w:pPr>
        <w:spacing w:after="140"/>
        <w:jc w:val="both"/>
      </w:pPr>
      <w:r>
        <w:rPr>
          <w:b/>
          <w:bCs/>
          <w:i w:val="false"/>
          <w:iCs w:val="false"/>
          <w:color w:val="1A1A1A"/>
          <w:sz w:val="26"/>
          <w:szCs w:val="26"/>
        </w:rPr>
        <w:t xml:space="preserve">Indicative Term Sheet — Capital Increase into Isseksi ProjectCo</w:t>
      </w:r>
    </w:p>
    <w:p>
      <w:pPr>
        <w:spacing w:after="140"/>
        <w:jc w:val="both"/>
      </w:pPr>
      <w:r>
        <w:rPr>
          <w:b w:val="false"/>
          <w:bCs w:val="false"/>
          <w:i/>
          <w:iCs/>
          <w:color w:val="555555"/>
          <w:sz w:val="22"/>
          <w:szCs w:val="22"/>
        </w:rPr>
        <w:t xml:space="preserve">Indicative and non-binding except as stated; subject to definitive documentation and counsel review.</w:t>
      </w:r>
    </w:p>
    <w:p>
      <w:pPr>
        <w:pBdr>
          <w:bottom w:val="single" w:color="B08D4A" w:sz="8" w:space="1"/>
        </w:pBdr>
        <w:spacing w:after="2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BC9C" w:sz="1"/>
              <w:left w:val="single" w:color="C9BC9C" w:sz="1"/>
              <w:bottom w:val="single" w:color="C9BC9C" w:sz="1"/>
              <w:right w:val="single" w:color="C9BC9C" w:sz="1"/>
            </w:tcBorders>
            <w:shd w:fill="B08D4A" w:val="clear"/>
            <w:tcMar>
              <w:top w:type="dxa" w:w="70"/>
              <w:left w:type="dxa" w:w="110"/>
              <w:bottom w:type="dxa" w:w="70"/>
              <w:right w:type="dxa" w:w="110"/>
            </w:tcMar>
            <w:vAlign w:val="center"/>
          </w:tcPr>
          <w:p>
            <w:r>
              <w:rPr>
                <w:b/>
                <w:bCs/>
                <w:color w:val="FFFFFF"/>
                <w:sz w:val="19"/>
                <w:szCs w:val="19"/>
              </w:rPr>
              <w:t xml:space="preserve">Term</w:t>
            </w:r>
          </w:p>
        </w:tc>
        <w:tc>
          <w:tcPr>
            <w:tcW w:type="dxa" w:w="6860"/>
            <w:tcBorders>
              <w:top w:val="single" w:color="C9BC9C" w:sz="1"/>
              <w:left w:val="single" w:color="C9BC9C" w:sz="1"/>
              <w:bottom w:val="single" w:color="C9BC9C" w:sz="1"/>
              <w:right w:val="single" w:color="C9BC9C" w:sz="1"/>
            </w:tcBorders>
            <w:shd w:fill="B08D4A" w:val="clear"/>
            <w:tcMar>
              <w:top w:type="dxa" w:w="70"/>
              <w:left w:type="dxa" w:w="110"/>
              <w:bottom w:type="dxa" w:w="70"/>
              <w:right w:type="dxa" w:w="110"/>
            </w:tcMar>
            <w:vAlign w:val="center"/>
          </w:tcPr>
          <w:p>
            <w:r>
              <w:rPr>
                <w:b/>
                <w:bCs/>
                <w:color w:val="FFFFFF"/>
                <w:sz w:val="19"/>
                <w:szCs w:val="19"/>
              </w:rPr>
              <w:t xml:space="preserve">Position</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 Transaction name</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Isseksi ProjectCo Expansion Capital Increase — Moroccan Financial Partner Layer</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2. Issuer / ProjectCo</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Isseksi ProjectCo / SPV — dedicated single-purpose vehicle for the Isseksi expansion phase</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3. Investor type</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Single Moroccan financial partner with industrial understanding (private entry; not a public offering)</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4. Instrument</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Newly issued ordinary shares of ProjectCo via capital increase (new money; no founder share sale)</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5. Total investment</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USD 3,600,000 (or agreed MAD equivalent)</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6. Equity stake</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Up to 10% of ProjectCo after full subscription; Sponsors retain 90%</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7. Valuation reference</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Implied post-money USD 36.0M / pre-money USD 32.4M — structuring reference only, not an audited valuation</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8. Payment schedule</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Three tranches of USD 1.2M: signing / first closing; after Gate 1; after Gate 2</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9. Equity recognition</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Progressive against paid capital: 3.33% / +3.33% / +3.34%; unfunded tranches confer no equity</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10. Use of funds</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Ring-fenced for the expansion phase per approved Use of Funds schedule (mobile station 30%; quarry prep 15%; equipment 15%; working capital 15%; technical/QA-QC 8%; water/ESG 7%; digital/Data Room 5%; legal/governance 5%)</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11. Investor rights</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Financial visibility, governance review, protected participation; no operational control</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12. Quarterly monitoring</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Structured review every 3 months: financial, technical, operational, ESG/water, Data Room, risk register, next-quarter plan</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13. Reserved matters</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Notification / approval rights on material deviations only (see Schedule); no blocking right over ordinary execution</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14. Information rights</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Quarterly reports; budget versus actual; tranche status; management certification</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15. Data Room access</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Controlled, permission-based, logged; no unrestricted geological, technical, or strategic data access</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16. Future round priority</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Priority participation right in future rounds; non-exclusive; no veto over capital strategy</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17. Sponsor protections</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No sale of founder shares; capital enters ProjectCo only; no transfer of control; no dilution outside agreed framework</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18. License protection</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Atlas Mining license position protected; no transfer, no pledge to the Investor</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19. Technology protection</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AKANIL / HYRION technology and data architecture licensed or contracted to ProjectCo; never transferred</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20. Conditions precedent</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Executed SHA and subscription agreement; capital increase resolution; ProjectCo bank account; approved Use of Funds and governance protocol; completed confirmatory due diligence</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21. Closing process</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NDA → Data Room → LOI → due diligence → term sheet → definitive documents → Tranche 1 closing → quarterly cycle</w:t>
            </w:r>
          </w:p>
        </w:tc>
      </w:tr>
      <w:tr>
        <w:tc>
          <w:tcPr>
            <w:tcW w:type="dxa" w:w="250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bCs/>
                <w:color w:val="1A1A1A"/>
                <w:sz w:val="19"/>
                <w:szCs w:val="19"/>
              </w:rPr>
              <w:t xml:space="preserve">22. Legal documentation</w:t>
            </w:r>
          </w:p>
        </w:tc>
        <w:tc>
          <w:tcPr>
            <w:tcW w:type="dxa" w:w="6860"/>
            <w:tcBorders>
              <w:top w:val="single" w:color="C9BC9C" w:sz="1"/>
              <w:left w:val="single" w:color="C9BC9C" w:sz="1"/>
              <w:bottom w:val="single" w:color="C9BC9C" w:sz="1"/>
              <w:right w:val="single" w:color="C9BC9C" w:sz="1"/>
            </w:tcBorders>
            <w:shd w:fill="FFFFFF" w:val="clear"/>
            <w:tcMar>
              <w:top w:type="dxa" w:w="70"/>
              <w:left w:type="dxa" w:w="110"/>
              <w:bottom w:type="dxa" w:w="70"/>
              <w:right w:type="dxa" w:w="110"/>
            </w:tcMar>
            <w:vAlign w:val="center"/>
          </w:tcPr>
          <w:p>
            <w:r>
              <w:rPr>
                <w:b w:val="false"/>
                <w:bCs w:val="false"/>
                <w:color w:val="1A1A1A"/>
                <w:sz w:val="19"/>
                <w:szCs w:val="19"/>
              </w:rPr>
              <w:t xml:space="preserve">Incorporation/designation documents; capital increase resolution; subscription agreement; SHA; Use of Funds schedule; payment protocol; reporting protocol; reserved matters schedule; AKANIL/HYRION technology license or service agreement; Atlas Mining operating agreement; NDA; Data Room protocol; future-round priority clause; budget framework</w:t>
            </w:r>
          </w:p>
        </w:tc>
      </w:tr>
    </w:tbl>
    <w:p>
      <w:pPr>
        <w:spacing w:after="140"/>
        <w:jc w:val="both"/>
      </w:pPr>
      <w:r>
        <w:rPr>
          <w:b/>
          <w:bCs/>
          <w:i w:val="false"/>
          <w:iCs w:val="false"/>
          <w:color w:val="1A1A1A"/>
          <w:sz w:val="22"/>
          <w:szCs w:val="22"/>
        </w:rPr>
        <w:t xml:space="preserve">No put option, no forced exit mechanism, and no exit right after any fixed period is created by this term sheet. The Investor's recognized stake is preserved according to the shareholders' agreement after completion of the staged payments.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AKANIL Development &amp; Investment — Capital Architecture Office · v1.0 · June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4A" w:sz="4" w:space="1"/>
      </w:pBdr>
      <w:tabs>
        <w:tab w:val="right" w:pos="9026"/>
      </w:tabs>
    </w:pPr>
    <w:r>
      <w:rPr>
        <w:b/>
        <w:bCs/>
        <w:color w:val="B87333"/>
        <w:sz w:val="16"/>
        <w:szCs w:val="16"/>
      </w:rPr>
      <w:t xml:space="preserve">ATLAS ISSEKSI PROJECTCO</w:t>
    </w:r>
    <w:r>
      <w:rPr>
        <w:color w:val="555555"/>
        <w:sz w:val="16"/>
        <w:szCs w:val="16"/>
      </w:rPr>
      <w:t xml:space="preserve">	DOCUMENT 4 OF 11 · 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4A" w:sz="10" w:space="2"/>
      </w:pBdr>
      <w:spacing w:after="200" w:before="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B08D4A"/>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Isseksi ProjectCo — Indicative Term Sheet</dc:title>
  <dc:creator>AKANIL Development &amp; Investment</dc:creator>
  <cp:lastModifiedBy>Un-named</cp:lastModifiedBy>
  <cp:revision>1</cp:revision>
  <dcterms:created xsi:type="dcterms:W3CDTF">2026-06-15T13:47:58.938Z</dcterms:created>
  <dcterms:modified xsi:type="dcterms:W3CDTF">2026-06-15T13:47:58.938Z</dcterms:modified>
</cp:coreProperties>
</file>

<file path=docProps/custom.xml><?xml version="1.0" encoding="utf-8"?>
<Properties xmlns="http://schemas.openxmlformats.org/officeDocument/2006/custom-properties" xmlns:vt="http://schemas.openxmlformats.org/officeDocument/2006/docPropsVTypes"/>
</file>