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 5 — Use of Funds Schedule</w:t>
      </w:r>
    </w:p>
    <w:p>
      <w:pPr>
        <w:spacing w:after="140"/>
        <w:jc w:val="both"/>
      </w:pPr>
      <w:r>
        <w:rPr>
          <w:b/>
          <w:bCs/>
          <w:i w:val="false"/>
          <w:iCs w:val="false"/>
          <w:color w:val="1A1A1A"/>
          <w:sz w:val="26"/>
          <w:szCs w:val="26"/>
        </w:rPr>
        <w:t xml:space="preserve">Use of Funds Schedule — USD 3.6M Expansion Capital</w:t>
      </w:r>
    </w:p>
    <w:p>
      <w:pPr>
        <w:spacing w:after="140"/>
        <w:jc w:val="both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Internal working structure to be finalized through an approved ProjectCo budget before closing. All amounts ring-fenced for the current Isseksi expansion phase.</w:t>
      </w:r>
    </w:p>
    <w:p>
      <w:pPr>
        <w:pBdr>
          <w:bottom w:val="single" w:color="B08D4A" w:sz="8" w:space="1"/>
        </w:pBdr>
        <w:spacing w:after="200" w:before="120"/>
      </w:pPr>
    </w:p>
    <w:p>
      <w:pPr>
        <w:pStyle w:val="Heading2"/>
      </w:pPr>
      <w:r>
        <w:t xml:space="preserve">Summary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1800"/>
        <w:gridCol w:w="2800"/>
      </w:tblGrid>
      <w:tr>
        <w:trPr>
          <w:tblHeader/>
        </w:trPr>
        <w:tc>
          <w:tcPr>
            <w:tcW w:type="dxa" w:w="4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Allocation</w:t>
            </w:r>
          </w:p>
        </w:tc>
        <w:tc>
          <w:tcPr>
            <w:tcW w:type="dxa" w:w="2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Amount (USD)</w:t>
            </w:r>
          </w:p>
        </w:tc>
      </w:tr>
      <w:tr>
        <w:tc>
          <w:tcPr>
            <w:tcW w:type="dxa" w:w="4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Mobile processing station</w:t>
            </w:r>
          </w:p>
        </w:tc>
        <w:tc>
          <w:tcPr>
            <w:tcW w:type="dxa" w:w="1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30%</w:t>
            </w:r>
          </w:p>
        </w:tc>
        <w:tc>
          <w:tcPr>
            <w:tcW w:type="dxa" w:w="2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1,080,000</w:t>
            </w:r>
          </w:p>
        </w:tc>
      </w:tr>
      <w:tr>
        <w:tc>
          <w:tcPr>
            <w:tcW w:type="dxa" w:w="4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Quarry preparation</w:t>
            </w:r>
          </w:p>
        </w:tc>
        <w:tc>
          <w:tcPr>
            <w:tcW w:type="dxa" w:w="1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15%</w:t>
            </w:r>
          </w:p>
        </w:tc>
        <w:tc>
          <w:tcPr>
            <w:tcW w:type="dxa" w:w="2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540,000</w:t>
            </w:r>
          </w:p>
        </w:tc>
      </w:tr>
      <w:tr>
        <w:tc>
          <w:tcPr>
            <w:tcW w:type="dxa" w:w="4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Equipment and material handling</w:t>
            </w:r>
          </w:p>
        </w:tc>
        <w:tc>
          <w:tcPr>
            <w:tcW w:type="dxa" w:w="1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15%</w:t>
            </w:r>
          </w:p>
        </w:tc>
        <w:tc>
          <w:tcPr>
            <w:tcW w:type="dxa" w:w="2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540,000</w:t>
            </w:r>
          </w:p>
        </w:tc>
      </w:tr>
      <w:tr>
        <w:tc>
          <w:tcPr>
            <w:tcW w:type="dxa" w:w="4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Working capital</w:t>
            </w:r>
          </w:p>
        </w:tc>
        <w:tc>
          <w:tcPr>
            <w:tcW w:type="dxa" w:w="1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15%</w:t>
            </w:r>
          </w:p>
        </w:tc>
        <w:tc>
          <w:tcPr>
            <w:tcW w:type="dxa" w:w="2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540,000</w:t>
            </w:r>
          </w:p>
        </w:tc>
      </w:tr>
      <w:tr>
        <w:tc>
          <w:tcPr>
            <w:tcW w:type="dxa" w:w="4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Technical team and QA/QC</w:t>
            </w:r>
          </w:p>
        </w:tc>
        <w:tc>
          <w:tcPr>
            <w:tcW w:type="dxa" w:w="1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8%</w:t>
            </w:r>
          </w:p>
        </w:tc>
        <w:tc>
          <w:tcPr>
            <w:tcW w:type="dxa" w:w="2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288,000</w:t>
            </w:r>
          </w:p>
        </w:tc>
      </w:tr>
      <w:tr>
        <w:tc>
          <w:tcPr>
            <w:tcW w:type="dxa" w:w="4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Water, ESG, and monitoring</w:t>
            </w:r>
          </w:p>
        </w:tc>
        <w:tc>
          <w:tcPr>
            <w:tcW w:type="dxa" w:w="1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7%</w:t>
            </w:r>
          </w:p>
        </w:tc>
        <w:tc>
          <w:tcPr>
            <w:tcW w:type="dxa" w:w="2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252,000</w:t>
            </w:r>
          </w:p>
        </w:tc>
      </w:tr>
      <w:tr>
        <w:tc>
          <w:tcPr>
            <w:tcW w:type="dxa" w:w="4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Digital tracking and Data Room</w:t>
            </w:r>
          </w:p>
        </w:tc>
        <w:tc>
          <w:tcPr>
            <w:tcW w:type="dxa" w:w="1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5%</w:t>
            </w:r>
          </w:p>
        </w:tc>
        <w:tc>
          <w:tcPr>
            <w:tcW w:type="dxa" w:w="2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180,000</w:t>
            </w:r>
          </w:p>
        </w:tc>
      </w:tr>
      <w:tr>
        <w:tc>
          <w:tcPr>
            <w:tcW w:type="dxa" w:w="4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Legal, governance, and transaction costs</w:t>
            </w:r>
          </w:p>
        </w:tc>
        <w:tc>
          <w:tcPr>
            <w:tcW w:type="dxa" w:w="1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5%</w:t>
            </w:r>
          </w:p>
        </w:tc>
        <w:tc>
          <w:tcPr>
            <w:tcW w:type="dxa" w:w="2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180,000</w:t>
            </w:r>
          </w:p>
        </w:tc>
      </w:tr>
      <w:tr>
        <w:tc>
          <w:tcPr>
            <w:tcW w:type="dxa" w:w="47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100%</w:t>
            </w:r>
          </w:p>
        </w:tc>
        <w:tc>
          <w:tcPr>
            <w:tcW w:type="dxa" w:w="28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3,600,000</w:t>
            </w:r>
          </w:p>
        </w:tc>
      </w:tr>
    </w:tbl>
    <w:p>
      <w:pPr>
        <w:pStyle w:val="Heading3"/>
      </w:pPr>
      <w:r>
        <w:t xml:space="preserve">Mobile Processing Station — USD 1,080,000 (30%)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Purpose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Procurement, fabrication, delivery, and commissioning of the core mobile production unit: modular processing, leaching, cementation, and water recovery.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Timing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Initiated in Tranche 1 (planning, specification, procurement launch); main spend in Tranche 2; commissioning in Tranche 3.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Related tranche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Tranches 1–3 (core Tranche 2)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Commissioned mobile green copper processing station ready for ramp-up.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Monitoring metric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Procurement milestones met; factory/site acceptance steps completed; commissioning report issued.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Risk if unfunded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 production capability — the expansion phase cannot generate output; all other spending is stranded.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Quarry Preparation — USD 540,000 (15%)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Purpose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Preparation of the four-quarry operating architecture: access, benches, sequencing, site readiness for staged feed to the mobile station.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Timing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Tranche 2, following the approved procurement and quarry plan.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Related tranche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Tranche 2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Four-quarry architecture prepared and sequenced for feed.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Monitoring metric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Quarry readiness checklist completed per plan; sequencing plan approved.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Risk if unfunded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Feed bottleneck — the mobile station is starved of material and ramp-up slips.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Equipment and Material Handling — USD 540,000 (15%)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Purpose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Loading, hauling, crushing support, and handling tools required to move material from quarry faces to the processing station.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Timing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Tranches 2–3, aligned to quarry readiness.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Related tranche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Tranches 2–3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Complete handling chain from quarry to station.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Monitoring metric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Equipment delivered, inspected, and operational; utilization tracked quarterly.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Risk if unfunded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Material movement gap — capacity mismatch between quarries and station.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Working Capital — USD 540,000 (15%)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Purpose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Labor, consumables, energy, logistics, and operating continuity through commissioning and ramp-up.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Timing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Drawn progressively across Tranches 1–3, weighted to Tranche 3.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Related tranche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Tranches 1–3 (core Tranche 3)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Uninterrupted operations through ramp-up.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Monitoring metric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Cash runway and burn versus budget reported quarterly.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Risk if unfunded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Operational stoppage risk — execution interrupted by liquidity gaps.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Technical Team and QA/QC — USD 288,000 (8%)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Purpose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Sampling, assays, quality control, and production verification — the evidence discipline of the platform.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Timing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Tranches 1–3, continuous.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Related tranche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Tranches 1–3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Verified production quality and a defensible technical record.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Monitoring metric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QA/QC reports per protocol; assay program executed; nonconformities tracked.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Risk if unfunded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Loss of evidence discipline — output and claims cannot be verified; credibility for later rounds is damaged.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Water, ESG, and Monitoring — USD 252,000 (7%)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Purpose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Water discipline, environmental controls, and ESG monitoring around the processing and quarry operations.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Timing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Tranches 1–3, continuous from site activity start.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Related tranche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Tranches 1–3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Compliant water and environmental controls with monitored performance.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Monitoring metric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Water-use and monitoring indicators reported quarterly; corrective actions closed.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Risk if unfunded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Regulatory, environmental, and reputational exposure; ESG positioning undermined.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Digital Tracking and Data Room — USD 180,000 (5%)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Purpose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HYRION-supported reporting layer, production data capture, and the controlled investor Data Room with logged, permission-based access.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Timing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Tranche 1 setup; maintained through Tranches 2–3.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Related tranche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Tranche 1 (setup)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Operational reporting and Data Room infrastructure supporting quarterly reviews.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Monitoring metric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 Room current and logged; quarterly reports produced on time.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Risk if unfunded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Reporting discipline fails — investor confidence and governance quality degrade.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Legal, Governance, and Transaction Costs — USD 180,000 (5%)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Purpose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ProjectCo setup or designation, shareholders' agreement, subscription documents, protocols, and governance controls.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Timing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Tranche 1, at and around first closing.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Related tranche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Tranche 1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Complete, executed legal and governance framework.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Monitoring metric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Document checklist completed; governance protocol in force.</w:t>
            </w:r>
          </w:p>
        </w:tc>
      </w:tr>
      <w:tr>
        <w:tc>
          <w:tcPr>
            <w:tcW w:type="dxa" w:w="210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Risk if unfunded</w:t>
            </w:r>
          </w:p>
        </w:tc>
        <w:tc>
          <w:tcPr>
            <w:tcW w:type="dxa" w:w="726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Structural risk — the transaction lacks an enforceable, reviewable framework.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AKANIL Development &amp; Investment — Capital Architecture Office · v1.0 · June 2026</w:t>
    </w:r>
    <w:r>
      <w:rPr>
        <w:color w:val="555555"/>
        <w:sz w:val="16"/>
        <w:szCs w:val="16"/>
      </w:rPr>
      <w:t xml:space="preserve">	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4A" w:sz="4" w:space="1"/>
      </w:pBdr>
      <w:tabs>
        <w:tab w:val="right" w:pos="9026"/>
      </w:tabs>
    </w:pPr>
    <w:r>
      <w:rPr>
        <w:b/>
        <w:bCs/>
        <w:color w:val="B87333"/>
        <w:sz w:val="16"/>
        <w:szCs w:val="16"/>
      </w:rPr>
      <w:t xml:space="preserve">ATLAS ISSEKSI PROJECTCO</w:t>
    </w:r>
    <w:r>
      <w:rPr>
        <w:color w:val="555555"/>
        <w:sz w:val="16"/>
        <w:szCs w:val="16"/>
      </w:rPr>
      <w:t xml:space="preserve">	DOCUMENT 5 OF 11 · PRIVATE &amp;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4A" w:sz="10" w:space="2"/>
      </w:pBdr>
      <w:spacing w:after="200" w:before="6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B08D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Isseksi ProjectCo — Use of Funds Schedule</dc:title>
  <dc:creator>AKANIL Development &amp; Investment</dc:creator>
  <cp:lastModifiedBy>Un-named</cp:lastModifiedBy>
  <cp:revision>1</cp:revision>
  <dcterms:created xsi:type="dcterms:W3CDTF">2026-06-15T13:47:58.989Z</dcterms:created>
  <dcterms:modified xsi:type="dcterms:W3CDTF">2026-06-15T13:47:58.989Z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