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2.</w:t>
        <w:tab/>
        <w:t>Methodology</w:t>
      </w:r>
    </w:p>
    <w:p>
      <w:pPr>
        <w:pStyle w:val="2"/>
      </w:pPr>
      <w:r>
        <w:t>2.1</w:t>
        <w:tab/>
        <w:t>Problem definition of fault prognosis</w:t>
      </w:r>
    </w:p>
    <w:p>
      <w:pPr/>
      <w:r>
        <w:t>In a continuously operated chemical process, a safety-critical variable stays within a narrow band under normal control, yet once an incipient fault develops it drifts and, eventually, crosses an alarm limit. Fault prognosis is the task of forecasting this trajectory early enough to expose the impending crossing before the alarm actually fires, thereby securing an intervention window while the abnormal situation is still developing.</w:t>
      </w:r>
    </w:p>
    <w:p>
      <w:pPr/>
      <w:r>
        <w:t>We formalise the setting as follows. The process exposes C measured variables sampled at a fixed interval Δt. At a decision time t, the model observes a look-back window of length L,</w:t>
      </w:r>
    </w:p>
    <w:p>
      <w:pPr>
        <w:tabs>
          <w:tab w:pos="4110" w:val="center"/>
          <w:tab w:pos="8220" w:val="right"/>
        </w:tabs>
      </w:pPr>
      <w:r>
        <w:tab/>
      </w:r>
      <m:oMath>
        <m:sSub>
          <m:e>
            <m:r>
              <m:t>X</m:t>
            </m:r>
          </m:e>
          <m:sub>
            <m:r>
              <m:t>t</m:t>
            </m:r>
          </m:sub>
        </m:sSub>
        <m:r>
          <m:rPr>
            <m:sty m:val="p"/>
          </m:rPr>
          <m:t>=</m:t>
        </m:r>
        <m:r>
          <m:rPr>
            <m:sty m:val="p"/>
          </m:rPr>
          <m:t>[</m:t>
        </m:r>
        <m:r>
          <m:t> </m:t>
        </m:r>
        <m:sSub>
          <m:e>
            <m:r>
              <m:t>x</m:t>
            </m:r>
          </m:e>
          <m:sub>
            <m:r>
              <m:t>t</m:t>
            </m:r>
            <m:r>
              <m:rPr>
                <m:sty m:val="p"/>
              </m:rPr>
              <m:t>−</m:t>
            </m:r>
            <m:r>
              <m:t>L</m:t>
            </m:r>
            <m:r>
              <m:rPr>
                <m:sty m:val="p"/>
              </m:rPr>
              <m:t>+</m:t>
            </m:r>
            <m:r>
              <m:t>1</m:t>
            </m:r>
          </m:sub>
        </m:sSub>
        <m:r>
          <m:rPr>
            <m:sty m:val="p"/>
          </m:rPr>
          <m:t>,</m:t>
        </m:r>
        <m:r>
          <m:t> </m:t>
        </m:r>
        <m:r>
          <m:rPr>
            <m:sty m:val="p"/>
          </m:rPr>
          <m:t>…</m:t>
        </m:r>
        <m:r>
          <m:rPr>
            <m:sty m:val="p"/>
          </m:rPr>
          <m:t>,</m:t>
        </m:r>
        <m:r>
          <m:t> </m:t>
        </m:r>
        <m:sSub>
          <m:e>
            <m:r>
              <m:t>x</m:t>
            </m:r>
          </m:e>
          <m:sub>
            <m:r>
              <m:t>t</m:t>
            </m:r>
          </m:sub>
        </m:sSub>
        <m:r>
          <m:t> </m:t>
        </m:r>
        <m:r>
          <m:rPr>
            <m:sty m:val="p"/>
          </m:rPr>
          <m:t>]</m:t>
        </m:r>
        <m:r>
          <m:rPr>
            <m:sty m:val="p"/>
          </m:rPr>
          <m:t>∈</m:t>
        </m:r>
        <m:sSup>
          <m:e>
            <m:r>
              <m:rPr>
                <m:scr m:val="double-struck"/>
                <m:sty m:val="p"/>
              </m:rPr>
              <m:t>R</m:t>
            </m:r>
          </m:e>
          <m:sup>
            <m:r>
              <m:t>L</m:t>
            </m:r>
            <m:r>
              <m:rPr>
                <m:sty m:val="p"/>
              </m:rPr>
              <m:t>×</m:t>
            </m:r>
            <m:r>
              <m:t>C</m:t>
            </m:r>
          </m:sup>
        </m:sSup>
      </m:oMath>
      <w:r>
        <w:tab/>
        <w:t xml:space="preserve">(1)</w:t>
      </w:r>
    </w:p>
    <w:p>
      <w:pPr/>
      <w:r>
        <w:t>in which one channel is the target variable y whose future is operationally critical and the remaining channels act as informative covariates. A forecasting operator F_θ maps this window to an H-step forecast of the target,</w:t>
      </w:r>
    </w:p>
    <w:p>
      <w:pPr>
        <w:tabs>
          <w:tab w:pos="4110" w:val="center"/>
          <w:tab w:pos="8220" w:val="right"/>
        </w:tabs>
      </w:pPr>
      <w:r>
        <w:tab/>
      </w:r>
      <m:oMath>
        <m:sSub>
          <m:e>
            <m:acc>
              <m:accPr>
                <m:chr m:val="̂"/>
              </m:accPr>
              <m:e>
                <m:r>
                  <m:t>y</m:t>
                </m:r>
              </m:e>
            </m:acc>
          </m:e>
          <m:sub>
            <m:r>
              <m:t>t</m:t>
            </m:r>
            <m:r>
              <m:rPr>
                <m:sty m:val="p"/>
              </m:rPr>
              <m:t>+</m:t>
            </m:r>
            <m:r>
              <m:t>1</m:t>
            </m:r>
            <m:r>
              <m:rPr>
                <m:sty m:val="p"/>
              </m:rPr>
              <m:t>:</m:t>
            </m:r>
            <m:r>
              <m:t>t</m:t>
            </m:r>
            <m:r>
              <m:rPr>
                <m:sty m:val="p"/>
              </m:rPr>
              <m:t>+</m:t>
            </m:r>
            <m:r>
              <m:t>H</m:t>
            </m:r>
          </m:sub>
        </m:sSub>
        <m:r>
          <m:rPr>
            <m:sty m:val="p"/>
          </m:rPr>
          <m:t>=</m:t>
        </m:r>
        <m:sSub>
          <m:e>
            <m:r>
              <m:t>F</m:t>
            </m:r>
          </m:e>
          <m:sub>
            <m:r>
              <m:t>θ</m:t>
            </m:r>
          </m:sub>
        </m:sSub>
        <m:r>
          <m:rPr>
            <m:sty m:val="p"/>
          </m:rPr>
          <m:t>(</m:t>
        </m:r>
        <m:sSub>
          <m:e>
            <m:r>
              <m:t>X</m:t>
            </m:r>
          </m:e>
          <m:sub>
            <m:r>
              <m:t>t</m:t>
            </m:r>
          </m:sub>
        </m:sSub>
        <m:r>
          <m:rPr>
            <m:sty m:val="p"/>
          </m:rPr>
          <m:t>)</m:t>
        </m:r>
        <m:r>
          <m:rPr>
            <m:sty m:val="p"/>
          </m:rPr>
          <m:t>∈</m:t>
        </m:r>
        <m:sSup>
          <m:e>
            <m:r>
              <m:rPr>
                <m:scr m:val="double-struck"/>
                <m:sty m:val="p"/>
              </m:rPr>
              <m:t>R</m:t>
            </m:r>
          </m:e>
          <m:sup>
            <m:r>
              <m:t>H</m:t>
            </m:r>
          </m:sup>
        </m:sSup>
      </m:oMath>
      <w:r>
        <w:tab/>
        <w:t xml:space="preserve">(2)</w:t>
      </w:r>
    </w:p>
    <w:p>
      <w:pPr/>
      <w:r>
        <w:t>so that the model commits to a full future trajectory rather than a single next value, which is precisely what a prognostic decision requires. Crucially, prognosis is defined against the same limits the plant uses. From healthy operating data 𝒟_h, collected before any fault onset, a three-sigma band is fixed,</w:t>
      </w:r>
    </w:p>
    <w:p>
      <w:pPr>
        <w:tabs>
          <w:tab w:pos="4110" w:val="center"/>
          <w:tab w:pos="8220" w:val="right"/>
        </w:tabs>
      </w:pPr>
      <w:r>
        <w:tab/>
      </w:r>
      <m:oMath>
        <m:r>
          <m:t>ℓ</m:t>
        </m:r>
        <m:r>
          <m:rPr>
            <m:sty m:val="p"/>
          </m:rPr>
          <m:t>=</m:t>
        </m:r>
        <m:sSub>
          <m:e>
            <m:r>
              <m:t>μ</m:t>
            </m:r>
          </m:e>
          <m:sub>
            <m:r>
              <m:t>y</m:t>
            </m:r>
          </m:sub>
        </m:sSub>
        <m:r>
          <m:rPr>
            <m:sty m:val="p"/>
          </m:rPr>
          <m:t>−</m:t>
        </m:r>
        <m:r>
          <m:t>3</m:t>
        </m:r>
        <m:sSub>
          <m:e>
            <m:r>
              <m:t>σ</m:t>
            </m:r>
          </m:e>
          <m:sub>
            <m:r>
              <m:t>y</m:t>
            </m:r>
          </m:sub>
        </m:sSub>
        <m:r>
          <m:rPr>
            <m:sty m:val="p"/>
          </m:rPr>
          <m:t>,</m:t>
        </m:r>
        <m:r>
          <m:t>  </m:t>
        </m:r>
        <m:r>
          <m:t>u</m:t>
        </m:r>
        <m:r>
          <m:rPr>
            <m:sty m:val="p"/>
          </m:rPr>
          <m:t>=</m:t>
        </m:r>
        <m:sSub>
          <m:e>
            <m:r>
              <m:t>μ</m:t>
            </m:r>
          </m:e>
          <m:sub>
            <m:r>
              <m:t>y</m:t>
            </m:r>
          </m:sub>
        </m:sSub>
        <m:r>
          <m:rPr>
            <m:sty m:val="p"/>
          </m:rPr>
          <m:t>+</m:t>
        </m:r>
        <m:r>
          <m:t>3</m:t>
        </m:r>
        <m:sSub>
          <m:e>
            <m:r>
              <m:t>σ</m:t>
            </m:r>
          </m:e>
          <m:sub>
            <m:r>
              <m:t>y</m:t>
            </m:r>
          </m:sub>
        </m:sSub>
      </m:oMath>
      <w:r>
        <w:tab/>
        <w:t xml:space="preserve">(3)</w:t>
      </w:r>
    </w:p>
    <w:p>
      <w:pPr/>
      <w:r>
        <w:t>with μ_y and σ_y the healthy mean and standard deviation of the target. The alarm geometry is therefore anchored to normal operation and is never informed by the test fault, which keeps the evaluation honest. Prognosis then asks whether the forecast trajectory will leave this band ahead of the true crossing: an anticipated alarm is meaningful only when it is issued before the actual onset and still points to that onset, and its value grows with the lead time it provides. Because the deployed decision operates on the fused forecast produced by the proposed model, we defer its precise formalisation, together with the lead-time and false-alarm definitions, to the prognosis decision rule of Section 3.3.</w:t>
      </w:r>
    </w:p>
    <w:p>
      <w:pPr/>
      <w:r>
        <w:t>Two properties make this problem distinctive, and together they define its few-shot character. First, industrial process data are overwhelmingly dominated by normal operation, whereas the observations that capture an incipient fault are exceedingly scarce. We model this scarcity explicitly as a few-shot constraint, in which only a subset 𝒮 ⊂ 𝒟_fault of size ⌊ρN⌋, with ρ ≪ 1, of fault-region windows is available for adaptation, whereas the full normal record remains available for scaling and for setting the limits in Eq. (3). Second, the prognostic value of a forecast is concentrated near the alarm limits rather than spread evenly across the operating range, so a model tuned only for average accuracy on the dominant normal data is not necessarily the one that best anticipates a crossing.</w:t>
      </w:r>
    </w:p>
    <w:p>
      <w:pPr>
        <w:pStyle w:val="2"/>
      </w:pPr>
      <w:r>
        <w:t>2.2</w:t>
        <w:tab/>
        <w:t>Attention mechanisms</w:t>
      </w:r>
    </w:p>
    <w:p>
      <w:pPr/>
      <w:r>
        <w:t>Chemical process signals carry temporal dependence that can span an entire window: the earliest signature of a slow drift may sit many steps before the present. Models with fixed-lag or convolutional receptive fields must commit in advance to which lags matter, and they weight distant informative steps only weakly. Self-attention removes this constraint by letting every step attend to every other step through a data-dependent weighting. Given queries, keys and values projected from the input, scaled dot-product attention computes</w:t>
      </w:r>
    </w:p>
    <w:p>
      <w:pPr>
        <w:tabs>
          <w:tab w:pos="4110" w:val="center"/>
          <w:tab w:pos="8220" w:val="right"/>
        </w:tabs>
      </w:pPr>
      <w:r>
        <w:tab/>
      </w: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r>
          <m:rPr>
            <m:sty m:val="p"/>
          </m:rPr>
          <m:t>,</m:t>
        </m:r>
        <m:r>
          <m:t>K</m:t>
        </m:r>
        <m:r>
          <m:rPr>
            <m:sty m:val="p"/>
          </m:rPr>
          <m:t>,</m:t>
        </m:r>
        <m:r>
          <m:t>V</m:t>
        </m:r>
        <m:r>
          <m:rPr>
            <m:sty m:val="p"/>
          </m:rPr>
          <m:t>)</m:t>
        </m:r>
        <m:r>
          <m:rPr>
            <m:sty m:val="p"/>
          </m:rPr>
          <m:t>=</m:t>
        </m:r>
        <m:r>
          <m:rPr>
            <m:sty m:val="p"/>
          </m:rPr>
          <m:t>s</m:t>
        </m:r>
        <m:r>
          <m:rPr>
            <m:sty m:val="p"/>
          </m:rPr>
          <m:t>o</m:t>
        </m:r>
        <m:r>
          <m:rPr>
            <m:sty m:val="p"/>
          </m:rPr>
          <m:t>f</m:t>
        </m:r>
        <m:r>
          <m:rPr>
            <m:sty m:val="p"/>
          </m:rPr>
          <m:t>t</m:t>
        </m:r>
        <m:r>
          <m:rPr>
            <m:sty m:val="p"/>
          </m:rPr>
          <m:t>m</m:t>
        </m:r>
        <m:r>
          <m:rPr>
            <m:sty m:val="p"/>
          </m:rPr>
          <m:t>a</m:t>
        </m:r>
        <m:r>
          <m:rPr>
            <m:sty m:val="p"/>
          </m:rPr>
          <m:t>x</m:t>
        </m:r>
        <m:r>
          <m:t>​</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w:r>
        <w:tab/>
        <w:t xml:space="preserve">(4)</w:t>
      </w:r>
    </w:p>
    <w:p>
      <w:pPr/>
      <w:r>
        <w:t>where the softmax assigns each step a learned weight over all others, so the receptive field is the whole sequence and is inferred from the data rather than fixed by architecture. To represent several dependency patterns at once, the operation is replicated across h parallel heads and recombined,</w:t>
      </w:r>
    </w:p>
    <w:p>
      <w:pPr>
        <w:tabs>
          <w:tab w:pos="4110" w:val="center"/>
          <w:tab w:pos="8220" w:val="right"/>
        </w:tabs>
      </w:pPr>
      <w:r>
        <w:tab/>
      </w:r>
      <m:oMath>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r>
          <m:rPr>
            <m:sty m:val="p"/>
          </m:rPr>
          <m:t>(</m:t>
        </m:r>
        <m:r>
          <m:t>Q</m:t>
        </m:r>
        <m:r>
          <m:rPr>
            <m:sty m:val="p"/>
          </m:rPr>
          <m:t>,</m:t>
        </m:r>
        <m:r>
          <m:t>K</m:t>
        </m:r>
        <m:r>
          <m:rPr>
            <m:sty m:val="p"/>
          </m:rPr>
          <m:t>,</m:t>
        </m:r>
        <m:r>
          <m:t>V</m:t>
        </m:r>
        <m:r>
          <m:rPr>
            <m:sty m:val="p"/>
          </m:rPr>
          <m:t>)</m:t>
        </m:r>
        <m:r>
          <m:rPr>
            <m:sty m:val="p"/>
          </m:rPr>
          <m:t>=</m:t>
        </m:r>
        <m:r>
          <m:rPr>
            <m:sty m:val="p"/>
          </m:rPr>
          <m:t>[</m:t>
        </m:r>
        <m:r>
          <m:t> </m:t>
        </m:r>
        <m:sSub>
          <m:e>
            <m:r>
              <m:rPr>
                <m:sty m:val="p"/>
              </m:rPr>
              <m:t>h</m:t>
            </m:r>
            <m:r>
              <m:rPr>
                <m:sty m:val="p"/>
              </m:rPr>
              <m:t>e</m:t>
            </m:r>
            <m:r>
              <m:rPr>
                <m:sty m:val="p"/>
              </m:rPr>
              <m:t>a</m:t>
            </m:r>
            <m:r>
              <m:rPr>
                <m:sty m:val="p"/>
              </m:rPr>
              <m:t>d</m:t>
            </m:r>
          </m:e>
          <m:sub>
            <m:r>
              <m:t>1</m:t>
            </m:r>
          </m:sub>
        </m:sSub>
        <m:r>
          <m:rPr>
            <m:sty m:val="p"/>
          </m:rPr>
          <m:t>,</m:t>
        </m:r>
        <m:r>
          <m:rPr>
            <m:sty m:val="p"/>
          </m:rPr>
          <m:t>…</m:t>
        </m:r>
        <m:r>
          <m:rPr>
            <m:sty m:val="p"/>
          </m:rPr>
          <m:t>,</m:t>
        </m:r>
        <m:sSub>
          <m:e>
            <m:r>
              <m:rPr>
                <m:sty m:val="p"/>
              </m:rPr>
              <m:t>h</m:t>
            </m:r>
            <m:r>
              <m:rPr>
                <m:sty m:val="p"/>
              </m:rPr>
              <m:t>e</m:t>
            </m:r>
            <m:r>
              <m:rPr>
                <m:sty m:val="p"/>
              </m:rPr>
              <m:t>a</m:t>
            </m:r>
            <m:r>
              <m:rPr>
                <m:sty m:val="p"/>
              </m:rPr>
              <m:t>d</m:t>
            </m:r>
          </m:e>
          <m:sub>
            <m:r>
              <m:t>h</m:t>
            </m:r>
          </m:sub>
        </m:sSub>
        <m:r>
          <m:t> </m:t>
        </m:r>
        <m:r>
          <m:rPr>
            <m:sty m:val="p"/>
          </m:rPr>
          <m:t>]</m:t>
        </m:r>
        <m:r>
          <m:t> </m:t>
        </m:r>
        <m:sSub>
          <m:e>
            <m:r>
              <m:t>W</m:t>
            </m:r>
          </m:e>
          <m:sub>
            <m:r>
              <m:t>O</m:t>
            </m:r>
          </m:sub>
        </m:sSub>
        <m:r>
          <m:rPr>
            <m:sty m:val="p"/>
          </m:rPr>
          <m:t>,</m:t>
        </m:r>
        <m:r>
          <m:t> </m:t>
        </m:r>
        <m:sSub>
          <m:e>
            <m:r>
              <m:rPr>
                <m:sty m:val="p"/>
              </m:rPr>
              <m:t>h</m:t>
            </m:r>
            <m:r>
              <m:rPr>
                <m:sty m:val="p"/>
              </m:rPr>
              <m:t>e</m:t>
            </m:r>
            <m:r>
              <m:rPr>
                <m:sty m:val="p"/>
              </m:rPr>
              <m:t>a</m:t>
            </m:r>
            <m:r>
              <m:rPr>
                <m:sty m:val="p"/>
              </m:rPr>
              <m:t>d</m:t>
            </m:r>
          </m:e>
          <m:sub>
            <m:r>
              <m:t>i</m:t>
            </m:r>
          </m:sub>
        </m:sSub>
        <m:r>
          <m:rPr>
            <m:sty m:val="p"/>
          </m:rPr>
          <m:t>=</m:t>
        </m:r>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sSubSup>
          <m:e>
            <m:r>
              <m:t>W</m:t>
            </m:r>
          </m:e>
          <m:sub>
            <m:r>
              <m:t>i</m:t>
            </m:r>
          </m:sub>
          <m:sup>
            <m:r>
              <m:t>Q</m:t>
            </m:r>
          </m:sup>
        </m:sSubSup>
        <m:r>
          <m:rPr>
            <m:sty m:val="p"/>
          </m:rPr>
          <m:t>,</m:t>
        </m:r>
        <m:r>
          <m:t>K</m:t>
        </m:r>
        <m:sSubSup>
          <m:e>
            <m:r>
              <m:t>W</m:t>
            </m:r>
          </m:e>
          <m:sub>
            <m:r>
              <m:t>i</m:t>
            </m:r>
          </m:sub>
          <m:sup>
            <m:r>
              <m:t>K</m:t>
            </m:r>
          </m:sup>
        </m:sSubSup>
        <m:r>
          <m:rPr>
            <m:sty m:val="p"/>
          </m:rPr>
          <m:t>,</m:t>
        </m:r>
        <m:r>
          <m:t>V</m:t>
        </m:r>
        <m:sSubSup>
          <m:e>
            <m:r>
              <m:t>W</m:t>
            </m:r>
          </m:e>
          <m:sub>
            <m:r>
              <m:t>i</m:t>
            </m:r>
          </m:sub>
          <m:sup>
            <m:r>
              <m:t>V</m:t>
            </m:r>
          </m:sup>
        </m:sSubSup>
        <m:r>
          <m:rPr>
            <m:sty m:val="p"/>
          </m:rPr>
          <m:t>)</m:t>
        </m:r>
      </m:oMath>
      <w:r>
        <w:tab/>
        <w:t xml:space="preserve">(5)</w:t>
      </w:r>
    </w:p>
    <w:p>
      <w:pPr/>
      <w:r>
        <w:t>which lets one head track slow, low-frequency drift while another tracks fast transients. This division of labour is exactly what prognosis needs, because the steady regime and the pre-alarm regime are governed by different temporal scales. Notably, the foundation backbone adopted in this work applies attention over patch tokens under a causal mask with explicit cross-covariate coupling, so exogenous variables inform the target token without leaking future information.</w:t>
      </w:r>
    </w:p>
    <w:p>
      <w:pPr>
        <w:pStyle w:val="2"/>
      </w:pPr>
      <w:r>
        <w:t>2.3</w:t>
        <w:tab/>
        <w:t>Time Series Foundation Models</w:t>
      </w:r>
    </w:p>
    <w:p>
      <w:pPr/>
      <w:r>
        <w:t>Training a bespoke forecaster from scratch on a handful of fault windows overfits: the model memorises the few available trajectories and generalises poorly to an unseen crossing. Time Series Foundation Models (TSFMs) offer an alternative. A TSFM is a large Transformer pretrained on a massive, heterogeneous corpus of time series, which endows it with a broad prior over temporal dynamics that transfers with little target data. Concretely, a series is partitioned into non-overlapping patches, and each patch p_i is embedded into a token,</w:t>
      </w:r>
    </w:p>
    <w:p>
      <w:pPr>
        <w:tabs>
          <w:tab w:pos="4110" w:val="center"/>
          <w:tab w:pos="8220" w:val="right"/>
        </w:tabs>
      </w:pPr>
      <w:r>
        <w:tab/>
      </w:r>
      <m:oMath>
        <m:sSub>
          <m:e>
            <m:r>
              <m:t>z</m:t>
            </m:r>
          </m:e>
          <m:sub>
            <m:r>
              <m:t>i</m:t>
            </m:r>
          </m:sub>
        </m:sSub>
        <m:r>
          <m:rPr>
            <m:sty m:val="p"/>
          </m:rPr>
          <m:t>=</m:t>
        </m:r>
        <m:sSub>
          <m:e>
            <m:r>
              <m:t>W</m:t>
            </m:r>
          </m:e>
          <m:sub>
            <m:r>
              <m:t>e</m:t>
            </m:r>
          </m:sub>
        </m:sSub>
        <m:r>
          <m:t> </m:t>
        </m:r>
        <m:sSub>
          <m:e>
            <m:r>
              <m:t>p</m:t>
            </m:r>
          </m:e>
          <m:sub>
            <m:r>
              <m:t>i</m:t>
            </m:r>
          </m:sub>
        </m:sSub>
      </m:oMath>
      <w:r>
        <w:tab/>
        <w:t xml:space="preserve">(6)</w:t>
      </w:r>
    </w:p>
    <w:p>
      <w:pPr/>
      <w:r>
        <w:t>after which the model is pretrained to forecast the next patch autoregressively. This next-token objective produces reusable representations of trend, seasonality and transient structure that a downstream fault-prognosis task can inherit rather than relearn. We adopt Timer-XL as the primary backbone and additionally consider architecturally distinct TSFMs, Time-MoE, a decoder-only mixture-of-experts, and Sundial, a generative flow-matching forecaster. Despite their shared promise, a critical gap remains: no single TSFM is uniformly best, because each carries a structural bias inherited from its pretraining and architecture. This heterogeneity is not a nuisance to be averaged away, but a resource to be exploited, and it motivates a mechanism that routes among backbones and views instead of committing to one. The next section develops that mechanism.</w:t>
      </w:r>
    </w:p>
    <w:p>
      <w:pPr>
        <w:pStyle w:val="1"/>
      </w:pPr>
      <w:r>
        <w:t>3.</w:t>
        <w:tab/>
        <w:t>The proposed method</w:t>
      </w:r>
    </w:p>
    <w:p>
      <w:pPr>
        <w:pStyle w:val="2"/>
      </w:pPr>
      <w:r>
        <w:t>3.1</w:t>
        <w:tab/>
        <w:t>Few-Shot Alignment of TSFMs</w:t>
      </w:r>
    </w:p>
    <w:p>
      <w:pPr/>
      <w:r>
        <w:t>The proposed framework, illustrated in Fig. 1, adapts several pretrained TSFMs to the target fault and then fuses their forecasts through a context-driven gate. This subsection concerns the first stage, in which each backbone is aligned to the target unit. A pretrained TSFM encodes generic dynamics but has never seen the specific unit or the specific fault. Full retraining on scarce fault data would destroy the prior, whereas pure zero-shot inference ignores unit-specific behaviour. We therefore align each backbone by lightweight supervised fine-tuning initialised from its pretrained weights θ₀,</w:t>
      </w:r>
    </w:p>
    <w:p>
      <w:pPr>
        <w:tabs>
          <w:tab w:pos="4110" w:val="center"/>
          <w:tab w:pos="8220" w:val="right"/>
        </w:tabs>
      </w:pPr>
      <w:r>
        <w:tab/>
      </w:r>
      <m:oMath>
        <m:sSup>
          <m:e>
            <m:r>
              <m:t>θ</m:t>
            </m:r>
          </m:e>
          <m:sup>
            <m:r>
              <m:rPr>
                <m:sty m:val="p"/>
              </m:rPr>
              <m:t>*</m:t>
            </m:r>
          </m:sup>
        </m:sSup>
        <m:r>
          <m:rPr>
            <m:sty m:val="p"/>
          </m:rPr>
          <m:t>=</m:t>
        </m:r>
        <m:sSub>
          <m:e>
            <m:r>
              <m:rPr>
                <m:sty m:val="p"/>
              </m:rPr>
              <m:t>arg min</m:t>
            </m:r>
          </m:e>
          <m:sub>
            <m:r>
              <m:t>θ</m:t>
            </m:r>
          </m:sub>
        </m:sSub>
        <m:r>
          <m:t> </m:t>
        </m:r>
        <m:f>
          <m:fPr>
            <m:type m:val="bar"/>
          </m:fPr>
          <m:num>
            <m:r>
              <m:t>1</m:t>
            </m:r>
          </m:num>
          <m:den>
            <m:r>
              <m:rPr>
                <m:sty m:val="p"/>
              </m:rPr>
              <m:t>|</m:t>
            </m:r>
            <m:r>
              <m:rPr>
                <m:scr m:val="script"/>
                <m:sty m:val="p"/>
              </m:rPr>
              <m:t>S</m:t>
            </m:r>
            <m:r>
              <m:rPr>
                <m:sty m:val="p"/>
              </m:rPr>
              <m:t>|</m:t>
            </m:r>
          </m:den>
        </m:f>
        <m:nary>
          <m:naryPr>
            <m:chr m:val="∑"/>
            <m:limLoc m:val="undOvr"/>
            <m:subHide m:val="off"/>
            <m:supHide m:val="on"/>
          </m:naryPr>
          <m:sub>
            <m:sSub>
              <m:e>
                <m:r>
                  <m:t>X</m:t>
                </m:r>
              </m:e>
              <m:sub>
                <m:r>
                  <m:t>t</m:t>
                </m:r>
              </m:sub>
            </m:sSub>
            <m:r>
              <m:rPr>
                <m:sty m:val="p"/>
              </m:rPr>
              <m:t>∈</m:t>
            </m:r>
            <m:r>
              <m:rPr>
                <m:scr m:val="script"/>
                <m:sty m:val="p"/>
              </m:rPr>
              <m:t>S</m:t>
            </m:r>
          </m:sub>
          <m:sup>
            <m:r>
              <m:t>​</m:t>
            </m:r>
          </m:sup>
          <m:e>
            <m:r>
              <m:rPr>
                <m:sty m:val="p"/>
              </m:rPr>
              <m:t>∥</m:t>
            </m:r>
          </m:e>
        </m:nary>
        <m:sSub>
          <m:e>
            <m:r>
              <m:t>F</m:t>
            </m:r>
          </m:e>
          <m:sub>
            <m:r>
              <m:t>θ</m:t>
            </m:r>
          </m:sub>
        </m:sSub>
        <m:r>
          <m:rPr>
            <m:sty m:val="p"/>
          </m:rPr>
          <m:t>(</m:t>
        </m:r>
        <m:sSub>
          <m:e>
            <m:r>
              <m:t>X</m:t>
            </m:r>
          </m:e>
          <m:sub>
            <m:r>
              <m:t>t</m:t>
            </m:r>
          </m:sub>
        </m:sSub>
        <m:r>
          <m:rPr>
            <m:sty m:val="p"/>
          </m:rPr>
          <m:t>)</m:t>
        </m:r>
        <m:r>
          <m:rPr>
            <m:sty m:val="p"/>
          </m:rPr>
          <m:t>−</m:t>
        </m:r>
        <m:sSub>
          <m:e>
            <m:r>
              <m:t>y</m:t>
            </m:r>
          </m:e>
          <m:sub>
            <m:r>
              <m:t>t</m:t>
            </m:r>
            <m:r>
              <m:rPr>
                <m:sty m:val="p"/>
              </m:rPr>
              <m:t>+</m:t>
            </m:r>
            <m:r>
              <m:t>1</m:t>
            </m:r>
            <m:r>
              <m:rPr>
                <m:sty m:val="p"/>
              </m:rPr>
              <m:t>:</m:t>
            </m:r>
            <m:r>
              <m:t>t</m:t>
            </m:r>
            <m:r>
              <m:rPr>
                <m:sty m:val="p"/>
              </m:rPr>
              <m:t>+</m:t>
            </m:r>
            <m:r>
              <m:t>H</m:t>
            </m:r>
          </m:sub>
        </m:sSub>
        <m:sSup>
          <m:e>
            <m:r>
              <m:rPr>
                <m:sty m:val="p"/>
              </m:rPr>
              <m:t>∥</m:t>
            </m:r>
          </m:e>
          <m:sup>
            <m:r>
              <m:t>2</m:t>
            </m:r>
          </m:sup>
        </m:sSup>
        <m:r>
          <m:rPr>
            <m:sty m:val="p"/>
          </m:rPr>
          <m:t>,</m:t>
        </m:r>
        <m:r>
          <m:t> </m:t>
        </m:r>
        <m:r>
          <m:t>θ</m:t>
        </m:r>
        <m:r>
          <m:rPr>
            <m:sty m:val="p"/>
          </m:rPr>
          <m:t>←</m:t>
        </m:r>
        <m:sSub>
          <m:e>
            <m:r>
              <m:t>θ</m:t>
            </m:r>
          </m:e>
          <m:sub>
            <m:r>
              <m:t>0</m:t>
            </m:r>
          </m:sub>
        </m:sSub>
      </m:oMath>
      <w:r>
        <w:tab/>
        <w:t xml:space="preserve">(7)</w:t>
      </w:r>
    </w:p>
    <w:p>
      <w:pPr/>
      <w:r>
        <w:t>A deliberately small learning rate (5×10⁻⁶) with a cosine schedule keeps the adaptation in the neighbourhood of the prior, so the backbone specialises to the fault without catastrophic forgetting of what pretraining taught it. The few-shot subset itself is constructed to make the data-scaling study rigorous. It is drawn once by a seeded permutation and reused in a nested fashion across ratios,</w:t>
      </w:r>
    </w:p>
    <w:p>
      <w:pPr>
        <w:tabs>
          <w:tab w:pos="4110" w:val="center"/>
          <w:tab w:pos="8220" w:val="right"/>
        </w:tabs>
      </w:pPr>
      <w:r>
        <w:tab/>
      </w:r>
      <m:oMath>
        <m:sSub>
          <m:e>
            <m:r>
              <m:rPr>
                <m:scr m:val="script"/>
                <m:sty m:val="p"/>
              </m:rPr>
              <m:t>S</m:t>
            </m:r>
          </m:e>
          <m:sub>
            <m:r>
              <m:t>ρ</m:t>
            </m:r>
          </m:sub>
        </m:sSub>
        <m:r>
          <m:rPr>
            <m:sty m:val="p"/>
          </m:rPr>
          <m:t>=</m:t>
        </m:r>
        <m:r>
          <m:rPr>
            <m:sty m:val="p"/>
          </m:rPr>
          <m:t>s</m:t>
        </m:r>
        <m:r>
          <m:rPr>
            <m:sty m:val="p"/>
          </m:rPr>
          <m:t>o</m:t>
        </m:r>
        <m:r>
          <m:rPr>
            <m:sty m:val="p"/>
          </m:rPr>
          <m:t>r</m:t>
        </m:r>
        <m:r>
          <m:rPr>
            <m:sty m:val="p"/>
          </m:rPr>
          <m:t>t</m:t>
        </m:r>
        <m:r>
          <m:t>​</m:t>
        </m:r>
        <m:d>
          <m:dPr>
            <m:begChr m:val="("/>
            <m:sepChr m:val=""/>
            <m:endChr m:val=")"/>
            <m:grow/>
          </m:dPr>
          <m:e>
            <m:sSub>
              <m:e>
                <m:r>
                  <m:t>π</m:t>
                </m:r>
              </m:e>
              <m:sub>
                <m:r>
                  <m:t>2021</m:t>
                </m:r>
              </m:sub>
            </m:sSub>
            <m:r>
              <m:rPr>
                <m:sty m:val="p"/>
              </m:rPr>
              <m:t>[</m:t>
            </m:r>
            <m:r>
              <m:t> </m:t>
            </m:r>
            <m:r>
              <m:t>1</m:t>
            </m:r>
            <m:r>
              <m:rPr>
                <m:sty m:val="p"/>
              </m:rPr>
              <m:t>:</m:t>
            </m:r>
            <m:r>
              <m:rPr>
                <m:sty m:val="p"/>
              </m:rPr>
              <m:t>⌊</m:t>
            </m:r>
            <m:r>
              <m:t>ρ</m:t>
            </m:r>
            <m:r>
              <m:t>N</m:t>
            </m:r>
            <m:r>
              <m:rPr>
                <m:sty m:val="p"/>
              </m:rPr>
              <m:t>⌋</m:t>
            </m:r>
            <m:r>
              <m:t> </m:t>
            </m:r>
            <m:r>
              <m:rPr>
                <m:sty m:val="p"/>
              </m:rPr>
              <m:t>]</m:t>
            </m:r>
          </m:e>
        </m:d>
        <m:r>
          <m:rPr>
            <m:sty m:val="p"/>
          </m:rPr>
          <m:t>,</m:t>
        </m:r>
        <m:r>
          <m:t>  </m:t>
        </m:r>
        <m:sSub>
          <m:e>
            <m:r>
              <m:rPr>
                <m:scr m:val="script"/>
                <m:sty m:val="p"/>
              </m:rPr>
              <m:t>S</m:t>
            </m:r>
          </m:e>
          <m:sub>
            <m:sSub>
              <m:e>
                <m:r>
                  <m:t>ρ</m:t>
                </m:r>
              </m:e>
              <m:sub>
                <m:r>
                  <m:t>1</m:t>
                </m:r>
              </m:sub>
            </m:sSub>
          </m:sub>
        </m:sSub>
        <m:r>
          <m:rPr>
            <m:sty m:val="p"/>
          </m:rPr>
          <m:t>⊆</m:t>
        </m:r>
        <m:sSub>
          <m:e>
            <m:r>
              <m:rPr>
                <m:scr m:val="script"/>
                <m:sty m:val="p"/>
              </m:rPr>
              <m:t>S</m:t>
            </m:r>
          </m:e>
          <m:sub>
            <m:sSub>
              <m:e>
                <m:r>
                  <m:t>ρ</m:t>
                </m:r>
              </m:e>
              <m:sub>
                <m:r>
                  <m:t>2</m:t>
                </m:r>
              </m:sub>
            </m:sSub>
          </m:sub>
        </m:sSub>
        <m:r>
          <m:t> </m:t>
        </m:r>
        <m:r>
          <m:t> </m:t>
        </m:r>
        <m:r>
          <m:rPr>
            <m:nor/>
            <m:sty m:val="p"/>
          </m:rPr>
          <m:t>for</m:t>
        </m:r>
        <m:r>
          <m:t> </m:t>
        </m:r>
        <m:r>
          <m:t> </m:t>
        </m:r>
        <m:sSub>
          <m:e>
            <m:r>
              <m:t>ρ</m:t>
            </m:r>
          </m:e>
          <m:sub>
            <m:r>
              <m:t>1</m:t>
            </m:r>
          </m:sub>
        </m:sSub>
        <m:r>
          <m:rPr>
            <m:sty m:val="p"/>
          </m:rPr>
          <m:t>&lt;</m:t>
        </m:r>
        <m:sSub>
          <m:e>
            <m:r>
              <m:t>ρ</m:t>
            </m:r>
          </m:e>
          <m:sub>
            <m:r>
              <m:t>2</m:t>
            </m:r>
          </m:sub>
        </m:sSub>
      </m:oMath>
      <w:r>
        <w:tab/>
        <w:t xml:space="preserve">(8)</w:t>
      </w:r>
    </w:p>
    <w:p>
      <w:pPr/>
      <w:r>
        <w:t>Notably, windows are sampled uniformly across all training runs rather than taken as an early prefix, so fault-region windows are represented even at tiny ρ, and the strict nesting guarantees that the amount of data is the only variable changing along the few-shot curve. Before entering the backbone, each window is instance-normalised,</w:t>
      </w:r>
    </w:p>
    <w:p>
      <w:pPr>
        <w:tabs>
          <w:tab w:pos="4110" w:val="center"/>
          <w:tab w:pos="8220" w:val="right"/>
        </w:tabs>
      </w:pPr>
      <w:r>
        <w:tab/>
      </w:r>
      <m:oMath>
        <m:acc>
          <m:accPr>
            <m:chr m:val="̃"/>
          </m:accPr>
          <m:e>
            <m:r>
              <m:t>x</m:t>
            </m:r>
          </m:e>
        </m:acc>
        <m:r>
          <m:rPr>
            <m:sty m:val="p"/>
          </m:rPr>
          <m:t>=</m:t>
        </m:r>
        <m:f>
          <m:fPr>
            <m:type m:val="bar"/>
          </m:fPr>
          <m:num>
            <m:r>
              <m:t>x</m:t>
            </m:r>
            <m:r>
              <m:rPr>
                <m:sty m:val="p"/>
              </m:rPr>
              <m:t>−</m:t>
            </m:r>
            <m:r>
              <m:rPr>
                <m:sty m:val="p"/>
              </m:rPr>
              <m:t>m</m:t>
            </m:r>
            <m:r>
              <m:rPr>
                <m:sty m:val="p"/>
              </m:rPr>
              <m:t>e</m:t>
            </m:r>
            <m:r>
              <m:rPr>
                <m:sty m:val="p"/>
              </m:rPr>
              <m:t>a</m:t>
            </m:r>
            <m:r>
              <m:rPr>
                <m:sty m:val="p"/>
              </m:rPr>
              <m:t>n</m:t>
            </m:r>
            <m:r>
              <m:rPr>
                <m:sty m:val="p"/>
              </m:rPr>
              <m:t>(</m:t>
            </m:r>
            <m:r>
              <m:t>x</m:t>
            </m:r>
            <m:r>
              <m:rPr>
                <m:sty m:val="p"/>
              </m:rPr>
              <m:t>)</m:t>
            </m:r>
          </m:num>
          <m:den>
            <m:rad>
              <m:radPr>
                <m:degHide m:val="on"/>
              </m:radPr>
              <m:deg/>
              <m:e>
                <m:r>
                  <m:rPr>
                    <m:sty m:val="p"/>
                  </m:rPr>
                  <m:t>v</m:t>
                </m:r>
                <m:r>
                  <m:rPr>
                    <m:sty m:val="p"/>
                  </m:rPr>
                  <m:t>a</m:t>
                </m:r>
                <m:r>
                  <m:rPr>
                    <m:sty m:val="p"/>
                  </m:rPr>
                  <m:t>r</m:t>
                </m:r>
                <m:r>
                  <m:rPr>
                    <m:sty m:val="p"/>
                  </m:rPr>
                  <m:t>(</m:t>
                </m:r>
                <m:r>
                  <m:t>x</m:t>
                </m:r>
                <m:r>
                  <m:rPr>
                    <m:sty m:val="p"/>
                  </m:rPr>
                  <m:t>)</m:t>
                </m:r>
                <m:r>
                  <m:rPr>
                    <m:sty m:val="p"/>
                  </m:rPr>
                  <m:t>+</m:t>
                </m:r>
                <m:r>
                  <m:t>ϵ</m:t>
                </m:r>
              </m:e>
            </m:rad>
          </m:den>
        </m:f>
      </m:oMath>
      <w:r>
        <w:tab/>
        <w:t xml:space="preserve">(9)</w:t>
      </w:r>
    </w:p>
    <w:p>
      <w:pPr/>
      <w:r>
        <w:t>which normalises away the window-specific level and scale that would otherwise dominate the input. Importantly, the standardiser and the control limits of Eq. (3) are fit on the full normal record, not on the few-shot subset, reflecting the physical reality that normal-operation data are abundant while fault-adaptation data are scarce. Because the permutation depends only on the seed and the shared window count, every backbone and every view is aligned on identical windows, which turns the downstream fusion into a strictly controlled comparison.</w:t>
      </w:r>
    </w:p>
    <w:p>
      <w:pPr>
        <w:pStyle w:val="2"/>
      </w:pPr>
      <w:r>
        <w:t>3.2</w:t>
        <w:tab/>
        <w:t>Gate-Ensemble Route Mechanism</w:t>
      </w:r>
    </w:p>
    <w:p>
      <w:pPr/>
      <w:r>
        <w:t>A single aligned backbone, however well adapted, still commits to one view of the dynamics and therefore inherits one bias. Instead of selecting a winner, we maintain a small pool of heterogeneous forecasting operators and learn to route among them per sample and per horizon step. The mechanism has two parts, described in turn: the operators that generate candidate forecasts (Section 3.2.1), and the gate that blends them according to the current context (Section 3.2.2).</w:t>
      </w:r>
    </w:p>
    <w:p>
      <w:pPr>
        <w:pStyle w:val="3"/>
      </w:pPr>
      <w:r>
        <w:t>3.2.1</w:t>
        <w:tab/>
        <w:t>Operator Mechanism</w:t>
      </w:r>
    </w:p>
    <w:p>
      <w:pPr/>
      <w:r>
        <w:t>The operator pool is deliberately heterogeneous along two orthogonal axes: different views of the same backbone, and different pretrained backbones. Both are exposed behind one uniform prediction contract, a forecast of identical shape and scale, so the gate that follows never needs to know which model produced a given trajectory. This contract is what lets the ensemble grow without altering the fusion logic.</w:t>
      </w:r>
    </w:p>
    <w:p>
      <w:pPr/>
      <w:r>
        <w:t>Along the first axis, two views of the adapted Timer-XL capture complementary dynamics. The target drifts smoothly during normal operation but accelerates as the fault matures. A forecaster fitted to the raw series captures the level and the slow structure faithfully, yet it reacts sluggishly at the onset of rapid change, because a small early deviation is dwarfed by the standing level. The raw operator forecasts the series as observed,</w:t>
      </w:r>
    </w:p>
    <w:p>
      <w:pPr>
        <w:tabs>
          <w:tab w:pos="4110" w:val="center"/>
          <w:tab w:pos="8220" w:val="right"/>
        </w:tabs>
      </w:pPr>
      <w:r>
        <w:tab/>
      </w:r>
      <m:oMath>
        <m:sSup>
          <m:e>
            <m:acc>
              <m:accPr>
                <m:chr m:val="̂"/>
              </m:accPr>
              <m:e>
                <m:r>
                  <m:t>y</m:t>
                </m:r>
              </m:e>
            </m:acc>
          </m:e>
          <m:sup>
            <m:r>
              <m:t> </m:t>
            </m:r>
            <m:r>
              <m:rPr>
                <m:sty m:val="p"/>
              </m:rPr>
              <m:t>r</m:t>
            </m:r>
            <m:r>
              <m:rPr>
                <m:sty m:val="p"/>
              </m:rPr>
              <m:t>a</m:t>
            </m:r>
            <m:r>
              <m:rPr>
                <m:sty m:val="p"/>
              </m:rPr>
              <m:t>w</m:t>
            </m:r>
          </m:sup>
        </m:sSup>
        <m:r>
          <m:rPr>
            <m:sty m:val="p"/>
          </m:rPr>
          <m:t>=</m:t>
        </m:r>
        <m:sSub>
          <m:e>
            <m:r>
              <m:t>F</m:t>
            </m:r>
          </m:e>
          <m:sub>
            <m:sSub>
              <m:e>
                <m:r>
                  <m:t>θ</m:t>
                </m:r>
              </m:e>
              <m:sub>
                <m:r>
                  <m:rPr>
                    <m:sty m:val="p"/>
                  </m:rPr>
                  <m:t>r</m:t>
                </m:r>
                <m:r>
                  <m:rPr>
                    <m:sty m:val="p"/>
                  </m:rPr>
                  <m:t>a</m:t>
                </m:r>
                <m:r>
                  <m:rPr>
                    <m:sty m:val="p"/>
                  </m:rPr>
                  <m:t>w</m:t>
                </m:r>
              </m:sub>
            </m:sSub>
          </m:sub>
        </m:sSub>
        <m:r>
          <m:rPr>
            <m:sty m:val="p"/>
          </m:rPr>
          <m:t>(</m:t>
        </m:r>
        <m:r>
          <m:t>X</m:t>
        </m:r>
        <m:r>
          <m:rPr>
            <m:sty m:val="p"/>
          </m:rPr>
          <m:t>)</m:t>
        </m:r>
      </m:oMath>
      <w:r>
        <w:tab/>
        <w:t xml:space="preserve">(10)</w:t>
      </w:r>
    </w:p>
    <w:p>
      <w:pPr/>
      <w:r>
        <w:t>providing the level view. The difference operator instead forecasts the first difference dₜ = xₜ − xₜ₋₁ and reconstructs the target trajectory by anchored cumulative summation from the last observed value,</w:t>
      </w:r>
    </w:p>
    <w:p>
      <w:pPr>
        <w:tabs>
          <w:tab w:pos="4110" w:val="center"/>
          <w:tab w:pos="8220" w:val="right"/>
        </w:tabs>
      </w:pPr>
      <w:r>
        <w:tab/>
      </w:r>
      <m:oMath>
        <m:sSubSup>
          <m:e>
            <m:acc>
              <m:accPr>
                <m:chr m:val="̂"/>
              </m:accPr>
              <m:e>
                <m:r>
                  <m:t>y</m:t>
                </m:r>
              </m:e>
            </m:acc>
          </m:e>
          <m:sub>
            <m:r>
              <m:t>t</m:t>
            </m:r>
            <m:r>
              <m:rPr>
                <m:sty m:val="p"/>
              </m:rPr>
              <m:t>+</m:t>
            </m:r>
            <m:r>
              <m:t>h</m:t>
            </m:r>
          </m:sub>
          <m:sup>
            <m:r>
              <m:t> </m:t>
            </m:r>
            <m:r>
              <m:rPr>
                <m:sty m:val="p"/>
              </m:rPr>
              <m:t>d</m:t>
            </m:r>
            <m:r>
              <m:rPr>
                <m:sty m:val="p"/>
              </m:rPr>
              <m:t>i</m:t>
            </m:r>
            <m:r>
              <m:rPr>
                <m:sty m:val="p"/>
              </m:rPr>
              <m:t>f</m:t>
            </m:r>
            <m:r>
              <m:rPr>
                <m:sty m:val="p"/>
              </m:rPr>
              <m:t>f</m:t>
            </m:r>
          </m:sup>
        </m:sSubSup>
        <m:r>
          <m:rPr>
            <m:sty m:val="p"/>
          </m:rPr>
          <m:t>=</m:t>
        </m:r>
        <m:sSub>
          <m:e>
            <m:r>
              <m:t>x</m:t>
            </m:r>
          </m:e>
          <m:sub>
            <m:r>
              <m:t>t</m:t>
            </m:r>
          </m:sub>
        </m:sSub>
        <m:r>
          <m:rPr>
            <m:sty m:val="p"/>
          </m:rPr>
          <m:t>+</m:t>
        </m:r>
        <m:nary>
          <m:naryPr>
            <m:chr m:val="∑"/>
            <m:limLoc m:val="undOvr"/>
            <m:subHide m:val="off"/>
            <m:supHide m:val="off"/>
          </m:naryPr>
          <m:sub>
            <m:r>
              <m:t>j</m:t>
            </m:r>
            <m:r>
              <m:rPr>
                <m:sty m:val="p"/>
              </m:rPr>
              <m:t>=</m:t>
            </m:r>
            <m:r>
              <m:t>1</m:t>
            </m:r>
          </m:sub>
          <m:sup>
            <m:r>
              <m:t>h</m:t>
            </m:r>
          </m:sup>
          <m:e>
            <m:sSub>
              <m:e>
                <m:acc>
                  <m:accPr>
                    <m:chr m:val="̂"/>
                  </m:accPr>
                  <m:e>
                    <m:r>
                      <m:t>d</m:t>
                    </m:r>
                  </m:e>
                </m:acc>
              </m:e>
              <m:sub>
                <m:r>
                  <m:t>t</m:t>
                </m:r>
                <m:r>
                  <m:rPr>
                    <m:sty m:val="p"/>
                  </m:rPr>
                  <m:t>+</m:t>
                </m:r>
                <m:r>
                  <m:t>j</m:t>
                </m:r>
              </m:sub>
            </m:sSub>
          </m:e>
        </m:nary>
      </m:oMath>
      <w:r>
        <w:tab/>
        <w:t xml:space="preserve">(11)</w:t>
      </w:r>
    </w:p>
    <w:p>
      <w:pPr/>
      <w:r>
        <w:t>so that the operator becomes sensitive to incipient acceleration, the increment view that the raw operator tends to smooth away. The two views share the backbone yet disagree exactly where prognosis is hardest, near the onset, which is what makes their combination informative.</w:t>
      </w:r>
    </w:p>
    <w:p>
      <w:pPr/>
      <w:r>
        <w:t>Along the second axis, additional pretrained TSFMs enter the pool as further operators, each contributing an architecturally distinct forecast that fails and succeeds in different regions of the input space. In the realised system the pool comprises N = 4 operators, { Timer-XL-diff, Timer-XL-raw, Time-MoE, Sundial }, in which the two Timer-XL views are few-shot aligned by Eq. (7), while Time-MoE, a decoder-only mixture-of-experts, and Sundial, a generative flow-matching model, are contributed as pretrained experts on the target variable. The framework is open by construction: any TSFM that respects the prediction contract can be added, and the gate absorbs it without change. This double heterogeneity, views crossed with backbones, is what makes the method an ensemble of foundation models in the plural rather than of a single backbone in two guises.</w:t>
      </w:r>
    </w:p>
    <w:p>
      <w:pPr>
        <w:pStyle w:val="3"/>
      </w:pPr>
      <w:r>
        <w:t>3.2.2</w:t>
        <w:tab/>
        <w:t>MLP Gate</w:t>
      </w:r>
    </w:p>
    <w:p>
      <w:pPr/>
      <w:r>
        <w:t>Which operator to trust is not a global constant but a function of the present regime: near a limit the increment view leads, whereas in a quiet band the level view is steadier and less jittery. A fixed average cannot express this dependence, so the gate makes the blend an explicit function of the window's context. The gate reads eight model-agnostic descriptors of the target window,</w:t>
      </w:r>
    </w:p>
    <w:p>
      <w:pPr>
        <w:tabs>
          <w:tab w:pos="4110" w:val="center"/>
          <w:tab w:pos="8220" w:val="right"/>
        </w:tabs>
      </w:pPr>
      <w:r>
        <w:tab/>
      </w:r>
      <m:oMath>
        <m:r>
          <m:t>φ</m:t>
        </m:r>
        <m:r>
          <m:rPr>
            <m:sty m:val="p"/>
          </m:rPr>
          <m:t>(</m:t>
        </m:r>
        <m:r>
          <m:t>X</m:t>
        </m:r>
        <m:r>
          <m:rPr>
            <m:sty m:val="p"/>
          </m:rPr>
          <m:t>)</m:t>
        </m:r>
        <m:r>
          <m:rPr>
            <m:sty m:val="p"/>
          </m:rPr>
          <m:t>=</m:t>
        </m:r>
        <m:r>
          <m:rPr>
            <m:sty m:val="p"/>
          </m:rPr>
          <m:t>[</m:t>
        </m:r>
        <m:r>
          <m:t> </m:t>
        </m:r>
        <m:sSub>
          <m:e>
            <m:r>
              <m:t>x</m:t>
            </m:r>
          </m:e>
          <m:sub>
            <m:r>
              <m:t>t</m:t>
            </m:r>
          </m:sub>
        </m:sSub>
        <m:r>
          <m:rPr>
            <m:sty m:val="p"/>
          </m:rPr>
          <m:t>,</m:t>
        </m:r>
        <m:r>
          <m:t> </m:t>
        </m:r>
        <m:sSub>
          <m:e>
            <m:r>
              <m:t>x</m:t>
            </m:r>
          </m:e>
          <m:sub>
            <m:r>
              <m:t>t</m:t>
            </m:r>
          </m:sub>
        </m:sSub>
        <m:r>
          <m:rPr>
            <m:sty m:val="p"/>
          </m:rPr>
          <m:t>−</m:t>
        </m:r>
        <m:sSub>
          <m:e>
            <m:r>
              <m:t>x</m:t>
            </m:r>
          </m:e>
          <m:sub>
            <m:r>
              <m:t>t</m:t>
            </m:r>
            <m:r>
              <m:rPr>
                <m:sty m:val="p"/>
              </m:rPr>
              <m:t>−</m:t>
            </m:r>
            <m:r>
              <m:t>1</m:t>
            </m:r>
          </m:sub>
        </m:sSub>
        <m:r>
          <m:rPr>
            <m:sty m:val="p"/>
          </m:rPr>
          <m:t>,</m:t>
        </m:r>
        <m:r>
          <m:t> </m:t>
        </m:r>
        <m:r>
          <m:rPr>
            <m:sty m:val="p"/>
          </m:rPr>
          <m:t>m</m:t>
        </m:r>
        <m:r>
          <m:rPr>
            <m:sty m:val="p"/>
          </m:rPr>
          <m:t>e</m:t>
        </m:r>
        <m:r>
          <m:rPr>
            <m:sty m:val="p"/>
          </m:rPr>
          <m:t>a</m:t>
        </m:r>
        <m:r>
          <m:rPr>
            <m:sty m:val="p"/>
          </m:rPr>
          <m:t>n</m:t>
        </m:r>
        <m:r>
          <m:rPr>
            <m:sty m:val="p"/>
          </m:rPr>
          <m:t>,</m:t>
        </m:r>
        <m:r>
          <m:t> </m:t>
        </m:r>
        <m:r>
          <m:rPr>
            <m:sty m:val="p"/>
          </m:rPr>
          <m:t>s</m:t>
        </m:r>
        <m:r>
          <m:rPr>
            <m:sty m:val="p"/>
          </m:rPr>
          <m:t>t</m:t>
        </m:r>
        <m:r>
          <m:rPr>
            <m:sty m:val="p"/>
          </m:rPr>
          <m:t>d</m:t>
        </m:r>
        <m:r>
          <m:rPr>
            <m:sty m:val="p"/>
          </m:rPr>
          <m:t>,</m:t>
        </m:r>
        <m:r>
          <m:t> </m:t>
        </m:r>
        <m:r>
          <m:rPr>
            <m:sty m:val="p"/>
          </m:rPr>
          <m:t>s</m:t>
        </m:r>
        <m:r>
          <m:rPr>
            <m:sty m:val="p"/>
          </m:rPr>
          <m:t>l</m:t>
        </m:r>
        <m:r>
          <m:rPr>
            <m:sty m:val="p"/>
          </m:rPr>
          <m:t>o</m:t>
        </m:r>
        <m:r>
          <m:rPr>
            <m:sty m:val="p"/>
          </m:rPr>
          <m:t>p</m:t>
        </m:r>
        <m:r>
          <m:rPr>
            <m:sty m:val="p"/>
          </m:rPr>
          <m:t>e</m:t>
        </m:r>
        <m:r>
          <m:rPr>
            <m:sty m:val="p"/>
          </m:rPr>
          <m:t>,</m:t>
        </m:r>
        <m:r>
          <m:t> </m:t>
        </m:r>
        <m:r>
          <m:rPr>
            <m:sty m:val="p"/>
          </m:rPr>
          <m:t>r</m:t>
        </m:r>
        <m:r>
          <m:rPr>
            <m:sty m:val="p"/>
          </m:rPr>
          <m:t>a</m:t>
        </m:r>
        <m:r>
          <m:rPr>
            <m:sty m:val="p"/>
          </m:rPr>
          <m:t>n</m:t>
        </m:r>
        <m:r>
          <m:rPr>
            <m:sty m:val="p"/>
          </m:rPr>
          <m:t>g</m:t>
        </m:r>
        <m:r>
          <m:rPr>
            <m:sty m:val="p"/>
          </m:rPr>
          <m:t>e</m:t>
        </m:r>
        <m:r>
          <m:rPr>
            <m:sty m:val="p"/>
          </m:rPr>
          <m:t>,</m:t>
        </m:r>
        <m:r>
          <m:t> </m:t>
        </m:r>
        <m:sSub>
          <m:e>
            <m:r>
              <m:t>x</m:t>
            </m:r>
          </m:e>
          <m:sub>
            <m:r>
              <m:t>t</m:t>
            </m:r>
          </m:sub>
        </m:sSub>
        <m:r>
          <m:rPr>
            <m:sty m:val="p"/>
          </m:rPr>
          <m:t>−</m:t>
        </m:r>
        <m:r>
          <m:t>ℓ</m:t>
        </m:r>
        <m:r>
          <m:rPr>
            <m:sty m:val="p"/>
          </m:rPr>
          <m:t>,</m:t>
        </m:r>
        <m:r>
          <m:t> </m:t>
        </m:r>
        <m:r>
          <m:t>u</m:t>
        </m:r>
        <m:r>
          <m:rPr>
            <m:sty m:val="p"/>
          </m:rPr>
          <m:t>−</m:t>
        </m:r>
        <m:sSub>
          <m:e>
            <m:r>
              <m:t>x</m:t>
            </m:r>
          </m:e>
          <m:sub>
            <m:r>
              <m:t>t</m:t>
            </m:r>
          </m:sub>
        </m:sSub>
        <m:r>
          <m:t> </m:t>
        </m:r>
        <m:r>
          <m:rPr>
            <m:sty m:val="p"/>
          </m:rPr>
          <m:t>]</m:t>
        </m:r>
        <m:r>
          <m:rPr>
            <m:sty m:val="p"/>
          </m:rPr>
          <m:t>∈</m:t>
        </m:r>
        <m:sSup>
          <m:e>
            <m:r>
              <m:rPr>
                <m:scr m:val="double-struck"/>
                <m:sty m:val="p"/>
              </m:rPr>
              <m:t>R</m:t>
            </m:r>
          </m:e>
          <m:sup>
            <m:r>
              <m:t>8</m:t>
            </m:r>
          </m:sup>
        </m:sSup>
      </m:oMath>
      <w:r>
        <w:tab/>
        <w:t xml:space="preserve">(12)</w:t>
      </w:r>
    </w:p>
    <w:p>
      <w:pPr/>
      <w:r>
        <w:t>covering the level, the one-step increment, the dispersion, the ordinary least-squares trend slope, the span, and the two distances to the control limits, so that the gate perceives both the local dynamics and the proximity to an alarm. These features are computed from the input window only, never from the future, and are standardised before use. An MLP g_ψ maps the standardised feature vector to per-step routing weights over the N operators,</w:t>
      </w:r>
    </w:p>
    <w:p>
      <w:pPr>
        <w:tabs>
          <w:tab w:pos="4110" w:val="center"/>
          <w:tab w:pos="8220" w:val="right"/>
        </w:tabs>
      </w:pPr>
      <w:r>
        <w:tab/>
      </w:r>
      <m:oMath>
        <m:r>
          <m:t>W</m:t>
        </m:r>
        <m:r>
          <m:rPr>
            <m:sty m:val="p"/>
          </m:rPr>
          <m:t>=</m:t>
        </m:r>
        <m:sSub>
          <m:e>
            <m:r>
              <m:rPr>
                <m:sty m:val="p"/>
              </m:rPr>
              <m:t>s</m:t>
            </m:r>
            <m:r>
              <m:rPr>
                <m:sty m:val="p"/>
              </m:rPr>
              <m:t>o</m:t>
            </m:r>
            <m:r>
              <m:rPr>
                <m:sty m:val="p"/>
              </m:rPr>
              <m:t>f</m:t>
            </m:r>
            <m:r>
              <m:rPr>
                <m:sty m:val="p"/>
              </m:rPr>
              <m:t>t</m:t>
            </m:r>
            <m:r>
              <m:rPr>
                <m:sty m:val="p"/>
              </m:rPr>
              <m:t>m</m:t>
            </m:r>
            <m:r>
              <m:rPr>
                <m:sty m:val="p"/>
              </m:rPr>
              <m:t>a</m:t>
            </m:r>
            <m:r>
              <m:rPr>
                <m:sty m:val="p"/>
              </m:rPr>
              <m:t>x</m:t>
            </m:r>
          </m:e>
          <m:sub>
            <m:r>
              <m:t>N</m:t>
            </m:r>
          </m:sub>
        </m:sSub>
        <m:r>
          <m:t>​</m:t>
        </m:r>
        <m:d>
          <m:dPr>
            <m:begChr m:val="("/>
            <m:sepChr m:val=""/>
            <m:endChr m:val=")"/>
            <m:grow/>
          </m:dPr>
          <m:e>
            <m:r>
              <m:rPr>
                <m:sty m:val="p"/>
              </m:rPr>
              <m:t>r</m:t>
            </m:r>
            <m:r>
              <m:rPr>
                <m:sty m:val="p"/>
              </m:rPr>
              <m:t>e</m:t>
            </m:r>
            <m:r>
              <m:rPr>
                <m:sty m:val="p"/>
              </m:rPr>
              <m:t>s</m:t>
            </m:r>
            <m:r>
              <m:rPr>
                <m:sty m:val="p"/>
              </m:rPr>
              <m:t>h</m:t>
            </m:r>
            <m:r>
              <m:rPr>
                <m:sty m:val="p"/>
              </m:rPr>
              <m:t>a</m:t>
            </m:r>
            <m:r>
              <m:rPr>
                <m:sty m:val="p"/>
              </m:rPr>
              <m:t>p</m:t>
            </m:r>
            <m:r>
              <m:rPr>
                <m:sty m:val="p"/>
              </m:rPr>
              <m:t>e</m:t>
            </m:r>
            <m:r>
              <m:rPr>
                <m:sty m:val="p"/>
              </m:rPr>
              <m:t>(</m:t>
            </m:r>
            <m:r>
              <m:t> </m:t>
            </m:r>
            <m:sSub>
              <m:e>
                <m:r>
                  <m:t>g</m:t>
                </m:r>
              </m:e>
              <m:sub>
                <m:r>
                  <m:t>ψ</m:t>
                </m:r>
              </m:sub>
            </m:sSub>
            <m:r>
              <m:rPr>
                <m:sty m:val="p"/>
              </m:rPr>
              <m:t>(</m:t>
            </m:r>
            <m:acc>
              <m:accPr>
                <m:chr m:val="̃"/>
              </m:accPr>
              <m:e>
                <m:r>
                  <m:t>φ</m:t>
                </m:r>
              </m:e>
            </m:acc>
            <m:r>
              <m:rPr>
                <m:sty m:val="p"/>
              </m:rPr>
              <m:t>)</m:t>
            </m:r>
            <m:r>
              <m:rPr>
                <m:sty m:val="p"/>
              </m:rPr>
              <m:t>,</m:t>
            </m:r>
            <m:r>
              <m:t> </m:t>
            </m:r>
            <m:r>
              <m:t>H</m:t>
            </m:r>
            <m:r>
              <m:rPr>
                <m:sty m:val="p"/>
              </m:rPr>
              <m:t>×</m:t>
            </m:r>
            <m:r>
              <m:t>N</m:t>
            </m:r>
            <m:r>
              <m:t> </m:t>
            </m:r>
            <m:r>
              <m:rPr>
                <m:sty m:val="p"/>
              </m:rPr>
              <m:t>)</m:t>
            </m:r>
          </m:e>
        </m:d>
      </m:oMath>
      <w:r>
        <w:tab/>
        <w:t xml:space="preserve">(13)</w:t>
      </w:r>
    </w:p>
    <w:p>
      <w:pPr/>
      <w:r>
        <w:t>where the softmax is taken over operators independently at each horizon step; for the two-operator case this collapses to a single sigmoid weight w_h ∈ (0,1). The ensemble forecast is then the per-step convex combination</w:t>
      </w:r>
    </w:p>
    <w:p>
      <w:pPr>
        <w:tabs>
          <w:tab w:pos="4110" w:val="center"/>
          <w:tab w:pos="8220" w:val="right"/>
        </w:tabs>
      </w:pPr>
      <w:r>
        <w:tab/>
      </w:r>
      <m:oMath>
        <m:sSubSup>
          <m:e>
            <m:acc>
              <m:accPr>
                <m:chr m:val="̂"/>
              </m:accPr>
              <m:e>
                <m:r>
                  <m:t>y</m:t>
                </m:r>
              </m:e>
            </m:acc>
          </m:e>
          <m:sub>
            <m:r>
              <m:t>t</m:t>
            </m:r>
            <m:r>
              <m:rPr>
                <m:sty m:val="p"/>
              </m:rPr>
              <m:t>+</m:t>
            </m:r>
            <m:r>
              <m:t>h</m:t>
            </m:r>
          </m:sub>
          <m:sup>
            <m:r>
              <m:t> </m:t>
            </m:r>
            <m:r>
              <m:rPr>
                <m:sty m:val="p"/>
              </m:rPr>
              <m:t>g</m:t>
            </m:r>
            <m:r>
              <m:rPr>
                <m:sty m:val="p"/>
              </m:rPr>
              <m:t>a</m:t>
            </m:r>
            <m:r>
              <m:rPr>
                <m:sty m:val="p"/>
              </m:rPr>
              <m:t>t</m:t>
            </m:r>
            <m:r>
              <m:rPr>
                <m:sty m:val="p"/>
              </m:rPr>
              <m:t>e</m:t>
            </m:r>
          </m:sup>
        </m:sSubSup>
        <m:r>
          <m:rPr>
            <m:sty m:val="p"/>
          </m:rPr>
          <m:t>=</m:t>
        </m:r>
        <m:nary>
          <m:naryPr>
            <m:chr m:val="∑"/>
            <m:limLoc m:val="undOvr"/>
            <m:subHide m:val="off"/>
            <m:supHide m:val="off"/>
          </m:naryPr>
          <m:sub>
            <m:r>
              <m:t>i</m:t>
            </m:r>
            <m:r>
              <m:rPr>
                <m:sty m:val="p"/>
              </m:rPr>
              <m:t>=</m:t>
            </m:r>
            <m:r>
              <m:t>1</m:t>
            </m:r>
          </m:sub>
          <m:sup>
            <m:r>
              <m:t>N</m:t>
            </m:r>
          </m:sup>
          <m:e>
            <m:sSub>
              <m:e>
                <m:r>
                  <m:t>W</m:t>
                </m:r>
              </m:e>
              <m:sub>
                <m:r>
                  <m:t>h</m:t>
                </m:r>
                <m:r>
                  <m:rPr>
                    <m:sty m:val="p"/>
                  </m:rPr>
                  <m:t>,</m:t>
                </m:r>
                <m:r>
                  <m:t>i</m:t>
                </m:r>
              </m:sub>
            </m:sSub>
          </m:e>
        </m:nary>
        <m:r>
          <m:t> </m:t>
        </m:r>
        <m:sSubSup>
          <m:e>
            <m:acc>
              <m:accPr>
                <m:chr m:val="̂"/>
              </m:accPr>
              <m:e>
                <m:r>
                  <m:t>y</m:t>
                </m:r>
              </m:e>
            </m:acc>
          </m:e>
          <m:sub>
            <m:r>
              <m:t>t</m:t>
            </m:r>
            <m:r>
              <m:rPr>
                <m:sty m:val="p"/>
              </m:rPr>
              <m:t>+</m:t>
            </m:r>
            <m:r>
              <m:t>h</m:t>
            </m:r>
          </m:sub>
          <m:sup>
            <m:r>
              <m:rPr>
                <m:sty m:val="p"/>
              </m:rPr>
              <m:t>(</m:t>
            </m:r>
            <m:r>
              <m:t>i</m:t>
            </m:r>
            <m:r>
              <m:rPr>
                <m:sty m:val="p"/>
              </m:rPr>
              <m:t>)</m:t>
            </m:r>
          </m:sup>
        </m:sSubSup>
        <m:r>
          <m:rPr>
            <m:sty m:val="p"/>
          </m:rPr>
          <m:t>,</m:t>
        </m:r>
        <m:r>
          <m:t>  </m:t>
        </m:r>
        <m:r>
          <m:t>h</m:t>
        </m:r>
        <m:r>
          <m:rPr>
            <m:sty m:val="p"/>
          </m:rPr>
          <m:t>=</m:t>
        </m:r>
        <m:r>
          <m:t>1</m:t>
        </m:r>
        <m:r>
          <m:rPr>
            <m:sty m:val="p"/>
          </m:rPr>
          <m:t>,</m:t>
        </m:r>
        <m:r>
          <m:rPr>
            <m:sty m:val="p"/>
          </m:rPr>
          <m:t>…</m:t>
        </m:r>
        <m:r>
          <m:rPr>
            <m:sty m:val="p"/>
          </m:rPr>
          <m:t>,</m:t>
        </m:r>
        <m:r>
          <m:t>H</m:t>
        </m:r>
      </m:oMath>
      <w:r>
        <w:tab/>
        <w:t xml:space="preserve">(14)</w:t>
      </w:r>
    </w:p>
    <w:p>
      <w:pPr/>
      <w:r>
        <w:t>which allows the gate to hand the near horizon to the increment operator and the far horizon to the level operator within a single window, a flexibility that a sample-level selector cannot provide. Steps beyond the prognosis horizon H fall back to a designated base operator. Two properties make this gate cheap and robust. It is context-only, consuming input-window statistics rather than the operators' outputs, and it fuses at the prediction level, which leaves the expensive backbones frozen at fusion time and keeps every operator behind a single uniform interface.</w:t>
      </w:r>
    </w:p>
    <w:p>
      <w:pPr>
        <w:pStyle w:val="2"/>
      </w:pPr>
      <w:r>
        <w:t>3.3</w:t>
        <w:tab/>
        <w:t>Prognosis Decision Rule</w:t>
      </w:r>
    </w:p>
    <w:p>
      <w:pPr/>
      <w:r>
        <w:t>The forecasts assembled so far are continuous trajectories, whereas a prognostic system must emit a discrete early-warning decision that an operator can act on. This subsection formalises that mapping for the fused forecast ŷ^gate of Eq. (14), and with it the lead-time and false-alarm quantities on which the evaluation ultimately rests. Placing the rule here, downstream of fusion, keeps the decision logic separate from the forecasting model and makes explicit that the same rule is applied identically to every operator and baseline.</w:t>
      </w:r>
    </w:p>
    <w:p>
      <w:pPr/>
      <w:r>
        <w:t>At each decision time t the fused forecast is compared against the healthy control band of Eq. (3). The window issues an anticipated alarm when any step within the prognosis horizon H leaves the band,</w:t>
      </w:r>
    </w:p>
    <w:p>
      <w:pPr>
        <w:tabs>
          <w:tab w:pos="4110" w:val="center"/>
          <w:tab w:pos="8220" w:val="right"/>
        </w:tabs>
      </w:pPr>
      <w:r>
        <w:tab/>
      </w:r>
      <m:oMath>
        <m:sSub>
          <m:e>
            <m:r>
              <m:t>A</m:t>
            </m:r>
          </m:e>
          <m:sub>
            <m:r>
              <m:t>t</m:t>
            </m:r>
          </m:sub>
        </m:sSub>
        <m:r>
          <m:rPr>
            <m:sty m:val="p"/>
          </m:rPr>
          <m:t>=</m:t>
        </m:r>
        <m:r>
          <m:rPr>
            <m:sty m:val="b"/>
          </m:rPr>
          <m:t>1</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sSubSup>
              <m:e>
                <m:acc>
                  <m:accPr>
                    <m:chr m:val="̂"/>
                  </m:accPr>
                  <m:e>
                    <m:r>
                      <m:t>y</m:t>
                    </m:r>
                  </m:e>
                </m:acc>
              </m:e>
              <m:sub>
                <m:r>
                  <m:t>t</m:t>
                </m:r>
                <m:r>
                  <m:rPr>
                    <m:sty m:val="p"/>
                  </m:rPr>
                  <m:t>+</m:t>
                </m:r>
                <m:r>
                  <m:t>h</m:t>
                </m:r>
              </m:sub>
              <m:sup>
                <m:r>
                  <m:t> </m:t>
                </m:r>
                <m:r>
                  <m:rPr>
                    <m:sty m:val="p"/>
                  </m:rPr>
                  <m:t>g</m:t>
                </m:r>
                <m:r>
                  <m:rPr>
                    <m:sty m:val="p"/>
                  </m:rPr>
                  <m:t>a</m:t>
                </m:r>
                <m:r>
                  <m:rPr>
                    <m:sty m:val="p"/>
                  </m:rPr>
                  <m:t>t</m:t>
                </m:r>
                <m:r>
                  <m:rPr>
                    <m:sty m:val="p"/>
                  </m:rPr>
                  <m:t>e</m:t>
                </m:r>
              </m:sup>
            </m:sSubSup>
            <m:r>
              <m:rPr>
                <m:sty m:val="p"/>
              </m:rPr>
              <m:t>&lt;</m:t>
            </m:r>
            <m:r>
              <m:t>ℓ</m:t>
            </m:r>
            <m:r>
              <m:t> </m:t>
            </m:r>
            <m:r>
              <m:rPr>
                <m:sty m:val="p"/>
              </m:rPr>
              <m:t>∨</m:t>
            </m:r>
            <m:r>
              <m:t> </m:t>
            </m:r>
            <m:sSubSup>
              <m:e>
                <m:acc>
                  <m:accPr>
                    <m:chr m:val="̂"/>
                  </m:accPr>
                  <m:e>
                    <m:r>
                      <m:t>y</m:t>
                    </m:r>
                  </m:e>
                </m:acc>
              </m:e>
              <m:sub>
                <m:r>
                  <m:t>t</m:t>
                </m:r>
                <m:r>
                  <m:rPr>
                    <m:sty m:val="p"/>
                  </m:rPr>
                  <m:t>+</m:t>
                </m:r>
                <m:r>
                  <m:t>h</m:t>
                </m:r>
              </m:sub>
              <m:sup>
                <m:r>
                  <m:t> </m:t>
                </m:r>
                <m:r>
                  <m:rPr>
                    <m:sty m:val="p"/>
                  </m:rPr>
                  <m:t>g</m:t>
                </m:r>
                <m:r>
                  <m:rPr>
                    <m:sty m:val="p"/>
                  </m:rPr>
                  <m:t>a</m:t>
                </m:r>
                <m:r>
                  <m:rPr>
                    <m:sty m:val="p"/>
                  </m:rPr>
                  <m:t>t</m:t>
                </m:r>
                <m:r>
                  <m:rPr>
                    <m:sty m:val="p"/>
                  </m:rPr>
                  <m:t>e</m:t>
                </m:r>
              </m:sup>
            </m:sSubSup>
            <m:r>
              <m:rPr>
                <m:sty m:val="p"/>
              </m:rPr>
              <m:t>&gt;</m:t>
            </m:r>
            <m:r>
              <m:t>u</m:t>
            </m:r>
            <m:r>
              <m:t> </m:t>
            </m:r>
          </m:e>
        </m:d>
      </m:oMath>
      <w:r>
        <w:tab/>
        <w:t xml:space="preserve">(15)</w:t>
      </w:r>
    </w:p>
    <w:p>
      <w:pPr/>
      <w:r>
        <w:t>so that a single forecast trajectory yields one binary, act-or-wait decision. The earliest horizon step that breaches the band fixes the predicted crossing time,</w:t>
      </w:r>
    </w:p>
    <w:p>
      <w:pPr>
        <w:tabs>
          <w:tab w:pos="4110" w:val="center"/>
          <w:tab w:pos="8220" w:val="right"/>
        </w:tabs>
      </w:pPr>
      <w:r>
        <w:tab/>
      </w:r>
      <m:oMath>
        <m:sSub>
          <m:e>
            <m:acc>
              <m:accPr>
                <m:chr m:val="̂"/>
              </m:accPr>
              <m:e>
                <m:r>
                  <m:t>h</m:t>
                </m:r>
              </m:e>
            </m:acc>
          </m:e>
          <m:sub>
            <m:r>
              <m:t>t</m:t>
            </m:r>
          </m:sub>
        </m:sSub>
        <m:r>
          <m:rPr>
            <m:sty m:val="p"/>
          </m:rPr>
          <m:t>=</m:t>
        </m:r>
        <m:r>
          <m:rPr>
            <m:sty m:val="p"/>
          </m:rPr>
          <m:t>min</m:t>
        </m:r>
        <m:r>
          <m:rPr>
            <m:sty m:val="p"/>
          </m:rPr>
          <m:t>{</m:t>
        </m:r>
        <m:r>
          <m:t> </m:t>
        </m:r>
        <m:r>
          <m:t>h</m:t>
        </m:r>
        <m:r>
          <m:rPr>
            <m:sty m:val="p"/>
          </m:rPr>
          <m:t>:</m:t>
        </m:r>
        <m:sSubSup>
          <m:e>
            <m:acc>
              <m:accPr>
                <m:chr m:val="̂"/>
              </m:accPr>
              <m:e>
                <m:r>
                  <m:t>y</m:t>
                </m:r>
              </m:e>
            </m:acc>
          </m:e>
          <m:sub>
            <m:r>
              <m:t>t</m:t>
            </m:r>
            <m:r>
              <m:rPr>
                <m:sty m:val="p"/>
              </m:rPr>
              <m:t>+</m:t>
            </m:r>
            <m:r>
              <m:t>h</m:t>
            </m:r>
          </m:sub>
          <m:sup>
            <m:r>
              <m:t> </m:t>
            </m:r>
            <m:r>
              <m:rPr>
                <m:sty m:val="p"/>
              </m:rPr>
              <m:t>g</m:t>
            </m:r>
            <m:r>
              <m:rPr>
                <m:sty m:val="p"/>
              </m:rPr>
              <m:t>a</m:t>
            </m:r>
            <m:r>
              <m:rPr>
                <m:sty m:val="p"/>
              </m:rPr>
              <m:t>t</m:t>
            </m:r>
            <m:r>
              <m:rPr>
                <m:sty m:val="p"/>
              </m:rPr>
              <m:t>e</m:t>
            </m:r>
          </m:sup>
        </m:sSubSup>
        <m:r>
          <m:rPr>
            <m:sty m:val="p"/>
          </m:rPr>
          <m:t>∉</m:t>
        </m:r>
        <m:r>
          <m:rPr>
            <m:sty m:val="p"/>
          </m:rPr>
          <m:t>[</m:t>
        </m:r>
        <m:r>
          <m:t>ℓ</m:t>
        </m:r>
        <m:r>
          <m:rPr>
            <m:sty m:val="p"/>
          </m:rPr>
          <m:t>,</m:t>
        </m:r>
        <m:r>
          <m:t>u</m:t>
        </m:r>
        <m:r>
          <m:rPr>
            <m:sty m:val="p"/>
          </m:rPr>
          <m:t>]</m:t>
        </m:r>
        <m:r>
          <m:t> </m:t>
        </m:r>
        <m:r>
          <m:rPr>
            <m:sty m:val="p"/>
          </m:rPr>
          <m:t>}</m:t>
        </m:r>
        <m:r>
          <m:rPr>
            <m:sty m:val="p"/>
          </m:rPr>
          <m:t>,</m:t>
        </m:r>
        <m:r>
          <m:t>  </m:t>
        </m:r>
        <m:sSub>
          <m:e>
            <m:acc>
              <m:accPr>
                <m:chr m:val="̂"/>
              </m:accPr>
              <m:e>
                <m:r>
                  <m:t>t</m:t>
                </m:r>
              </m:e>
            </m:acc>
          </m:e>
          <m:sub>
            <m:r>
              <m:rPr>
                <m:sty m:val="p"/>
              </m:rPr>
              <m:t>c</m:t>
            </m:r>
            <m:r>
              <m:rPr>
                <m:sty m:val="p"/>
              </m:rPr>
              <m:t>r</m:t>
            </m:r>
            <m:r>
              <m:rPr>
                <m:sty m:val="p"/>
              </m:rPr>
              <m:t>o</m:t>
            </m:r>
            <m:r>
              <m:rPr>
                <m:sty m:val="p"/>
              </m:rPr>
              <m:t>s</m:t>
            </m:r>
            <m:r>
              <m:rPr>
                <m:sty m:val="p"/>
              </m:rPr>
              <m:t>s</m:t>
            </m:r>
          </m:sub>
        </m:sSub>
        <m:r>
          <m:rPr>
            <m:sty m:val="p"/>
          </m:rPr>
          <m:t>=</m:t>
        </m:r>
        <m:r>
          <m:rPr>
            <m:sty m:val="p"/>
          </m:rPr>
          <m:t>(</m:t>
        </m:r>
        <m:r>
          <m:t>t</m:t>
        </m:r>
        <m:r>
          <m:rPr>
            <m:sty m:val="p"/>
          </m:rPr>
          <m:t>+</m:t>
        </m:r>
        <m:sSub>
          <m:e>
            <m:acc>
              <m:accPr>
                <m:chr m:val="̂"/>
              </m:accPr>
              <m:e>
                <m:r>
                  <m:t>h</m:t>
                </m:r>
              </m:e>
            </m:acc>
          </m:e>
          <m:sub>
            <m:r>
              <m:t>t</m:t>
            </m:r>
          </m:sub>
        </m:sSub>
        <m:r>
          <m:rPr>
            <m:sty m:val="p"/>
          </m:rPr>
          <m:t>)</m:t>
        </m:r>
        <m:r>
          <m:t> </m:t>
        </m:r>
        <m:r>
          <m:rPr>
            <m:sty m:val="p"/>
          </m:rPr>
          <m:t>Δ</m:t>
        </m:r>
        <m:r>
          <m:t>t</m:t>
        </m:r>
      </m:oMath>
      <w:r>
        <w:tab/>
        <w:t xml:space="preserve">(16)</w:t>
      </w:r>
    </w:p>
    <w:p>
      <w:pPr/>
      <w:r>
        <w:t>Let τ* denote the true onset, the first time the measured target actually crosses the band. An alarm counts as a correct anticipation when it is raised before onset and still points to a crossing at or after it. Aggregating over a fault event, the system detects the event if any window satisfies this condition, and the event lead time is the interval by which the earliest such alarm precedes the true crossing,</w:t>
      </w:r>
    </w:p>
    <w:p>
      <w:pPr>
        <w:tabs>
          <w:tab w:pos="4110" w:val="center"/>
          <w:tab w:pos="8220" w:val="right"/>
        </w:tabs>
      </w:pPr>
      <w:r>
        <w:tab/>
      </w:r>
      <m:oMath>
        <m:r>
          <m:rPr>
            <m:sty m:val="p"/>
          </m:rPr>
          <m:t>L</m:t>
        </m:r>
        <m:r>
          <m:rPr>
            <m:sty m:val="p"/>
          </m:rPr>
          <m:t>T</m:t>
        </m:r>
        <m:r>
          <m:rPr>
            <m:sty m:val="p"/>
          </m:rPr>
          <m:t>=</m:t>
        </m:r>
        <m:sSup>
          <m:e>
            <m:r>
              <m:t>τ</m:t>
            </m:r>
          </m:e>
          <m:sup>
            <m:r>
              <m:rPr>
                <m:sty m:val="p"/>
              </m:rPr>
              <m:t>*</m:t>
            </m:r>
          </m:sup>
        </m:sSup>
        <m:r>
          <m:rPr>
            <m:sty m:val="p"/>
          </m:rPr>
          <m:t>−</m:t>
        </m:r>
        <m:r>
          <m:rPr>
            <m:sty m:val="p"/>
          </m:rPr>
          <m:t>Δ</m:t>
        </m:r>
        <m:r>
          <m:t>t</m:t>
        </m:r>
        <m:r>
          <m:rPr>
            <m:sty m:val="p"/>
          </m:rPr>
          <m:t>⋅</m:t>
        </m:r>
        <m:r>
          <m:rPr>
            <m:sty m:val="p"/>
          </m:rPr>
          <m:t>min</m:t>
        </m:r>
        <m:r>
          <m:rPr>
            <m:sty m:val="p"/>
          </m:rPr>
          <m:t>{</m:t>
        </m:r>
        <m:r>
          <m:t> </m:t>
        </m:r>
        <m:r>
          <m:t>t</m:t>
        </m:r>
        <m:r>
          <m:rPr>
            <m:sty m:val="p"/>
          </m:rPr>
          <m:t>:</m:t>
        </m:r>
        <m:r>
          <m:t>t</m:t>
        </m:r>
        <m:r>
          <m:t> </m:t>
        </m:r>
        <m:r>
          <m:rPr>
            <m:sty m:val="p"/>
          </m:rPr>
          <m:t>Δ</m:t>
        </m:r>
        <m:r>
          <m:t>t</m:t>
        </m:r>
        <m:r>
          <m:rPr>
            <m:sty m:val="p"/>
          </m:rPr>
          <m:t>&lt;</m:t>
        </m:r>
        <m:sSup>
          <m:e>
            <m:r>
              <m:t>τ</m:t>
            </m:r>
          </m:e>
          <m:sup>
            <m:r>
              <m:rPr>
                <m:sty m:val="p"/>
              </m:rPr>
              <m:t>*</m:t>
            </m:r>
          </m:sup>
        </m:sSup>
        <m:r>
          <m:rPr>
            <m:sty m:val="p"/>
          </m:rPr>
          <m:t>,</m:t>
        </m:r>
        <m:r>
          <m:t> </m:t>
        </m:r>
        <m:sSub>
          <m:e>
            <m:acc>
              <m:accPr>
                <m:chr m:val="̂"/>
              </m:accPr>
              <m:e>
                <m:r>
                  <m:t>t</m:t>
                </m:r>
              </m:e>
            </m:acc>
          </m:e>
          <m:sub>
            <m:r>
              <m:rPr>
                <m:sty m:val="p"/>
              </m:rPr>
              <m:t>c</m:t>
            </m:r>
            <m:r>
              <m:rPr>
                <m:sty m:val="p"/>
              </m:rPr>
              <m:t>r</m:t>
            </m:r>
            <m:r>
              <m:rPr>
                <m:sty m:val="p"/>
              </m:rPr>
              <m:t>o</m:t>
            </m:r>
            <m:r>
              <m:rPr>
                <m:sty m:val="p"/>
              </m:rPr>
              <m:t>s</m:t>
            </m:r>
            <m:r>
              <m:rPr>
                <m:sty m:val="p"/>
              </m:rPr>
              <m:t>s</m:t>
            </m:r>
          </m:sub>
        </m:sSub>
        <m:r>
          <m:rPr>
            <m:sty m:val="p"/>
          </m:rPr>
          <m:t>≥</m:t>
        </m:r>
        <m:sSup>
          <m:e>
            <m:r>
              <m:t>τ</m:t>
            </m:r>
          </m:e>
          <m:sup>
            <m:r>
              <m:rPr>
                <m:sty m:val="p"/>
              </m:rPr>
              <m:t>*</m:t>
            </m:r>
          </m:sup>
        </m:sSup>
        <m:r>
          <m:rPr>
            <m:sty m:val="p"/>
          </m:rPr>
          <m:t>,</m:t>
        </m:r>
        <m:r>
          <m:t> </m:t>
        </m:r>
        <m:sSub>
          <m:e>
            <m:r>
              <m:t>A</m:t>
            </m:r>
          </m:e>
          <m:sub>
            <m:r>
              <m:t>t</m:t>
            </m:r>
          </m:sub>
        </m:sSub>
        <m:r>
          <m:rPr>
            <m:sty m:val="p"/>
          </m:rPr>
          <m:t>=</m:t>
        </m:r>
        <m:r>
          <m:t>1</m:t>
        </m:r>
        <m:r>
          <m:t> </m:t>
        </m:r>
        <m:r>
          <m:rPr>
            <m:sty m:val="p"/>
          </m:rPr>
          <m:t>}</m:t>
        </m:r>
      </m:oMath>
      <w:r>
        <w:tab/>
        <w:t xml:space="preserve">(17)</w:t>
      </w:r>
    </w:p>
    <w:p>
      <w:pPr/>
      <w:r>
        <w:t>Rewarding early, on-target warnings is precisely what a reactive, error-only objective fails to capture, which is why forecasting accuracy alone is an incomplete proxy for prognostic value. Symmetrically, an alarm raised on a window that lies entirely before onset, whose last forecast step still falls before τ*, is a false anticipation. The pre-onset false-alarm rate normalises these against the number of such fully pre-onset windows,</w:t>
      </w:r>
    </w:p>
    <w:p>
      <w:pPr>
        <w:tabs>
          <w:tab w:pos="4110" w:val="center"/>
          <w:tab w:pos="8220" w:val="right"/>
        </w:tabs>
      </w:pPr>
      <w:r>
        <w:tab/>
      </w:r>
      <m:oMath>
        <m:r>
          <m:rPr>
            <m:sty m:val="p"/>
          </m:rPr>
          <m:t>p</m:t>
        </m:r>
        <m:r>
          <m:rPr>
            <m:sty m:val="p"/>
          </m:rPr>
          <m:t>r</m:t>
        </m:r>
        <m:r>
          <m:rPr>
            <m:sty m:val="p"/>
          </m:rPr>
          <m:t>e</m:t>
        </m:r>
        <m:r>
          <m:rPr>
            <m:sty m:val="p"/>
          </m:rPr>
          <m:t>F</m:t>
        </m:r>
        <m:r>
          <m:rPr>
            <m:sty m:val="p"/>
          </m:rPr>
          <m:t>A</m:t>
        </m:r>
        <m:r>
          <m:rPr>
            <m:sty m:val="p"/>
          </m:rPr>
          <m:t>R</m:t>
        </m:r>
        <m:r>
          <m:rPr>
            <m:sty m:val="p"/>
          </m:rPr>
          <m:t>=</m:t>
        </m:r>
        <m:f>
          <m:fPr>
            <m:type m:val="bar"/>
          </m:fPr>
          <m:num>
            <m:nary>
              <m:naryPr>
                <m:chr m:val="∑"/>
                <m:limLoc m:val="undOvr"/>
                <m:subHide m:val="off"/>
                <m:supHide m:val="on"/>
              </m:naryPr>
              <m:sub>
                <m:r>
                  <m:t>t</m:t>
                </m:r>
              </m:sub>
              <m:sup>
                <m:r>
                  <m:t>​</m:t>
                </m:r>
              </m:sup>
              <m:e>
                <m:sSub>
                  <m:e>
                    <m:r>
                      <m:t>A</m:t>
                    </m:r>
                  </m:e>
                  <m:sub>
                    <m:r>
                      <m:t>t</m:t>
                    </m:r>
                  </m:sub>
                </m:sSub>
              </m:e>
            </m:nary>
            <m:r>
              <m:t> </m:t>
            </m:r>
            <m:r>
              <m:rPr>
                <m:sty m:val="b"/>
              </m:rPr>
              <m:t>1</m:t>
            </m:r>
            <m:r>
              <m:rPr>
                <m:sty m:val="p"/>
              </m:rPr>
              <m:t>[</m:t>
            </m:r>
            <m:r>
              <m:rPr>
                <m:sty m:val="p"/>
              </m:rPr>
              <m:t>(</m:t>
            </m:r>
            <m:r>
              <m:t>t</m:t>
            </m:r>
            <m:r>
              <m:rPr>
                <m:sty m:val="p"/>
              </m:rPr>
              <m:t>+</m:t>
            </m:r>
            <m:r>
              <m:t>H</m:t>
            </m:r>
            <m:r>
              <m:rPr>
                <m:sty m:val="p"/>
              </m:rPr>
              <m:t>)</m:t>
            </m:r>
            <m:r>
              <m:t> </m:t>
            </m:r>
            <m:r>
              <m:rPr>
                <m:sty m:val="p"/>
              </m:rPr>
              <m:t>Δ</m:t>
            </m:r>
            <m:r>
              <m:t>t</m:t>
            </m:r>
            <m:r>
              <m:rPr>
                <m:sty m:val="p"/>
              </m:rPr>
              <m:t>&lt;</m:t>
            </m:r>
            <m:sSup>
              <m:e>
                <m:r>
                  <m:t>τ</m:t>
                </m:r>
              </m:e>
              <m:sup>
                <m:r>
                  <m:rPr>
                    <m:sty m:val="p"/>
                  </m:rPr>
                  <m:t>*</m:t>
                </m:r>
              </m:sup>
            </m:sSup>
            <m:r>
              <m:rPr>
                <m:sty m:val="p"/>
              </m:rPr>
              <m:t>]</m:t>
            </m:r>
          </m:num>
          <m:den>
            <m:nary>
              <m:naryPr>
                <m:chr m:val="∑"/>
                <m:limLoc m:val="undOvr"/>
                <m:subHide m:val="off"/>
                <m:supHide m:val="on"/>
              </m:naryPr>
              <m:sub>
                <m:r>
                  <m:t>t</m:t>
                </m:r>
              </m:sub>
              <m:sup>
                <m:r>
                  <m:t>​</m:t>
                </m:r>
              </m:sup>
              <m:e>
                <m:r>
                  <m:rPr>
                    <m:sty m:val="b"/>
                  </m:rPr>
                  <m:t>1</m:t>
                </m:r>
              </m:e>
            </m:nary>
            <m:r>
              <m:rPr>
                <m:sty m:val="p"/>
              </m:rPr>
              <m:t>[</m:t>
            </m:r>
            <m:r>
              <m:rPr>
                <m:sty m:val="p"/>
              </m:rPr>
              <m:t>(</m:t>
            </m:r>
            <m:r>
              <m:t>t</m:t>
            </m:r>
            <m:r>
              <m:rPr>
                <m:sty m:val="p"/>
              </m:rPr>
              <m:t>+</m:t>
            </m:r>
            <m:r>
              <m:t>H</m:t>
            </m:r>
            <m:r>
              <m:rPr>
                <m:sty m:val="p"/>
              </m:rPr>
              <m:t>)</m:t>
            </m:r>
            <m:r>
              <m:t> </m:t>
            </m:r>
            <m:r>
              <m:rPr>
                <m:sty m:val="p"/>
              </m:rPr>
              <m:t>Δ</m:t>
            </m:r>
            <m:r>
              <m:t>t</m:t>
            </m:r>
            <m:r>
              <m:rPr>
                <m:sty m:val="p"/>
              </m:rPr>
              <m:t>&lt;</m:t>
            </m:r>
            <m:sSup>
              <m:e>
                <m:r>
                  <m:t>τ</m:t>
                </m:r>
              </m:e>
              <m:sup>
                <m:r>
                  <m:rPr>
                    <m:sty m:val="p"/>
                  </m:rPr>
                  <m:t>*</m:t>
                </m:r>
              </m:sup>
            </m:sSup>
            <m:r>
              <m:rPr>
                <m:sty m:val="p"/>
              </m:rPr>
              <m:t>]</m:t>
            </m:r>
          </m:den>
        </m:f>
      </m:oMath>
      <w:r>
        <w:tab/>
        <w:t xml:space="preserve">(18)</w:t>
      </w:r>
    </w:p>
    <w:p>
      <w:pPr/>
      <w:r>
        <w:t>which measures how often the system raises a false warning during quiet operation. Crucially, lead time and false alarms trade off against each other, so neither is meaningful in isolation. We therefore judge prognosis at a controlled operating point, reporting the detection recall attainable while holding preFAR within a fixed budget β. This budgeted view, rather than raw forecasting error, is the criterion at which a prognostic system is deployed, and it is the operating regime the proposed gate is designed to dominate.</w:t>
      </w:r>
    </w:p>
    <w:p>
      <w:pPr>
        <w:pStyle w:val="2"/>
      </w:pPr>
      <w:r>
        <w:t>3.4</w:t>
        <w:tab/>
        <w:t>Optimization Methodology</w:t>
      </w:r>
    </w:p>
    <w:p>
      <w:pPr/>
      <w:r>
        <w:t>Training the operators and the gate jointly on scarce fault data would be a mistake on two counts: the gate could memorise the few fault windows rather than learn a regime-aware policy, and the backbones would become coupled to a particular gate. We therefore optimise the two stages separately. In the first stage, each operator is few-shot aligned in isolation by the objective of Eq. (7). In the second stage, the gate is fit on a held-out validation split while every operator is kept frozen,</w:t>
      </w:r>
    </w:p>
    <w:p>
      <w:pPr>
        <w:tabs>
          <w:tab w:pos="4110" w:val="center"/>
          <w:tab w:pos="8220" w:val="right"/>
        </w:tabs>
      </w:pPr>
      <w:r>
        <w:tab/>
      </w:r>
      <m:oMath>
        <m:sSup>
          <m:e>
            <m:r>
              <m:t>ψ</m:t>
            </m:r>
          </m:e>
          <m:sup>
            <m:r>
              <m:rPr>
                <m:sty m:val="p"/>
              </m:rPr>
              <m:t>*</m:t>
            </m:r>
          </m:sup>
        </m:sSup>
        <m:r>
          <m:rPr>
            <m:sty m:val="p"/>
          </m:rPr>
          <m:t>=</m:t>
        </m:r>
        <m:sSub>
          <m:e>
            <m:r>
              <m:rPr>
                <m:sty m:val="p"/>
              </m:rPr>
              <m:t>arg min</m:t>
            </m:r>
          </m:e>
          <m:sub>
            <m:r>
              <m:t>ψ</m:t>
            </m:r>
          </m:sub>
        </m:sSub>
        <m:r>
          <m:t> </m:t>
        </m:r>
        <m:f>
          <m:fPr>
            <m:type m:val="bar"/>
          </m:fPr>
          <m:num>
            <m:r>
              <m:t>1</m:t>
            </m:r>
          </m:num>
          <m:den>
            <m:r>
              <m:rPr>
                <m:sty m:val="p"/>
              </m:rPr>
              <m:t>|</m:t>
            </m:r>
            <m:r>
              <m:rPr>
                <m:scr m:val="script"/>
                <m:sty m:val="p"/>
              </m:rPr>
              <m:t>V</m:t>
            </m:r>
            <m:r>
              <m:rPr>
                <m:sty m:val="p"/>
              </m:rPr>
              <m:t>|</m:t>
            </m:r>
          </m:den>
        </m:f>
        <m:nary>
          <m:naryPr>
            <m:chr m:val="∑"/>
            <m:limLoc m:val="undOvr"/>
            <m:subHide m:val="off"/>
            <m:supHide m:val="on"/>
          </m:naryPr>
          <m:sub>
            <m:r>
              <m:t>t</m:t>
            </m:r>
            <m:r>
              <m:rPr>
                <m:sty m:val="p"/>
              </m:rPr>
              <m:t>∈</m:t>
            </m:r>
            <m:r>
              <m:rPr>
                <m:scr m:val="script"/>
                <m:sty m:val="p"/>
              </m:rPr>
              <m:t>V</m:t>
            </m:r>
          </m:sub>
          <m:sup>
            <m:r>
              <m:t>​</m:t>
            </m:r>
          </m:sup>
          <m:e>
            <m:nary>
              <m:naryPr>
                <m:chr m:val="∑"/>
                <m:limLoc m:val="undOvr"/>
                <m:subHide m:val="off"/>
                <m:supHide m:val="off"/>
              </m:naryPr>
              <m:sub>
                <m:r>
                  <m:t>h</m:t>
                </m:r>
                <m:r>
                  <m:rPr>
                    <m:sty m:val="p"/>
                  </m:rPr>
                  <m:t>=</m:t>
                </m:r>
                <m:r>
                  <m:t>1</m:t>
                </m:r>
              </m:sub>
              <m:sup>
                <m:r>
                  <m:t>H</m:t>
                </m:r>
              </m:sup>
              <m:e>
                <m:r>
                  <m:rPr>
                    <m:sty m:val="p"/>
                  </m:rPr>
                  <m:t>(</m:t>
                </m:r>
              </m:e>
            </m:nary>
          </m:e>
        </m:nary>
        <m:sSubSup>
          <m:e>
            <m:acc>
              <m:accPr>
                <m:chr m:val="̂"/>
              </m:accPr>
              <m:e>
                <m:r>
                  <m:t>y</m:t>
                </m:r>
              </m:e>
            </m:acc>
          </m:e>
          <m:sub>
            <m:r>
              <m:t>t</m:t>
            </m:r>
            <m:r>
              <m:rPr>
                <m:sty m:val="p"/>
              </m:rPr>
              <m:t>+</m:t>
            </m:r>
            <m:r>
              <m:t>h</m:t>
            </m:r>
          </m:sub>
          <m:sup>
            <m:r>
              <m:t> </m:t>
            </m:r>
            <m:r>
              <m:rPr>
                <m:sty m:val="p"/>
              </m:rPr>
              <m:t>g</m:t>
            </m:r>
            <m:r>
              <m:rPr>
                <m:sty m:val="p"/>
              </m:rPr>
              <m:t>a</m:t>
            </m:r>
            <m:r>
              <m:rPr>
                <m:sty m:val="p"/>
              </m:rPr>
              <m:t>t</m:t>
            </m:r>
            <m:r>
              <m:rPr>
                <m:sty m:val="p"/>
              </m:rPr>
              <m:t>e</m:t>
            </m:r>
          </m:sup>
        </m:sSubSup>
        <m:r>
          <m:rPr>
            <m:sty m:val="p"/>
          </m:rPr>
          <m:t>−</m:t>
        </m:r>
        <m:sSub>
          <m:e>
            <m:r>
              <m:t>y</m:t>
            </m:r>
          </m:e>
          <m:sub>
            <m:r>
              <m:t>t</m:t>
            </m:r>
            <m:r>
              <m:rPr>
                <m:sty m:val="p"/>
              </m:rPr>
              <m:t>+</m:t>
            </m:r>
            <m:r>
              <m:t>h</m:t>
            </m:r>
          </m:sub>
        </m:sSub>
        <m:sSup>
          <m:e>
            <m:r>
              <m:rPr>
                <m:sty m:val="p"/>
              </m:rPr>
              <m:t>)</m:t>
            </m:r>
          </m:e>
          <m:sup>
            <m:r>
              <m:t>2</m:t>
            </m:r>
          </m:sup>
        </m:sSup>
      </m:oMath>
      <w:r>
        <w:tab/>
        <w:t xml:space="preserve">(19)</w:t>
      </w:r>
    </w:p>
    <w:p>
      <w:pPr/>
      <w:r>
        <w:t>optimised with Adam at a learning rate of 10⁻³, weight decay 10⁻⁴ and 500 epochs. Fitting the gate on a split that is disjoint from both the operator adaptation and the test data prevents it from overfitting the very operators it arbitrates, and it is the reason the fused forecast generalises rather than merely interpolating known outcomes. The optimisation is disciplined to prevent leakage at every seam. The control limits are computed from healthy training data only, the context features are standardised by validation statistics alone, and the ground-truth trajectories supplied by the different operators are asserted identical before fusion, so any measured gain is attributable to the routing and not to a bookkeeping artefact.</w:t>
      </w:r>
    </w:p>
    <w:p>
      <w:pPr>
        <w:pStyle w:val="2"/>
      </w:pPr>
      <w:r>
        <w:t>3.5</w:t>
        <w:tab/>
        <w:t>Overall Algorithmic Framework</w:t>
      </w:r>
    </w:p>
    <w:p>
      <w:pPr/>
      <w:r>
        <w:t>The complete pipeline assembles the preceding components into a single few-shot fault-prognosis procedure. Two aligned views of the target, raw and first-difference, are prepared over the same multivariate window. Each TSFM operator is few-shot aligned by Eq. (7), then run to produce window-aligned forecasts on both the validation and the test splits. Context features are extracted from every input window by Eq. (12), the gate is trained on the validation split by Eq. (19), and the learned routing is applied on the test split to fuse the operators through Eq. (14). The fused trajectory is finally mapped to an early-warning decision by the prognosis decision rule of Section 3.3, Eq. (15), from which the forecasting error and the budgeted prognostic quality are evaluated. Algorithm 1 states the procedure end to end.</w:t>
      </w:r>
    </w:p>
    <w:p>
      <w:pPr/>
      <w:r>
        <w:t>Algorithm 1. Gate-based ensemble of TSFMs for few-shot fault prognosis.</w:t>
      </w:r>
    </w:p>
    <w:p>
      <w:pPr/>
      <w:r>
        <w:rPr>
          <w:rFonts w:ascii="Consolas" w:hAnsi="Consolas"/>
          <w:sz w:val="18"/>
        </w:rPr>
        <w:t>Input : window stream {Xₜ}; target y; few-shot ratio ρ; pretrained TSFMs {θ₀⁽ⁱ⁾}</w:t>
      </w:r>
    </w:p>
    <w:p>
      <w:pPr/>
      <w:r>
        <w:rPr>
          <w:rFonts w:ascii="Consolas" w:hAnsi="Consolas"/>
          <w:sz w:val="18"/>
        </w:rPr>
        <w:t>Output: fused forecasts ŷ^gate and alarm decisions {Aₜ} on the test split</w:t>
      </w:r>
    </w:p>
    <w:p>
      <w:pPr/>
      <w:r>
        <w:rPr>
          <w:rFonts w:ascii="Consolas" w:hAnsi="Consolas"/>
          <w:sz w:val="18"/>
        </w:rPr>
        <w:t>1  fit control limits (ℓ, u) and scaler on healthy training data           ▷ Eq. (3), (9)</w:t>
      </w:r>
    </w:p>
    <w:p>
      <w:pPr/>
      <w:r>
        <w:rPr>
          <w:rFonts w:ascii="Consolas" w:hAnsi="Consolas"/>
          <w:sz w:val="18"/>
        </w:rPr>
        <w:t>2  draw nested few-shot subset 𝒮_ρ by seeded permutation             ▷ Eq. (8)</w:t>
      </w:r>
    </w:p>
    <w:p>
      <w:pPr/>
      <w:r>
        <w:rPr>
          <w:rFonts w:ascii="Consolas" w:hAnsi="Consolas"/>
          <w:sz w:val="18"/>
        </w:rPr>
        <w:t>3  for each operator i in { Timer-XL-raw, Timer-XL-diff, Time-MoE, Sundial }:</w:t>
      </w:r>
    </w:p>
    <w:p>
      <w:pPr/>
      <w:r>
        <w:rPr>
          <w:rFonts w:ascii="Consolas" w:hAnsi="Consolas"/>
          <w:sz w:val="18"/>
        </w:rPr>
        <w:t>4       obtain θ⁽ⁱ⁾: few-shot align Timer-XL views from θ₀⁽ⁱ⁾, else use pretrained   ▷ Eq. (7)</w:t>
      </w:r>
    </w:p>
    <w:p>
      <w:pPr/>
      <w:r>
        <w:rPr>
          <w:rFonts w:ascii="Consolas" w:hAnsi="Consolas"/>
          <w:sz w:val="18"/>
        </w:rPr>
        <w:t>5       infer ŷ^{(i)} on validation and test (diff view restored)             ▷ Eq. (10), (11)</w:t>
      </w:r>
    </w:p>
    <w:p>
      <w:pPr/>
      <w:r>
        <w:rPr>
          <w:rFonts w:ascii="Consolas" w:hAnsi="Consolas"/>
          <w:sz w:val="18"/>
        </w:rPr>
        <w:t>6  extract context features φ(X) on validation and test                    ▷ Eq. (12)</w:t>
      </w:r>
    </w:p>
    <w:p>
      <w:pPr/>
      <w:r>
        <w:rPr>
          <w:rFonts w:ascii="Consolas" w:hAnsi="Consolas"/>
          <w:sz w:val="18"/>
        </w:rPr>
        <w:t>7  train gate g_ψ on validation with operators frozen                      ▷ Eq. (13), (19)</w:t>
      </w:r>
    </w:p>
    <w:p>
      <w:pPr/>
      <w:r>
        <w:rPr>
          <w:rFonts w:ascii="Consolas" w:hAnsi="Consolas"/>
          <w:sz w:val="18"/>
        </w:rPr>
        <w:t>8  fuse operators on test by per-horizon routing                            ▷ Eq. (14)</w:t>
      </w:r>
    </w:p>
    <w:p>
      <w:pPr/>
      <w:r>
        <w:rPr>
          <w:rFonts w:ascii="Consolas" w:hAnsi="Consolas"/>
          <w:sz w:val="18"/>
        </w:rPr>
        <w:t>9  map fused forecast to alarms, lead times and preFAR                      ▷ Eq. (15)–(18)</w:t>
      </w:r>
    </w:p>
    <w:p>
      <w:pPr/>
      <w:r>
        <w:rPr>
          <w:rFonts w:ascii="Consolas" w:hAnsi="Consolas"/>
          <w:sz w:val="18"/>
        </w:rPr>
        <w:t>10 return ŷ^gate, {Aₜ}</w:t>
      </w:r>
    </w:p>
    <w:sectPr w:rsidR="002635D2" w:rsidRPr="00016F54" w:rsidSect="008D01E0">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0B87E" w14:textId="77777777" w:rsidR="00F25086" w:rsidRDefault="00F25086" w:rsidP="0044082D">
      <w:pPr>
        <w:spacing w:after="0" w:line="240" w:lineRule="auto"/>
        <w:ind w:left="480" w:firstLine="480"/>
      </w:pPr>
      <w:r>
        <w:separator/>
      </w:r>
    </w:p>
  </w:endnote>
  <w:endnote w:type="continuationSeparator" w:id="0">
    <w:p w14:paraId="10C315C1" w14:textId="77777777" w:rsidR="00F25086" w:rsidRDefault="00F25086"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F2D66" w14:textId="77777777" w:rsidR="00F25086" w:rsidRDefault="00F25086" w:rsidP="0044082D">
      <w:pPr>
        <w:spacing w:after="0" w:line="240" w:lineRule="auto"/>
        <w:ind w:left="480" w:firstLine="480"/>
      </w:pPr>
      <w:r>
        <w:separator/>
      </w:r>
    </w:p>
  </w:footnote>
  <w:footnote w:type="continuationSeparator" w:id="0">
    <w:p w14:paraId="686A78D4" w14:textId="77777777" w:rsidR="00F25086" w:rsidRDefault="00F25086"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09C"/>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6F54"/>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54"/>
    <w:rsid w:val="000349B5"/>
    <w:rsid w:val="0003535F"/>
    <w:rsid w:val="00035646"/>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B1A"/>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293D"/>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A88"/>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099"/>
    <w:rsid w:val="00074162"/>
    <w:rsid w:val="00074752"/>
    <w:rsid w:val="0007497C"/>
    <w:rsid w:val="00074B2E"/>
    <w:rsid w:val="00074E4F"/>
    <w:rsid w:val="00075162"/>
    <w:rsid w:val="00075499"/>
    <w:rsid w:val="000755CE"/>
    <w:rsid w:val="0007573F"/>
    <w:rsid w:val="000759CE"/>
    <w:rsid w:val="00075B58"/>
    <w:rsid w:val="000764E6"/>
    <w:rsid w:val="00076635"/>
    <w:rsid w:val="000766DB"/>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3C2D"/>
    <w:rsid w:val="00084122"/>
    <w:rsid w:val="000845DD"/>
    <w:rsid w:val="000845E4"/>
    <w:rsid w:val="000846BB"/>
    <w:rsid w:val="0008481F"/>
    <w:rsid w:val="00084994"/>
    <w:rsid w:val="000849D1"/>
    <w:rsid w:val="00084F3E"/>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A43"/>
    <w:rsid w:val="00091B8E"/>
    <w:rsid w:val="00091DD3"/>
    <w:rsid w:val="00091EEC"/>
    <w:rsid w:val="00091F20"/>
    <w:rsid w:val="0009209D"/>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4164"/>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6EA4"/>
    <w:rsid w:val="000F7DC0"/>
    <w:rsid w:val="00100146"/>
    <w:rsid w:val="00100A51"/>
    <w:rsid w:val="0010163D"/>
    <w:rsid w:val="00101709"/>
    <w:rsid w:val="00101F3B"/>
    <w:rsid w:val="00102297"/>
    <w:rsid w:val="0010264D"/>
    <w:rsid w:val="00102E2E"/>
    <w:rsid w:val="00102F14"/>
    <w:rsid w:val="001036BB"/>
    <w:rsid w:val="00103BE8"/>
    <w:rsid w:val="00103D79"/>
    <w:rsid w:val="00103E10"/>
    <w:rsid w:val="001048F3"/>
    <w:rsid w:val="00104D3D"/>
    <w:rsid w:val="00105172"/>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8E6"/>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2DD0"/>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1DE"/>
    <w:rsid w:val="00141317"/>
    <w:rsid w:val="00141B93"/>
    <w:rsid w:val="00142C79"/>
    <w:rsid w:val="00142D32"/>
    <w:rsid w:val="00142F87"/>
    <w:rsid w:val="00143582"/>
    <w:rsid w:val="001436A0"/>
    <w:rsid w:val="00143A42"/>
    <w:rsid w:val="00143CB3"/>
    <w:rsid w:val="001442A4"/>
    <w:rsid w:val="001443AF"/>
    <w:rsid w:val="00144802"/>
    <w:rsid w:val="001449E4"/>
    <w:rsid w:val="00144C5F"/>
    <w:rsid w:val="00144CAB"/>
    <w:rsid w:val="00144E43"/>
    <w:rsid w:val="0014553C"/>
    <w:rsid w:val="00145CE9"/>
    <w:rsid w:val="00146138"/>
    <w:rsid w:val="001466C2"/>
    <w:rsid w:val="00147401"/>
    <w:rsid w:val="001474D7"/>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E02"/>
    <w:rsid w:val="00177FE2"/>
    <w:rsid w:val="00180151"/>
    <w:rsid w:val="00180272"/>
    <w:rsid w:val="00180595"/>
    <w:rsid w:val="001805F6"/>
    <w:rsid w:val="001807EB"/>
    <w:rsid w:val="00180E91"/>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B59"/>
    <w:rsid w:val="00183E53"/>
    <w:rsid w:val="00184096"/>
    <w:rsid w:val="001842BE"/>
    <w:rsid w:val="00184650"/>
    <w:rsid w:val="0018478A"/>
    <w:rsid w:val="00184B25"/>
    <w:rsid w:val="00184DE1"/>
    <w:rsid w:val="00185098"/>
    <w:rsid w:val="0018518A"/>
    <w:rsid w:val="0018563B"/>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6E3"/>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3EEB"/>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678"/>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A9B"/>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236"/>
    <w:rsid w:val="0020747E"/>
    <w:rsid w:val="002077D7"/>
    <w:rsid w:val="00207921"/>
    <w:rsid w:val="0020795B"/>
    <w:rsid w:val="00210A67"/>
    <w:rsid w:val="00211362"/>
    <w:rsid w:val="002118D6"/>
    <w:rsid w:val="00211A6E"/>
    <w:rsid w:val="0021255F"/>
    <w:rsid w:val="00212736"/>
    <w:rsid w:val="002127E0"/>
    <w:rsid w:val="0021288C"/>
    <w:rsid w:val="002129A2"/>
    <w:rsid w:val="002129C7"/>
    <w:rsid w:val="002133E0"/>
    <w:rsid w:val="00213EF5"/>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032"/>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191"/>
    <w:rsid w:val="002476E0"/>
    <w:rsid w:val="00247E01"/>
    <w:rsid w:val="00247ECF"/>
    <w:rsid w:val="002500A0"/>
    <w:rsid w:val="00250950"/>
    <w:rsid w:val="00251255"/>
    <w:rsid w:val="00251960"/>
    <w:rsid w:val="00251B20"/>
    <w:rsid w:val="00251FBD"/>
    <w:rsid w:val="0025216D"/>
    <w:rsid w:val="0025241E"/>
    <w:rsid w:val="00252A34"/>
    <w:rsid w:val="00253A5B"/>
    <w:rsid w:val="002546ED"/>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482"/>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5C96"/>
    <w:rsid w:val="002768FF"/>
    <w:rsid w:val="00276C12"/>
    <w:rsid w:val="00276C52"/>
    <w:rsid w:val="00276E04"/>
    <w:rsid w:val="00276F26"/>
    <w:rsid w:val="0027785F"/>
    <w:rsid w:val="0027787A"/>
    <w:rsid w:val="002779A7"/>
    <w:rsid w:val="00277B67"/>
    <w:rsid w:val="00277DDE"/>
    <w:rsid w:val="00277F64"/>
    <w:rsid w:val="00280113"/>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1BA"/>
    <w:rsid w:val="002919C7"/>
    <w:rsid w:val="00292619"/>
    <w:rsid w:val="00292AAA"/>
    <w:rsid w:val="002935F1"/>
    <w:rsid w:val="002936B6"/>
    <w:rsid w:val="00293746"/>
    <w:rsid w:val="00293913"/>
    <w:rsid w:val="00294946"/>
    <w:rsid w:val="002949B4"/>
    <w:rsid w:val="0029538E"/>
    <w:rsid w:val="002961DA"/>
    <w:rsid w:val="002961FB"/>
    <w:rsid w:val="00296863"/>
    <w:rsid w:val="00297820"/>
    <w:rsid w:val="00297857"/>
    <w:rsid w:val="002979DA"/>
    <w:rsid w:val="00297D25"/>
    <w:rsid w:val="00297D60"/>
    <w:rsid w:val="00297EEF"/>
    <w:rsid w:val="002A06B2"/>
    <w:rsid w:val="002A16E2"/>
    <w:rsid w:val="002A1CCF"/>
    <w:rsid w:val="002A1EB3"/>
    <w:rsid w:val="002A2338"/>
    <w:rsid w:val="002A2B21"/>
    <w:rsid w:val="002A2CE3"/>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5F"/>
    <w:rsid w:val="002B4FB5"/>
    <w:rsid w:val="002B5249"/>
    <w:rsid w:val="002B5548"/>
    <w:rsid w:val="002B5BE1"/>
    <w:rsid w:val="002B6229"/>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1BF5"/>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095"/>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543"/>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1BFB"/>
    <w:rsid w:val="00362281"/>
    <w:rsid w:val="00362BC1"/>
    <w:rsid w:val="00362F08"/>
    <w:rsid w:val="0036404C"/>
    <w:rsid w:val="00364363"/>
    <w:rsid w:val="00364B78"/>
    <w:rsid w:val="00365144"/>
    <w:rsid w:val="003652C8"/>
    <w:rsid w:val="0036546D"/>
    <w:rsid w:val="003659E5"/>
    <w:rsid w:val="00365E3D"/>
    <w:rsid w:val="00365E94"/>
    <w:rsid w:val="003664AF"/>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1B21"/>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219"/>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97A"/>
    <w:rsid w:val="003B2B11"/>
    <w:rsid w:val="003B3666"/>
    <w:rsid w:val="003B3C03"/>
    <w:rsid w:val="003B40EE"/>
    <w:rsid w:val="003B4B52"/>
    <w:rsid w:val="003B501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16"/>
    <w:rsid w:val="003C6771"/>
    <w:rsid w:val="003C6949"/>
    <w:rsid w:val="003C7EBF"/>
    <w:rsid w:val="003C7ED9"/>
    <w:rsid w:val="003C7F87"/>
    <w:rsid w:val="003D0236"/>
    <w:rsid w:val="003D04D6"/>
    <w:rsid w:val="003D0C88"/>
    <w:rsid w:val="003D2526"/>
    <w:rsid w:val="003D2BFC"/>
    <w:rsid w:val="003D326A"/>
    <w:rsid w:val="003D33A9"/>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945"/>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DB6"/>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2D6D"/>
    <w:rsid w:val="0042352A"/>
    <w:rsid w:val="00423BCE"/>
    <w:rsid w:val="00423C98"/>
    <w:rsid w:val="00424A45"/>
    <w:rsid w:val="00424AD8"/>
    <w:rsid w:val="00426042"/>
    <w:rsid w:val="004261E6"/>
    <w:rsid w:val="004265BD"/>
    <w:rsid w:val="004265EC"/>
    <w:rsid w:val="0042753F"/>
    <w:rsid w:val="004275CE"/>
    <w:rsid w:val="00427944"/>
    <w:rsid w:val="004279FD"/>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376E3"/>
    <w:rsid w:val="004401FD"/>
    <w:rsid w:val="00440453"/>
    <w:rsid w:val="0044082D"/>
    <w:rsid w:val="00440E0D"/>
    <w:rsid w:val="00441269"/>
    <w:rsid w:val="0044152A"/>
    <w:rsid w:val="00441A81"/>
    <w:rsid w:val="00441DB5"/>
    <w:rsid w:val="00442E9B"/>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959"/>
    <w:rsid w:val="00460AA9"/>
    <w:rsid w:val="00460FA5"/>
    <w:rsid w:val="004617B2"/>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0A8"/>
    <w:rsid w:val="004650DC"/>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2E5"/>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895"/>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1E1E"/>
    <w:rsid w:val="004B27EB"/>
    <w:rsid w:val="004B27F7"/>
    <w:rsid w:val="004B2B9A"/>
    <w:rsid w:val="004B2C7E"/>
    <w:rsid w:val="004B3286"/>
    <w:rsid w:val="004B36FF"/>
    <w:rsid w:val="004B39BD"/>
    <w:rsid w:val="004B3A33"/>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2CAE"/>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36C1"/>
    <w:rsid w:val="004E409A"/>
    <w:rsid w:val="004E41EB"/>
    <w:rsid w:val="004E43F1"/>
    <w:rsid w:val="004E44A1"/>
    <w:rsid w:val="004E47C2"/>
    <w:rsid w:val="004E4DD9"/>
    <w:rsid w:val="004E4F14"/>
    <w:rsid w:val="004E4FB8"/>
    <w:rsid w:val="004E523F"/>
    <w:rsid w:val="004E59DA"/>
    <w:rsid w:val="004E5F19"/>
    <w:rsid w:val="004E60C6"/>
    <w:rsid w:val="004E60F3"/>
    <w:rsid w:val="004E67FD"/>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59F"/>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C86"/>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7E1"/>
    <w:rsid w:val="00550EF3"/>
    <w:rsid w:val="005511FF"/>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CA9"/>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4957"/>
    <w:rsid w:val="00565105"/>
    <w:rsid w:val="00566481"/>
    <w:rsid w:val="005664D9"/>
    <w:rsid w:val="005664F3"/>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4AF"/>
    <w:rsid w:val="005858DE"/>
    <w:rsid w:val="00585901"/>
    <w:rsid w:val="00585D19"/>
    <w:rsid w:val="0058642E"/>
    <w:rsid w:val="0058644F"/>
    <w:rsid w:val="0058655B"/>
    <w:rsid w:val="00586B81"/>
    <w:rsid w:val="00586BF0"/>
    <w:rsid w:val="00587AC3"/>
    <w:rsid w:val="005900FC"/>
    <w:rsid w:val="005904BB"/>
    <w:rsid w:val="00590A6D"/>
    <w:rsid w:val="00590CB4"/>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A7"/>
    <w:rsid w:val="005A6FB9"/>
    <w:rsid w:val="005A71C1"/>
    <w:rsid w:val="005A7A20"/>
    <w:rsid w:val="005A7A8D"/>
    <w:rsid w:val="005B017B"/>
    <w:rsid w:val="005B01E1"/>
    <w:rsid w:val="005B0226"/>
    <w:rsid w:val="005B0422"/>
    <w:rsid w:val="005B13FC"/>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2C7"/>
    <w:rsid w:val="005E14B8"/>
    <w:rsid w:val="005E15D2"/>
    <w:rsid w:val="005E2CE2"/>
    <w:rsid w:val="005E391F"/>
    <w:rsid w:val="005E3F56"/>
    <w:rsid w:val="005E465D"/>
    <w:rsid w:val="005E49BA"/>
    <w:rsid w:val="005E4B10"/>
    <w:rsid w:val="005E4B2D"/>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08CA"/>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0B0"/>
    <w:rsid w:val="0061655D"/>
    <w:rsid w:val="00616629"/>
    <w:rsid w:val="00616B02"/>
    <w:rsid w:val="00616B36"/>
    <w:rsid w:val="00616DAC"/>
    <w:rsid w:val="00617239"/>
    <w:rsid w:val="00617B58"/>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D7C"/>
    <w:rsid w:val="00634FD0"/>
    <w:rsid w:val="006350C1"/>
    <w:rsid w:val="006350F4"/>
    <w:rsid w:val="00635F16"/>
    <w:rsid w:val="0063622B"/>
    <w:rsid w:val="00636D5F"/>
    <w:rsid w:val="00637BEE"/>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B71"/>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0DC1"/>
    <w:rsid w:val="00671709"/>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379"/>
    <w:rsid w:val="006A7CC5"/>
    <w:rsid w:val="006A7D9D"/>
    <w:rsid w:val="006A7E3E"/>
    <w:rsid w:val="006B02BE"/>
    <w:rsid w:val="006B0483"/>
    <w:rsid w:val="006B08A7"/>
    <w:rsid w:val="006B0CA8"/>
    <w:rsid w:val="006B1012"/>
    <w:rsid w:val="006B120A"/>
    <w:rsid w:val="006B1210"/>
    <w:rsid w:val="006B1752"/>
    <w:rsid w:val="006B19DD"/>
    <w:rsid w:val="006B23F3"/>
    <w:rsid w:val="006B24C1"/>
    <w:rsid w:val="006B2BEE"/>
    <w:rsid w:val="006B318C"/>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3B6"/>
    <w:rsid w:val="006D05A7"/>
    <w:rsid w:val="006D0A22"/>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1F0F"/>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40D"/>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3F8"/>
    <w:rsid w:val="00721678"/>
    <w:rsid w:val="0072171E"/>
    <w:rsid w:val="00721CB8"/>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DCC"/>
    <w:rsid w:val="00731E00"/>
    <w:rsid w:val="00732FAE"/>
    <w:rsid w:val="0073316B"/>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AD7"/>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58F"/>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0C00"/>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6E08"/>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3B9"/>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61D"/>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5AC0"/>
    <w:rsid w:val="007A65B5"/>
    <w:rsid w:val="007A6F7E"/>
    <w:rsid w:val="007A75A6"/>
    <w:rsid w:val="007A7620"/>
    <w:rsid w:val="007A76AA"/>
    <w:rsid w:val="007A7C6D"/>
    <w:rsid w:val="007A7DF9"/>
    <w:rsid w:val="007A7E04"/>
    <w:rsid w:val="007B1A9D"/>
    <w:rsid w:val="007B1B37"/>
    <w:rsid w:val="007B1CC4"/>
    <w:rsid w:val="007B2154"/>
    <w:rsid w:val="007B2316"/>
    <w:rsid w:val="007B27AB"/>
    <w:rsid w:val="007B2802"/>
    <w:rsid w:val="007B2BED"/>
    <w:rsid w:val="007B3372"/>
    <w:rsid w:val="007B369A"/>
    <w:rsid w:val="007B376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67D"/>
    <w:rsid w:val="007C7767"/>
    <w:rsid w:val="007C7AF7"/>
    <w:rsid w:val="007C7EFC"/>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2835"/>
    <w:rsid w:val="007E36AE"/>
    <w:rsid w:val="007E3960"/>
    <w:rsid w:val="007E3A4E"/>
    <w:rsid w:val="007E3B2D"/>
    <w:rsid w:val="007E3E34"/>
    <w:rsid w:val="007E42B9"/>
    <w:rsid w:val="007E438D"/>
    <w:rsid w:val="007E5029"/>
    <w:rsid w:val="007E51AF"/>
    <w:rsid w:val="007E5968"/>
    <w:rsid w:val="007E5DAD"/>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1FF"/>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49DF"/>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3F74"/>
    <w:rsid w:val="00854395"/>
    <w:rsid w:val="00854462"/>
    <w:rsid w:val="008546A8"/>
    <w:rsid w:val="008546B2"/>
    <w:rsid w:val="008547D1"/>
    <w:rsid w:val="0085501B"/>
    <w:rsid w:val="008551C4"/>
    <w:rsid w:val="00855D6A"/>
    <w:rsid w:val="00855EAE"/>
    <w:rsid w:val="00856668"/>
    <w:rsid w:val="00856B9A"/>
    <w:rsid w:val="00856D02"/>
    <w:rsid w:val="00856E1E"/>
    <w:rsid w:val="00856EA4"/>
    <w:rsid w:val="008575AC"/>
    <w:rsid w:val="008578A6"/>
    <w:rsid w:val="0085798E"/>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8AA"/>
    <w:rsid w:val="00895A23"/>
    <w:rsid w:val="00896067"/>
    <w:rsid w:val="008970AC"/>
    <w:rsid w:val="00897192"/>
    <w:rsid w:val="00897208"/>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0C0"/>
    <w:rsid w:val="008C4C88"/>
    <w:rsid w:val="008C5567"/>
    <w:rsid w:val="008C5B4A"/>
    <w:rsid w:val="008C5C11"/>
    <w:rsid w:val="008C629C"/>
    <w:rsid w:val="008C65C9"/>
    <w:rsid w:val="008C6844"/>
    <w:rsid w:val="008C69E8"/>
    <w:rsid w:val="008C71AF"/>
    <w:rsid w:val="008C7606"/>
    <w:rsid w:val="008C7773"/>
    <w:rsid w:val="008C7BEA"/>
    <w:rsid w:val="008C7D03"/>
    <w:rsid w:val="008C7F17"/>
    <w:rsid w:val="008D01E0"/>
    <w:rsid w:val="008D02D9"/>
    <w:rsid w:val="008D0492"/>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D19"/>
    <w:rsid w:val="008D4F12"/>
    <w:rsid w:val="008D5023"/>
    <w:rsid w:val="008D53F8"/>
    <w:rsid w:val="008D542D"/>
    <w:rsid w:val="008D6431"/>
    <w:rsid w:val="008D713B"/>
    <w:rsid w:val="008D7A70"/>
    <w:rsid w:val="008D7AD6"/>
    <w:rsid w:val="008D7B42"/>
    <w:rsid w:val="008D7B4F"/>
    <w:rsid w:val="008D7E86"/>
    <w:rsid w:val="008E1E85"/>
    <w:rsid w:val="008E24C5"/>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3CE"/>
    <w:rsid w:val="008F6567"/>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72F"/>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4EE"/>
    <w:rsid w:val="009215E0"/>
    <w:rsid w:val="00921823"/>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370"/>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0BD"/>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823"/>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99"/>
    <w:rsid w:val="009816DF"/>
    <w:rsid w:val="00981E8B"/>
    <w:rsid w:val="009820D2"/>
    <w:rsid w:val="00982161"/>
    <w:rsid w:val="009821BE"/>
    <w:rsid w:val="0098250B"/>
    <w:rsid w:val="009827A6"/>
    <w:rsid w:val="00982C16"/>
    <w:rsid w:val="00982E79"/>
    <w:rsid w:val="00983032"/>
    <w:rsid w:val="00983CE4"/>
    <w:rsid w:val="00983EF7"/>
    <w:rsid w:val="009843E3"/>
    <w:rsid w:val="0098456F"/>
    <w:rsid w:val="00984672"/>
    <w:rsid w:val="00984C78"/>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68F1"/>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C83"/>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DD5"/>
    <w:rsid w:val="009C5F9A"/>
    <w:rsid w:val="009C60BA"/>
    <w:rsid w:val="009C61A7"/>
    <w:rsid w:val="009C6215"/>
    <w:rsid w:val="009C64E1"/>
    <w:rsid w:val="009C6B81"/>
    <w:rsid w:val="009C7294"/>
    <w:rsid w:val="009C7C00"/>
    <w:rsid w:val="009C7F18"/>
    <w:rsid w:val="009D005F"/>
    <w:rsid w:val="009D036D"/>
    <w:rsid w:val="009D0686"/>
    <w:rsid w:val="009D07C0"/>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D92"/>
    <w:rsid w:val="009D7DCA"/>
    <w:rsid w:val="009D7E3F"/>
    <w:rsid w:val="009D7F50"/>
    <w:rsid w:val="009E08B9"/>
    <w:rsid w:val="009E0F6F"/>
    <w:rsid w:val="009E1C36"/>
    <w:rsid w:val="009E24FE"/>
    <w:rsid w:val="009E2C3F"/>
    <w:rsid w:val="009E2FA5"/>
    <w:rsid w:val="009E331E"/>
    <w:rsid w:val="009E33B2"/>
    <w:rsid w:val="009E33DD"/>
    <w:rsid w:val="009E3BBB"/>
    <w:rsid w:val="009E43B7"/>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3C69"/>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0AB"/>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3FA"/>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338"/>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19B"/>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1C9"/>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47A6F"/>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815"/>
    <w:rsid w:val="00A66AAA"/>
    <w:rsid w:val="00A66B28"/>
    <w:rsid w:val="00A6703F"/>
    <w:rsid w:val="00A67775"/>
    <w:rsid w:val="00A67C23"/>
    <w:rsid w:val="00A67F1E"/>
    <w:rsid w:val="00A700CB"/>
    <w:rsid w:val="00A70501"/>
    <w:rsid w:val="00A70646"/>
    <w:rsid w:val="00A70776"/>
    <w:rsid w:val="00A70A63"/>
    <w:rsid w:val="00A70E60"/>
    <w:rsid w:val="00A70E65"/>
    <w:rsid w:val="00A71032"/>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35E"/>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295"/>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AD0"/>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3A82"/>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B6"/>
    <w:rsid w:val="00B069C6"/>
    <w:rsid w:val="00B06AC4"/>
    <w:rsid w:val="00B06C26"/>
    <w:rsid w:val="00B06CFD"/>
    <w:rsid w:val="00B06D2C"/>
    <w:rsid w:val="00B06DB5"/>
    <w:rsid w:val="00B06EC2"/>
    <w:rsid w:val="00B07286"/>
    <w:rsid w:val="00B076DC"/>
    <w:rsid w:val="00B07DAB"/>
    <w:rsid w:val="00B1012C"/>
    <w:rsid w:val="00B10414"/>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3806"/>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25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2F1"/>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9DA"/>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2F89"/>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3FDA"/>
    <w:rsid w:val="00BA45A8"/>
    <w:rsid w:val="00BA48E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9C"/>
    <w:rsid w:val="00BB46C9"/>
    <w:rsid w:val="00BB4AB8"/>
    <w:rsid w:val="00BB509E"/>
    <w:rsid w:val="00BB5614"/>
    <w:rsid w:val="00BB617E"/>
    <w:rsid w:val="00BB63C7"/>
    <w:rsid w:val="00BB6929"/>
    <w:rsid w:val="00BB6A7D"/>
    <w:rsid w:val="00BB6E96"/>
    <w:rsid w:val="00BB7210"/>
    <w:rsid w:val="00BB7582"/>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471"/>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7C0"/>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905"/>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AF"/>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639"/>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CFE"/>
    <w:rsid w:val="00C57E1E"/>
    <w:rsid w:val="00C57E9F"/>
    <w:rsid w:val="00C57F5F"/>
    <w:rsid w:val="00C57FE9"/>
    <w:rsid w:val="00C60287"/>
    <w:rsid w:val="00C603AE"/>
    <w:rsid w:val="00C60879"/>
    <w:rsid w:val="00C60BA8"/>
    <w:rsid w:val="00C61005"/>
    <w:rsid w:val="00C610B4"/>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B4C"/>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3018"/>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1E7A"/>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9AA"/>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A33"/>
    <w:rsid w:val="00CC7D97"/>
    <w:rsid w:val="00CD0CBE"/>
    <w:rsid w:val="00CD1C74"/>
    <w:rsid w:val="00CD1DC5"/>
    <w:rsid w:val="00CD1F00"/>
    <w:rsid w:val="00CD2197"/>
    <w:rsid w:val="00CD389D"/>
    <w:rsid w:val="00CD4A49"/>
    <w:rsid w:val="00CD4D12"/>
    <w:rsid w:val="00CD510C"/>
    <w:rsid w:val="00CD54C1"/>
    <w:rsid w:val="00CD54E9"/>
    <w:rsid w:val="00CD5805"/>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43F"/>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087"/>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74F"/>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26B"/>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44D1"/>
    <w:rsid w:val="00D451CF"/>
    <w:rsid w:val="00D45A6A"/>
    <w:rsid w:val="00D45BAC"/>
    <w:rsid w:val="00D462B1"/>
    <w:rsid w:val="00D46857"/>
    <w:rsid w:val="00D46EF3"/>
    <w:rsid w:val="00D47ACF"/>
    <w:rsid w:val="00D47BF4"/>
    <w:rsid w:val="00D47C4D"/>
    <w:rsid w:val="00D47D81"/>
    <w:rsid w:val="00D47FA6"/>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A0"/>
    <w:rsid w:val="00D650C6"/>
    <w:rsid w:val="00D652E6"/>
    <w:rsid w:val="00D65FED"/>
    <w:rsid w:val="00D66896"/>
    <w:rsid w:val="00D67435"/>
    <w:rsid w:val="00D678D0"/>
    <w:rsid w:val="00D678D3"/>
    <w:rsid w:val="00D67AF3"/>
    <w:rsid w:val="00D67FC1"/>
    <w:rsid w:val="00D70155"/>
    <w:rsid w:val="00D71500"/>
    <w:rsid w:val="00D717A8"/>
    <w:rsid w:val="00D71B61"/>
    <w:rsid w:val="00D729A3"/>
    <w:rsid w:val="00D729D1"/>
    <w:rsid w:val="00D72E3E"/>
    <w:rsid w:val="00D730BB"/>
    <w:rsid w:val="00D734E2"/>
    <w:rsid w:val="00D735AC"/>
    <w:rsid w:val="00D73819"/>
    <w:rsid w:val="00D7398D"/>
    <w:rsid w:val="00D74699"/>
    <w:rsid w:val="00D747EA"/>
    <w:rsid w:val="00D74A06"/>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31"/>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1C"/>
    <w:rsid w:val="00D92640"/>
    <w:rsid w:val="00D928E4"/>
    <w:rsid w:val="00D92FAC"/>
    <w:rsid w:val="00D94020"/>
    <w:rsid w:val="00D94962"/>
    <w:rsid w:val="00D9574D"/>
    <w:rsid w:val="00D95E03"/>
    <w:rsid w:val="00D95F4C"/>
    <w:rsid w:val="00D964FC"/>
    <w:rsid w:val="00D965FB"/>
    <w:rsid w:val="00D96AD9"/>
    <w:rsid w:val="00D96B30"/>
    <w:rsid w:val="00D97422"/>
    <w:rsid w:val="00D9742F"/>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4A4C"/>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769"/>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2DB"/>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522"/>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15F"/>
    <w:rsid w:val="00E4251D"/>
    <w:rsid w:val="00E43503"/>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73A"/>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365"/>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5FB5"/>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CC4"/>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C7D97"/>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028"/>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0CB0"/>
    <w:rsid w:val="00F0107F"/>
    <w:rsid w:val="00F01605"/>
    <w:rsid w:val="00F01668"/>
    <w:rsid w:val="00F01B3B"/>
    <w:rsid w:val="00F01D40"/>
    <w:rsid w:val="00F024D6"/>
    <w:rsid w:val="00F0289B"/>
    <w:rsid w:val="00F02980"/>
    <w:rsid w:val="00F02ACB"/>
    <w:rsid w:val="00F02B2E"/>
    <w:rsid w:val="00F02D28"/>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086"/>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AE3"/>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8D5"/>
    <w:rsid w:val="00F50A6D"/>
    <w:rsid w:val="00F50D94"/>
    <w:rsid w:val="00F50E83"/>
    <w:rsid w:val="00F50F48"/>
    <w:rsid w:val="00F510B5"/>
    <w:rsid w:val="00F512E2"/>
    <w:rsid w:val="00F517CC"/>
    <w:rsid w:val="00F51B1D"/>
    <w:rsid w:val="00F52DC8"/>
    <w:rsid w:val="00F52E7B"/>
    <w:rsid w:val="00F53659"/>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9DC"/>
    <w:rsid w:val="00F66A68"/>
    <w:rsid w:val="00F66E20"/>
    <w:rsid w:val="00F6711D"/>
    <w:rsid w:val="00F67579"/>
    <w:rsid w:val="00F67803"/>
    <w:rsid w:val="00F700B4"/>
    <w:rsid w:val="00F71CC0"/>
    <w:rsid w:val="00F71E15"/>
    <w:rsid w:val="00F724FD"/>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03E"/>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3A1"/>
    <w:rsid w:val="00FC653C"/>
    <w:rsid w:val="00FC6578"/>
    <w:rsid w:val="00FC7216"/>
    <w:rsid w:val="00FC75E9"/>
    <w:rsid w:val="00FC78D3"/>
    <w:rsid w:val="00FC7C49"/>
    <w:rsid w:val="00FD02F4"/>
    <w:rsid w:val="00FD0A44"/>
    <w:rsid w:val="00FD18F1"/>
    <w:rsid w:val="00FD1A61"/>
    <w:rsid w:val="00FD2577"/>
    <w:rsid w:val="00FD2815"/>
    <w:rsid w:val="00FD282B"/>
    <w:rsid w:val="00FD286A"/>
    <w:rsid w:val="00FD289F"/>
    <w:rsid w:val="00FD3445"/>
    <w:rsid w:val="00FD3971"/>
    <w:rsid w:val="00FD3DAF"/>
    <w:rsid w:val="00FD3DCC"/>
    <w:rsid w:val="00FD4247"/>
    <w:rsid w:val="00FD436D"/>
    <w:rsid w:val="00FD50DF"/>
    <w:rsid w:val="00FD53D4"/>
    <w:rsid w:val="00FD54D8"/>
    <w:rsid w:val="00FD5A00"/>
    <w:rsid w:val="00FD5ED4"/>
    <w:rsid w:val="00FD6072"/>
    <w:rsid w:val="00FD6114"/>
    <w:rsid w:val="00FD6209"/>
    <w:rsid w:val="00FD67CD"/>
    <w:rsid w:val="00FD6F7A"/>
    <w:rsid w:val="00FD6F91"/>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18292</TotalTime>
  <Pages>1</Pages>
  <Words>47</Words>
  <Characters>273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2431</cp:revision>
  <cp:lastPrinted>2026-04-30T02:46:00Z</cp:lastPrinted>
  <dcterms:created xsi:type="dcterms:W3CDTF">2026-04-12T03:42:00Z</dcterms:created>
  <dcterms:modified xsi:type="dcterms:W3CDTF">2026-07-14T06:54:00Z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id="LYyuEYEE"/&gt;&lt;style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