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1D0A6D11" w:rsidR="00465A6A" w:rsidRPr="00875CE6" w:rsidRDefault="00196BBF" w:rsidP="00196307">
      <w:pPr>
        <w:ind w:firstLineChars="83" w:firstLine="232"/>
        <w:jc w:val="center"/>
        <w:rPr>
          <w:rFonts w:eastAsiaTheme="minorEastAsia"/>
          <w:sz w:val="28"/>
          <w:szCs w:val="28"/>
        </w:rPr>
      </w:pPr>
      <w:r>
        <w:rPr>
          <w:rFonts w:eastAsiaTheme="minorEastAsia" w:hint="eastAsia"/>
          <w:sz w:val="28"/>
          <w:szCs w:val="28"/>
        </w:rPr>
        <w:t xml:space="preserve">ASProNet: Abnormal Situation Prognosis Network for </w:t>
      </w:r>
      <w:r w:rsidR="00166C1A">
        <w:rPr>
          <w:rFonts w:eastAsiaTheme="minorEastAsia" w:hint="eastAsia"/>
          <w:sz w:val="28"/>
          <w:szCs w:val="28"/>
        </w:rPr>
        <w:t xml:space="preserve">Complex </w:t>
      </w:r>
      <w:r>
        <w:rPr>
          <w:rFonts w:eastAsiaTheme="minorEastAsia" w:hint="eastAsia"/>
          <w:sz w:val="28"/>
          <w:szCs w:val="28"/>
        </w:rPr>
        <w:t>Chemical Processes</w:t>
      </w:r>
    </w:p>
    <w:p w14:paraId="7FB5BC62" w14:textId="3C2BA5DA"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00CF3C29" w:rsidRPr="003536A6">
        <w:rPr>
          <w:rFonts w:eastAsiaTheme="minorEastAsia"/>
          <w:sz w:val="21"/>
          <w:szCs w:val="20"/>
        </w:rPr>
        <w:t>Jinghe Zheng</w:t>
      </w:r>
      <w:r w:rsidR="001C6205" w:rsidRPr="001C6205">
        <w:rPr>
          <w:rFonts w:eastAsiaTheme="minorEastAsia" w:hint="eastAsia"/>
          <w:sz w:val="21"/>
          <w:szCs w:val="20"/>
          <w:vertAlign w:val="superscript"/>
        </w:rPr>
        <w:t>4</w:t>
      </w:r>
      <w:r w:rsidR="00CF3C29" w:rsidRPr="003536A6">
        <w:rPr>
          <w:rFonts w:eastAsiaTheme="minorEastAsia" w:hint="eastAsia"/>
          <w:sz w:val="21"/>
          <w:szCs w:val="20"/>
        </w:rPr>
        <w:t xml:space="preserve">, </w:t>
      </w:r>
      <w:r w:rsidR="00CF3C29" w:rsidRPr="003536A6">
        <w:rPr>
          <w:rFonts w:eastAsiaTheme="minorEastAsia"/>
          <w:sz w:val="21"/>
          <w:szCs w:val="20"/>
        </w:rPr>
        <w:t>Shui Qin</w:t>
      </w:r>
      <w:r w:rsidR="001C6205" w:rsidRPr="001C6205">
        <w:rPr>
          <w:rFonts w:eastAsiaTheme="minorEastAsia" w:hint="eastAsia"/>
          <w:sz w:val="21"/>
          <w:szCs w:val="20"/>
          <w:vertAlign w:val="superscript"/>
        </w:rPr>
        <w:t>4</w:t>
      </w:r>
      <w:r w:rsidR="00A41167">
        <w:rPr>
          <w:rFonts w:eastAsiaTheme="minorEastAsia" w:hint="eastAsia"/>
          <w:sz w:val="21"/>
          <w:szCs w:val="20"/>
        </w:rPr>
        <w:t>, Yuhe Tian</w:t>
      </w:r>
      <w:r w:rsidR="00A41167">
        <w:rPr>
          <w:rFonts w:eastAsiaTheme="minorEastAsia" w:hint="eastAsia"/>
          <w:sz w:val="21"/>
          <w:szCs w:val="20"/>
          <w:vertAlign w:val="superscript"/>
        </w:rPr>
        <w:t>5</w:t>
      </w:r>
      <w:r w:rsidR="00CF3C29"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CBE75C3" w14:textId="0DA39F75" w:rsidR="00770540" w:rsidRPr="001C6770" w:rsidRDefault="00CF3400" w:rsidP="00B610F9">
      <w:pPr>
        <w:ind w:firstLineChars="0" w:firstLine="0"/>
        <w:rPr>
          <w:rFonts w:eastAsiaTheme="minorEastAsia"/>
          <w:sz w:val="18"/>
          <w:szCs w:val="16"/>
        </w:rPr>
      </w:pPr>
      <w:r w:rsidRPr="001C6770">
        <w:rPr>
          <w:rFonts w:eastAsiaTheme="minorEastAsia" w:hint="eastAsia"/>
          <w:sz w:val="18"/>
          <w:szCs w:val="16"/>
          <w:vertAlign w:val="superscript"/>
        </w:rPr>
        <w:t>4</w:t>
      </w:r>
      <w:r w:rsidRPr="001C6770">
        <w:rPr>
          <w:rFonts w:eastAsiaTheme="minorEastAsia"/>
          <w:sz w:val="18"/>
          <w:szCs w:val="16"/>
        </w:rPr>
        <w:t>Sinopec Jiujiang Company, Jiujiang 332004, China</w:t>
      </w:r>
    </w:p>
    <w:p w14:paraId="774FA99F" w14:textId="26A2284B" w:rsidR="00365E94" w:rsidRPr="001C6770" w:rsidRDefault="005D7E10" w:rsidP="00B610F9">
      <w:pPr>
        <w:ind w:firstLineChars="0" w:firstLine="0"/>
        <w:rPr>
          <w:rFonts w:eastAsiaTheme="minorEastAsia"/>
          <w:sz w:val="18"/>
          <w:szCs w:val="16"/>
        </w:rPr>
      </w:pPr>
      <w:r w:rsidRPr="001C6770">
        <w:rPr>
          <w:rFonts w:eastAsiaTheme="minorEastAsia" w:hint="eastAsia"/>
          <w:sz w:val="18"/>
          <w:szCs w:val="16"/>
          <w:vertAlign w:val="superscript"/>
        </w:rPr>
        <w:t>5</w:t>
      </w:r>
      <w:r w:rsidR="00650DA1" w:rsidRPr="001C6770">
        <w:rPr>
          <w:rFonts w:eastAsiaTheme="minorEastAsia"/>
          <w:sz w:val="18"/>
          <w:szCs w:val="16"/>
        </w:rPr>
        <w:t>Department of Chemical and Biomedical Engineering, West Virginia University, Morgantown, WV 26506, USA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Pr="00F42A0D" w:rsidRDefault="0044082D" w:rsidP="00F42A0D">
      <w:pPr>
        <w:pStyle w:val="1"/>
      </w:pPr>
      <w:bookmarkStart w:id="0" w:name="_Toc220180359"/>
      <w:r w:rsidRPr="00F42A0D">
        <w:t>Abstract</w:t>
      </w:r>
      <w:bookmarkEnd w:id="0"/>
    </w:p>
    <w:p w14:paraId="403495E1" w14:textId="07AE14F2" w:rsidR="00500B9C" w:rsidRDefault="000829D0" w:rsidP="0069470F">
      <w:pPr>
        <w:ind w:firstLine="480"/>
        <w:rPr>
          <w:rFonts w:eastAsiaTheme="minorEastAsia"/>
        </w:rPr>
      </w:pPr>
      <w:r w:rsidRPr="000829D0">
        <w:rPr>
          <w:rFonts w:eastAsiaTheme="minorEastAsia"/>
        </w:rPr>
        <w:t xml:space="preserve">Abnormal </w:t>
      </w:r>
      <w:r>
        <w:rPr>
          <w:rFonts w:eastAsiaTheme="minorEastAsia" w:hint="eastAsia"/>
        </w:rPr>
        <w:t>s</w:t>
      </w:r>
      <w:r w:rsidRPr="000829D0">
        <w:rPr>
          <w:rFonts w:eastAsiaTheme="minorEastAsia"/>
        </w:rPr>
        <w:t>ituation</w:t>
      </w:r>
      <w:r w:rsidR="00A06881" w:rsidRPr="00A06881">
        <w:rPr>
          <w:rFonts w:eastAsiaTheme="minorEastAsia"/>
        </w:rPr>
        <w:t xml:space="preserve"> prognosis is </w:t>
      </w:r>
      <w:r w:rsidR="00E53F3A">
        <w:rPr>
          <w:rFonts w:eastAsiaTheme="minorEastAsia" w:hint="eastAsia"/>
        </w:rPr>
        <w:t>i</w:t>
      </w:r>
      <w:r w:rsidR="00E53F3A" w:rsidRPr="00E53F3A">
        <w:rPr>
          <w:rFonts w:eastAsiaTheme="minorEastAsia"/>
        </w:rPr>
        <w:t xml:space="preserve">ndispensable </w:t>
      </w:r>
      <w:r w:rsidR="00A06881" w:rsidRPr="00A06881">
        <w:rPr>
          <w:rFonts w:eastAsiaTheme="minorEastAsia"/>
        </w:rPr>
        <w:t>for maintaining stable</w:t>
      </w:r>
      <w:r w:rsidR="002A06B2">
        <w:rPr>
          <w:rFonts w:eastAsiaTheme="minorEastAsia" w:hint="eastAsia"/>
        </w:rPr>
        <w:t xml:space="preserve"> and </w:t>
      </w:r>
      <w:r w:rsidR="00F66A68">
        <w:rPr>
          <w:rFonts w:eastAsiaTheme="minorEastAsia" w:hint="eastAsia"/>
        </w:rPr>
        <w:t>safe</w:t>
      </w:r>
      <w:r w:rsidR="00A06881" w:rsidRPr="00A06881">
        <w:rPr>
          <w:rFonts w:eastAsiaTheme="minorEastAsia"/>
        </w:rPr>
        <w:t xml:space="preserve"> operation in industrial chemical processes. </w:t>
      </w:r>
      <w:r w:rsidR="001259B8" w:rsidRPr="001259B8">
        <w:rPr>
          <w:rFonts w:eastAsiaTheme="minorEastAsia"/>
        </w:rPr>
        <w:t>However, abnormal situations occur rarely in industrial systems, leading to strongly imbalanced operating data and making early identification of precursor behaviors difficult.</w:t>
      </w:r>
      <w:r w:rsidR="001259B8">
        <w:rPr>
          <w:rFonts w:eastAsiaTheme="minorEastAsia" w:hint="eastAsia"/>
        </w:rPr>
        <w:t xml:space="preserve"> </w:t>
      </w:r>
      <w:r w:rsidR="0069470F" w:rsidRPr="0069470F">
        <w:rPr>
          <w:rFonts w:eastAsiaTheme="minorEastAsia"/>
        </w:rPr>
        <w:t xml:space="preserve">To address these </w:t>
      </w:r>
      <w:r w:rsidR="00306768" w:rsidRPr="00306768">
        <w:rPr>
          <w:rFonts w:eastAsiaTheme="minorEastAsia"/>
        </w:rPr>
        <w:t>formidable</w:t>
      </w:r>
      <w:r w:rsidR="00306768">
        <w:rPr>
          <w:rFonts w:eastAsiaTheme="minorEastAsia" w:hint="eastAsia"/>
        </w:rPr>
        <w:t xml:space="preserve"> </w:t>
      </w:r>
      <w:r w:rsidR="0069470F" w:rsidRPr="0069470F">
        <w:rPr>
          <w:rFonts w:eastAsiaTheme="minorEastAsia"/>
        </w:rPr>
        <w:t xml:space="preserve">challenges, we </w:t>
      </w:r>
      <w:r w:rsidR="0046754B">
        <w:rPr>
          <w:rFonts w:eastAsiaTheme="minorEastAsia" w:hint="eastAsia"/>
        </w:rPr>
        <w:t>present</w:t>
      </w:r>
      <w:r w:rsidR="0046754B" w:rsidRPr="0069470F">
        <w:rPr>
          <w:rFonts w:eastAsiaTheme="minorEastAsia"/>
        </w:rPr>
        <w:t xml:space="preserve"> </w:t>
      </w:r>
      <w:r w:rsidR="006578CF">
        <w:rPr>
          <w:rFonts w:eastAsiaTheme="minorEastAsia" w:hint="eastAsia"/>
        </w:rPr>
        <w:t>an</w:t>
      </w:r>
      <w:r w:rsidR="006578CF" w:rsidRPr="0069470F">
        <w:rPr>
          <w:rFonts w:eastAsiaTheme="minorEastAsia"/>
        </w:rPr>
        <w:t xml:space="preserve"> </w:t>
      </w:r>
      <w:r w:rsidR="0069470F" w:rsidRPr="0069470F">
        <w:rPr>
          <w:rFonts w:eastAsiaTheme="minorEastAsia"/>
        </w:rPr>
        <w:t xml:space="preserve">Abnormal Situation Prognosis Network (ASProNet), a Transformer-based </w:t>
      </w:r>
      <w:r w:rsidR="00380C99">
        <w:rPr>
          <w:rFonts w:eastAsiaTheme="minorEastAsia" w:hint="eastAsia"/>
        </w:rPr>
        <w:t>model</w:t>
      </w:r>
      <w:r w:rsidR="00380C99" w:rsidRPr="0069470F">
        <w:rPr>
          <w:rFonts w:eastAsiaTheme="minorEastAsia"/>
        </w:rPr>
        <w:t xml:space="preserve"> </w:t>
      </w:r>
      <w:r w:rsidR="0069470F" w:rsidRPr="0069470F">
        <w:rPr>
          <w:rFonts w:eastAsiaTheme="minorEastAsia"/>
        </w:rPr>
        <w:t xml:space="preserve">that integrates a dual-resolution temporal encoder with progressive steady-transient decomposition. The </w:t>
      </w:r>
      <w:r w:rsidR="00B721F2">
        <w:rPr>
          <w:rFonts w:eastAsiaTheme="minorEastAsia" w:hint="eastAsia"/>
        </w:rPr>
        <w:t>ASPro</w:t>
      </w:r>
      <w:r w:rsidR="00C87896">
        <w:rPr>
          <w:rFonts w:eastAsiaTheme="minorEastAsia" w:hint="eastAsia"/>
        </w:rPr>
        <w:t>N</w:t>
      </w:r>
      <w:r w:rsidR="00B721F2">
        <w:rPr>
          <w:rFonts w:eastAsiaTheme="minorEastAsia" w:hint="eastAsia"/>
        </w:rPr>
        <w:t>et</w:t>
      </w:r>
      <w:r w:rsidR="0069470F" w:rsidRPr="0069470F">
        <w:rPr>
          <w:rFonts w:eastAsiaTheme="minorEastAsia"/>
        </w:rPr>
        <w:t xml:space="preserve"> incorporates a gated mixture-of-experts predictor featuring per-horizon blending and a tail-aware training strategy, specifically designed to amplify predictive sensitivity near alarm </w:t>
      </w:r>
      <w:r w:rsidR="00716E0C">
        <w:rPr>
          <w:rFonts w:eastAsiaTheme="minorEastAsia" w:hint="eastAsia"/>
        </w:rPr>
        <w:t>thresholds</w:t>
      </w:r>
      <w:r w:rsidR="0069470F" w:rsidRPr="0069470F">
        <w:rPr>
          <w:rFonts w:eastAsiaTheme="minorEastAsia"/>
        </w:rPr>
        <w:t>.</w:t>
      </w:r>
      <w:r w:rsidR="001259B8">
        <w:rPr>
          <w:rFonts w:eastAsiaTheme="minorEastAsia" w:hint="eastAsia"/>
        </w:rPr>
        <w:t xml:space="preserve"> </w:t>
      </w:r>
      <w:r w:rsidR="00FC1FA2" w:rsidRPr="00FC1FA2">
        <w:rPr>
          <w:rFonts w:eastAsiaTheme="minorEastAsia"/>
        </w:rPr>
        <w:t>We validate</w:t>
      </w:r>
      <w:r w:rsidR="00994DDC">
        <w:rPr>
          <w:rFonts w:eastAsiaTheme="minorEastAsia" w:hint="eastAsia"/>
        </w:rPr>
        <w:t xml:space="preserve"> the</w:t>
      </w:r>
      <w:r w:rsidR="00E56326">
        <w:rPr>
          <w:rFonts w:eastAsiaTheme="minorEastAsia" w:hint="eastAsia"/>
        </w:rPr>
        <w:t xml:space="preserve"> </w:t>
      </w:r>
      <w:r w:rsidR="00FC1FA2" w:rsidRPr="00FC1FA2">
        <w:rPr>
          <w:rFonts w:eastAsiaTheme="minorEastAsia"/>
        </w:rPr>
        <w:t>ASProNet using six months of continuous operational data from an industrial fluid catalytic cracking (FCC) unit with an annual capacity of 1 </w:t>
      </w:r>
      <w:r w:rsidR="008547D1">
        <w:t>Mt·yr⁻¹</w:t>
      </w:r>
      <w:r w:rsidR="00FC1FA2" w:rsidRPr="00FC1FA2">
        <w:rPr>
          <w:rFonts w:eastAsiaTheme="minorEastAsia"/>
        </w:rPr>
        <w:t xml:space="preserve">. The </w:t>
      </w:r>
      <w:r w:rsidR="009862C5">
        <w:rPr>
          <w:rFonts w:eastAsiaTheme="minorEastAsia" w:hint="eastAsia"/>
        </w:rPr>
        <w:t>ASProNet</w:t>
      </w:r>
      <w:r w:rsidR="00FC1FA2" w:rsidRPr="00FC1FA2">
        <w:rPr>
          <w:rFonts w:eastAsiaTheme="minorEastAsia"/>
        </w:rPr>
        <w:t xml:space="preserve">’s performance is evaluated across three critical </w:t>
      </w:r>
      <w:r w:rsidR="003A2757">
        <w:rPr>
          <w:rFonts w:eastAsiaTheme="minorEastAsia" w:hint="eastAsia"/>
        </w:rPr>
        <w:t>prognosis tasks</w:t>
      </w:r>
      <w:r w:rsidR="00FC1FA2" w:rsidRPr="00FC1FA2">
        <w:rPr>
          <w:rFonts w:eastAsiaTheme="minorEastAsia"/>
        </w:rPr>
        <w:t>: stabilizer overhead pressure, regenerator pressure, and the reactor–regenerator pressure difference.</w:t>
      </w:r>
      <w:r w:rsidR="00FC1FA2">
        <w:rPr>
          <w:rFonts w:eastAsiaTheme="minorEastAsia" w:hint="eastAsia"/>
        </w:rPr>
        <w:t xml:space="preserve"> </w:t>
      </w:r>
      <w:r w:rsidR="00BF20F4" w:rsidRPr="00BF20F4">
        <w:rPr>
          <w:rFonts w:eastAsiaTheme="minorEastAsia"/>
        </w:rPr>
        <w:t xml:space="preserve">At a 15-minute prognosis horizon, </w:t>
      </w:r>
      <w:r w:rsidR="00030777">
        <w:rPr>
          <w:rFonts w:eastAsiaTheme="minorEastAsia" w:hint="eastAsia"/>
        </w:rPr>
        <w:t xml:space="preserve">the </w:t>
      </w:r>
      <w:r w:rsidR="00BF20F4" w:rsidRPr="00BF20F4">
        <w:rPr>
          <w:rFonts w:eastAsiaTheme="minorEastAsia"/>
        </w:rPr>
        <w:t>ASProNet reaches a prognostic recall rate</w:t>
      </w:r>
      <w:r w:rsidR="00E1440D" w:rsidRPr="00E1440D">
        <w:t xml:space="preserve"> </w:t>
      </w:r>
      <w:r w:rsidR="004543A0">
        <w:rPr>
          <w:rFonts w:eastAsiaTheme="minorEastAsia" w:hint="eastAsia"/>
        </w:rPr>
        <w:t xml:space="preserve">of </w:t>
      </w:r>
      <w:r w:rsidR="00E1440D" w:rsidRPr="00E1440D">
        <w:t>9</w:t>
      </w:r>
      <w:r w:rsidR="003371DB">
        <w:rPr>
          <w:rFonts w:eastAsiaTheme="minorEastAsia" w:hint="eastAsia"/>
        </w:rPr>
        <w:t>1.9</w:t>
      </w:r>
      <w:r w:rsidR="00E1440D" w:rsidRPr="00E1440D">
        <w:t>%, 9</w:t>
      </w:r>
      <w:r w:rsidR="00406E66">
        <w:rPr>
          <w:rFonts w:eastAsiaTheme="minorEastAsia" w:hint="eastAsia"/>
        </w:rPr>
        <w:t>7.</w:t>
      </w:r>
      <w:r w:rsidR="00C8230E">
        <w:rPr>
          <w:rFonts w:eastAsiaTheme="minorEastAsia" w:hint="eastAsia"/>
        </w:rPr>
        <w:t>5</w:t>
      </w:r>
      <w:r w:rsidR="00E1440D" w:rsidRPr="00E1440D">
        <w:t>% and 96</w:t>
      </w:r>
      <w:r w:rsidR="009A6F4C">
        <w:rPr>
          <w:rFonts w:eastAsiaTheme="minorEastAsia" w:hint="eastAsia"/>
        </w:rPr>
        <w:t>.0</w:t>
      </w:r>
      <w:r w:rsidR="00E1440D" w:rsidRPr="00E1440D">
        <w:t xml:space="preserve">% on the three tasks. </w:t>
      </w:r>
      <w:r w:rsidR="0070256F">
        <w:rPr>
          <w:rFonts w:eastAsiaTheme="minorEastAsia" w:hint="eastAsia"/>
        </w:rPr>
        <w:t>Its</w:t>
      </w:r>
      <w:r w:rsidR="0070256F" w:rsidRPr="00E1440D">
        <w:t xml:space="preserve"> </w:t>
      </w:r>
      <w:r w:rsidR="00E1440D" w:rsidRPr="00E1440D">
        <w:t xml:space="preserve">false prognosis rate stays </w:t>
      </w:r>
      <w:r w:rsidR="00E1440D" w:rsidRPr="00E1440D">
        <w:lastRenderedPageBreak/>
        <w:t xml:space="preserve">between 0.13% and 0.34%, or 0.013–0.034 </w:t>
      </w:r>
      <w:r w:rsidR="00147CB6">
        <w:rPr>
          <w:rFonts w:eastAsiaTheme="minorEastAsia" w:hint="eastAsia"/>
        </w:rPr>
        <w:t>false</w:t>
      </w:r>
      <w:r w:rsidR="00E1440D" w:rsidRPr="00E1440D">
        <w:t xml:space="preserve"> alarms per 10 min. </w:t>
      </w:r>
      <w:r w:rsidR="00FC4CF5" w:rsidRPr="00500B9C">
        <w:rPr>
          <w:rFonts w:eastAsiaTheme="minorEastAsia"/>
        </w:rPr>
        <w:t>The mean prognosis lead times are 12.1, 10.2, and 11.6 min, respectively, exceeding the best baseline by an average of 6.0 min across the three tasks.</w:t>
      </w:r>
      <w:r w:rsidR="00E1440D" w:rsidRPr="00E1440D">
        <w:t xml:space="preserve"> </w:t>
      </w:r>
      <w:r w:rsidR="000E4880" w:rsidRPr="000E4880">
        <w:t xml:space="preserve">These results </w:t>
      </w:r>
      <w:r w:rsidR="001C69BE" w:rsidRPr="001C69BE">
        <w:rPr>
          <w:rFonts w:eastAsiaTheme="minorEastAsia"/>
        </w:rPr>
        <w:t>demonstrate</w:t>
      </w:r>
      <w:r w:rsidR="001C69BE">
        <w:rPr>
          <w:rFonts w:eastAsiaTheme="minorEastAsia" w:hint="eastAsia"/>
        </w:rPr>
        <w:t xml:space="preserve"> </w:t>
      </w:r>
      <w:r w:rsidR="000E4880" w:rsidRPr="000E4880">
        <w:t xml:space="preserve">a </w:t>
      </w:r>
      <w:r w:rsidR="008734E7">
        <w:rPr>
          <w:rFonts w:eastAsiaTheme="minorEastAsia" w:hint="eastAsia"/>
        </w:rPr>
        <w:t xml:space="preserve">potential </w:t>
      </w:r>
      <w:r w:rsidR="000E4880" w:rsidRPr="000E4880">
        <w:t xml:space="preserve">paradigm shift in abnormal situation management (ASM), moving from reactive response toward proactive prognosis </w:t>
      </w:r>
      <w:r w:rsidR="005E7727">
        <w:rPr>
          <w:rFonts w:eastAsiaTheme="minorEastAsia" w:hint="eastAsia"/>
        </w:rPr>
        <w:t xml:space="preserve">with high reliability </w:t>
      </w:r>
      <w:r w:rsidR="000E4880" w:rsidRPr="000E4880">
        <w:t>in large-scale industrial chemical plants.</w:t>
      </w:r>
    </w:p>
    <w:p w14:paraId="5A047AB8" w14:textId="77777777" w:rsidR="00897192" w:rsidRDefault="00897192" w:rsidP="0069470F">
      <w:pPr>
        <w:ind w:firstLine="480"/>
        <w:rPr>
          <w:rFonts w:eastAsiaTheme="minorEastAsia"/>
        </w:rPr>
      </w:pPr>
    </w:p>
    <w:p w14:paraId="715704FC" w14:textId="2AAB8A7F"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7E3A4E">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V2pBhQxc/IZi2p9qW","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According to the leading and 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26C34A"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8C162D">
        <w:rPr>
          <w:rFonts w:eastAsiaTheme="minorEastAsia"/>
        </w:rPr>
        <w:instrText xml:space="preserve"> ADDIN ZOTERO_ITEM CSL_CITATION {"citationID":"hN57AOYW","properties":{"unsorted":false,"formattedCitation":"[2,16,20]","plainCitation":"[2,16,20]","noteIndex":0},"citationItems":[{"id":"V2pBhQxc/IZi2p9qW","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xml:space="preserve">. This capability is </w:t>
      </w:r>
      <w:r w:rsidRPr="00865FB2">
        <w:rPr>
          <w:rFonts w:eastAsiaTheme="minorEastAsia"/>
        </w:rPr>
        <w:lastRenderedPageBreak/>
        <w:t>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1053F806" w14:textId="2694DDFB" w:rsidR="00624E44" w:rsidRPr="00624E44"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7D37F2" w:rsidRPr="007D37F2">
        <w:rPr>
          <w:rFonts w:eastAsiaTheme="minorEastAsia"/>
          <w:color w:val="000000" w:themeColor="text1"/>
        </w:rPr>
        <w:t xml:space="preserve">In industrial chemical processes, however, process data are overwhelmingly dominated by normal operating </w:t>
      </w:r>
      <w:r w:rsidR="00BF18FA">
        <w:rPr>
          <w:rFonts w:eastAsiaTheme="minorEastAsia" w:hint="eastAsia"/>
          <w:color w:val="000000" w:themeColor="text1"/>
        </w:rPr>
        <w:t>situations</w:t>
      </w:r>
      <w:r w:rsidR="007D37F2" w:rsidRPr="007D37F2">
        <w:rPr>
          <w:rFonts w:eastAsiaTheme="minorEastAsia"/>
          <w:color w:val="000000" w:themeColor="text1"/>
        </w:rPr>
        <w:t xml:space="preserve">, whereas observations capturing these </w:t>
      </w:r>
      <w:r w:rsidR="00670516">
        <w:rPr>
          <w:rFonts w:eastAsiaTheme="minorEastAsia" w:hint="eastAsia"/>
          <w:color w:val="000000" w:themeColor="text1"/>
        </w:rPr>
        <w:t>abnormal situations</w:t>
      </w:r>
      <w:r w:rsidR="007D37F2" w:rsidRPr="007D37F2">
        <w:rPr>
          <w:rFonts w:eastAsiaTheme="minorEastAsia"/>
          <w:color w:val="000000" w:themeColor="text1"/>
        </w:rPr>
        <w:t xml:space="preserve"> are exceedingly scarce</w:t>
      </w:r>
      <w:r w:rsidR="00220BCD">
        <w:rPr>
          <w:rFonts w:eastAsiaTheme="minorEastAsia" w:hint="eastAsia"/>
        </w:rPr>
        <w:t xml:space="preserve"> </w:t>
      </w:r>
      <w:r w:rsidR="00220BCD">
        <w:rPr>
          <w:rFonts w:eastAsiaTheme="minorEastAsia"/>
        </w:rPr>
        <w:fldChar w:fldCharType="begin"/>
      </w:r>
      <w:r w:rsidR="008C162D">
        <w:rPr>
          <w:rFonts w:eastAsiaTheme="minorEastAsia"/>
        </w:rPr>
        <w:instrText xml:space="preserve"> ADDIN ZOTERO_ITEM CSL_CITATION {"citationID":"6mjzTkC8","properties":{"unsorted":false,"formattedCitation":"[22,23,30]","plainCitation":"[22,23,30]","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701,"uris":["http://zotero.org/users/16374009/items/T9CNQRI4"],"itemData":{"id":701,"type":"article-journal","abstract":"Imbalanced data, where certain classes are significantly underrepresented in a dataset, is a widespread machine learning (ML) challenge across various fields of chemistry, yet it remains inadequately addressed.\n          , \n            \n              Imbalanced data, where certain classes are significantly underrepresented in a dataset, is a widespread machine learning (ML) challenge across various fields of chemistry, yet it remains inadequately addressed. This data imbalance can lead to biased ML or deep learning (DL) models, which fail to accurately predict the underrepresented classes, thus limiting the robustness and applicability of these models. With the rapid advancement of ML and DL algorithms, several promising solutions to this issue have emerged, prompting the need for a comprehensive review of current methodologies. In this review, we examine the prominent ML approaches used to tackle the imbalanced data challenge in different areas of chemistry, including resampling techniques, data augmentation techniques, algorithmic approaches, and feature engineering strategies. Each of these methods is evaluated in the context of its application across various aspects of chemistry, such as drug discovery, materials science, cheminformatics, and catalysis. We also explore future directions for overcoming the imbalanced data challenge and emphasize data augmentation\n              via\n              physical models, large language models (LLMs), and advanced mathematics. The benefit of balanced data in new material design and production and the persistent challenges are discussed. Overall, this review aims to elucidate the prevalent ML techniques applied to mitigate the impacts of imbalanced data within the field of chemistry and offer insights into future directions for research and application.","container-title":"Chemical Science","DOI":"10.1039/D5SC00270B","ISSN":"2041-6520, 2041-6539","issue":"18","journalAbbreviation":"Chem. Sci.","language":"en","page":"7637-7658","source":"DOI.org (Crossref)","title":"A review of machine learning methods for imbalanced data challenges in chemistry","volume":"16","author":[{"family":"Jiang","given":"Jian"},{"family":"Zhang","given":"Chunhuan"},{"family":"Ke","given":"Lu"},{"family":"Hayes","given":"Nicole"},{"family":"Zhu","given":"Yueying"},{"family":"Qiu","given":"Huahai"},{"family":"Zhang","given":"Bengong"},{"family":"Zhou","given":"Tianshou"},{"family":"Wei","given":"Guo-Wei"}],"issued":{"date-parts":[["2025"]]}}}],"schema":"https://github.com/citation-style-language/schema/raw/master/csl-citation.json"} </w:instrText>
      </w:r>
      <w:r w:rsidR="00220BCD">
        <w:rPr>
          <w:rFonts w:eastAsiaTheme="minorEastAsia"/>
        </w:rPr>
        <w:fldChar w:fldCharType="separate"/>
      </w:r>
      <w:r w:rsidR="008C162D" w:rsidRPr="008C162D">
        <w:rPr>
          <w:rFonts w:eastAsiaTheme="minorEastAsia"/>
        </w:rPr>
        <w:t>[22,23,30]</w:t>
      </w:r>
      <w:r w:rsidR="00220BCD">
        <w:rPr>
          <w:rFonts w:eastAsiaTheme="minorEastAsia"/>
        </w:rPr>
        <w:fldChar w:fldCharType="end"/>
      </w:r>
      <w:r w:rsidR="00220BCD" w:rsidRPr="006A5492">
        <w:rPr>
          <w:rFonts w:eastAsiaTheme="minorEastAsia"/>
        </w:rPr>
        <w:t>.</w:t>
      </w:r>
      <w:r w:rsidR="002C05FA">
        <w:rPr>
          <w:rFonts w:eastAsiaTheme="minorEastAsia" w:hint="eastAsia"/>
        </w:rPr>
        <w:t xml:space="preserve"> </w:t>
      </w:r>
      <w:r w:rsidR="00806C45" w:rsidRPr="00806C45">
        <w:rPr>
          <w:rFonts w:eastAsiaTheme="minorEastAsia"/>
        </w:rPr>
        <w:t>Despite this imbalance, most existing studies treat prognosis as a conventional time-series forecasting problem and train models by minimizing global prediction error</w:t>
      </w:r>
      <w:r w:rsidR="00C644EB">
        <w:rPr>
          <w:rFonts w:eastAsiaTheme="minorEastAsia" w:hint="eastAsia"/>
        </w:rPr>
        <w:t xml:space="preserve"> </w:t>
      </w:r>
      <w:r w:rsidR="002B007B">
        <w:rPr>
          <w:rFonts w:eastAsiaTheme="minorEastAsia"/>
        </w:rPr>
        <w:fldChar w:fldCharType="begin"/>
      </w:r>
      <w:r w:rsidR="008C162D">
        <w:rPr>
          <w:rFonts w:eastAsiaTheme="minorEastAsia"/>
        </w:rPr>
        <w:instrText xml:space="preserve"> ADDIN ZOTERO_ITEM CSL_CITATION {"citationID":"BxeWP2ES","properties":{"unsorted":false,"formattedCitation":"[22,31,32]","plainCitation":"[22,31,32]","noteIndex":0},"citationItems":[{"id":124,"uris":["http://zotero.org/users/16374009/items/H4RQWBQ5"],"itemData":{"id":124,"type":"article-journal","abstract":"As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696,"uris":["http://zotero.org/users/16374009/items/JI7WTLUD"],"itemData":{"id":696,"type":"article-journal","container-title":"Philosophical transactions of the royal society a: mathematical, physical and engineering sciences","issue":"2194","note":"ISBN: 1364-503X","publisher":"The Royal Society","title":"Time-series forecasting with deep learning: a survey","volume":"379","author":[{"family":"Lim","given":"Bryan"},{"family":"Zohren","given":"Stefan"}],"issued":{"date-parts":[["2021"]]}}},{"id":697,"uris":["http://zotero.org/users/16374009/items/7CFCRTKH"],"itemData":{"id":697,"type":"article-journal","container-title":"arXiv preprint arXiv:2407.13278","title":"Deep time series models: A comprehensive survey and benchmark","author":[{"family":"Wang","given":"Yuxuan"},{"family":"Wu","given":"Haixu"},{"family":"Dong","given":"Jiaxiang"},{"family":"Liu","given":"Yong"},{"family":"Wang","given":"Chen"},{"family":"Long","given":"Mingsheng"},{"family":"Wang","given":"Jianmin"}],"issued":{"date-parts":[["2024"]]}}}],"schema":"https://github.com/citation-style-language/schema/raw/master/csl-citation.json"} </w:instrText>
      </w:r>
      <w:r w:rsidR="002B007B">
        <w:rPr>
          <w:rFonts w:eastAsiaTheme="minorEastAsia"/>
        </w:rPr>
        <w:fldChar w:fldCharType="separate"/>
      </w:r>
      <w:r w:rsidR="008C162D" w:rsidRPr="008C162D">
        <w:rPr>
          <w:rFonts w:eastAsiaTheme="minorEastAsia"/>
        </w:rPr>
        <w:t>[22,31,32]</w:t>
      </w:r>
      <w:r w:rsidR="002B007B">
        <w:rPr>
          <w:rFonts w:eastAsiaTheme="minorEastAsia"/>
        </w:rPr>
        <w:fldChar w:fldCharType="end"/>
      </w:r>
      <w:r w:rsidR="002D2E91" w:rsidRPr="002D2E91">
        <w:rPr>
          <w:rFonts w:eastAsiaTheme="minorEastAsia"/>
        </w:rPr>
        <w:t xml:space="preserve">. </w:t>
      </w:r>
      <w:r w:rsidR="00417C8E">
        <w:rPr>
          <w:rFonts w:eastAsiaTheme="minorEastAsia" w:hint="eastAsia"/>
          <w:color w:val="000000" w:themeColor="text1"/>
        </w:rPr>
        <w:t>It</w:t>
      </w:r>
      <w:r w:rsidR="007117F0" w:rsidRPr="00D23927">
        <w:rPr>
          <w:rFonts w:eastAsiaTheme="minorEastAsia"/>
        </w:rPr>
        <w:t xml:space="preserve"> inherently assume</w:t>
      </w:r>
      <w:r w:rsidR="00BE2129">
        <w:rPr>
          <w:rFonts w:eastAsiaTheme="minorEastAsia" w:hint="eastAsia"/>
        </w:rPr>
        <w:t>s</w:t>
      </w:r>
      <w:r w:rsidR="007117F0" w:rsidRPr="00D23927">
        <w:rPr>
          <w:rFonts w:eastAsiaTheme="minorEastAsia"/>
        </w:rPr>
        <w:t xml:space="preserve"> equal operational significance for normal and abnormal s</w:t>
      </w:r>
      <w:r w:rsidR="007117F0">
        <w:rPr>
          <w:rFonts w:eastAsiaTheme="minorEastAsia" w:hint="eastAsia"/>
        </w:rPr>
        <w:t>ituation</w:t>
      </w:r>
      <w:r w:rsidR="007117F0" w:rsidRPr="00D23927">
        <w:rPr>
          <w:rFonts w:eastAsiaTheme="minorEastAsia"/>
        </w:rPr>
        <w:t xml:space="preserve">s. Yet, </w:t>
      </w:r>
      <w:r w:rsidR="007117F0" w:rsidRPr="00F859F4">
        <w:rPr>
          <w:rFonts w:eastAsiaTheme="minorEastAsia"/>
        </w:rPr>
        <w:t xml:space="preserve">in industrial </w:t>
      </w:r>
      <w:r w:rsidR="00AD17F1" w:rsidRPr="00F859F4">
        <w:rPr>
          <w:rFonts w:eastAsiaTheme="minorEastAsia" w:hint="eastAsia"/>
        </w:rPr>
        <w:t>chemical processes</w:t>
      </w:r>
      <w:r w:rsidR="007117F0" w:rsidRPr="00F859F4">
        <w:rPr>
          <w:rFonts w:eastAsiaTheme="minorEastAsia"/>
        </w:rPr>
        <w:t xml:space="preserve"> where normal data overwhelmingly dominate</w:t>
      </w:r>
      <w:r w:rsidR="007117F0" w:rsidRPr="00D23927">
        <w:rPr>
          <w:rFonts w:eastAsiaTheme="minorEastAsia"/>
        </w:rPr>
        <w:t xml:space="preserve">, </w:t>
      </w:r>
      <w:r w:rsidR="00985866">
        <w:rPr>
          <w:rFonts w:eastAsiaTheme="minorEastAsia" w:hint="eastAsia"/>
        </w:rPr>
        <w:t xml:space="preserve">conventional </w:t>
      </w:r>
      <w:r w:rsidR="003A1502">
        <w:rPr>
          <w:rFonts w:eastAsiaTheme="minorEastAsia" w:hint="eastAsia"/>
        </w:rPr>
        <w:t>model</w:t>
      </w:r>
      <w:r w:rsidR="007117F0" w:rsidRPr="00D23927">
        <w:rPr>
          <w:rFonts w:eastAsiaTheme="minorEastAsia"/>
        </w:rPr>
        <w:t xml:space="preserve"> becomes intrinsically biased toward the densely sampled normal regime. Consequently, such </w:t>
      </w:r>
      <w:r w:rsidR="00550EF3">
        <w:rPr>
          <w:rFonts w:eastAsiaTheme="minorEastAsia" w:hint="eastAsia"/>
        </w:rPr>
        <w:t xml:space="preserve">conventional abnormal situation prognosis </w:t>
      </w:r>
      <w:r w:rsidR="007117F0" w:rsidRPr="00D23927">
        <w:rPr>
          <w:rFonts w:eastAsiaTheme="minorEastAsia"/>
        </w:rPr>
        <w:t xml:space="preserve">approaches frequently fail to deliver reliable </w:t>
      </w:r>
      <w:r w:rsidR="00462E8E">
        <w:rPr>
          <w:rFonts w:eastAsiaTheme="minorEastAsia" w:hint="eastAsia"/>
        </w:rPr>
        <w:t>abnormal situation prognosis</w:t>
      </w:r>
      <w:r w:rsidR="00F50600">
        <w:rPr>
          <w:rFonts w:eastAsiaTheme="minorEastAsia" w:hint="eastAsia"/>
        </w:rPr>
        <w:t xml:space="preserve"> </w:t>
      </w:r>
      <w:r w:rsidR="00493033">
        <w:rPr>
          <w:rFonts w:eastAsiaTheme="minorEastAsia"/>
        </w:rPr>
        <w:fldChar w:fldCharType="begin"/>
      </w:r>
      <w:r w:rsidR="009F0147">
        <w:rPr>
          <w:rFonts w:eastAsiaTheme="minorEastAsia"/>
        </w:rPr>
        <w:instrText xml:space="preserve"> ADDIN ZOTERO_ITEM CSL_CITATION {"citationID":"3u6sGf5K","properties":{"unsorted":false,"formattedCitation":"[30\\uc0\\u8211{}32]","plainCitation":"[30–32]","noteIndex":0},"citationItems":[{"id":701,"uris":["http://zotero.org/users/16374009/items/T9CNQRI4"],"itemData":{"id":701,"type":"article-journal","abstract":"Imbalanced data, where certain classes are significantly underrepresented in a dataset, is a widespread machine learning (ML) challenge across various fields of chemistry, yet it remains inadequately addressed.\n          , \n            \n              Imbalanced data, where certain classes are significantly underrepresented in a dataset, is a widespread machine learning (ML) challenge across various fields of chemistry, yet it remains inadequately addressed. This data imbalance can lead to biased ML or deep learning (DL) models, which fail to accurately predict the underrepresented classes, thus limiting the robustness and applicability of these models. With the rapid advancement of ML and DL algorithms, several promising solutions to this issue have emerged, prompting the need for a comprehensive review of current methodologies. In this review, we examine the prominent ML approaches used to tackle the imbalanced data challenge in different areas of chemistry, including resampling techniques, data augmentation techniques, algorithmic approaches, and feature engineering strategies. Each of these methods is evaluated in the context of its application across various aspects of chemistry, such as drug discovery, materials science, cheminformatics, and catalysis. We also explore future directions for overcoming the imbalanced data challenge and emphasize data augmentation\n              via\n              physical models, large language models (LLMs), and advanced mathematics. The benefit of balanced data in new material design and production and the persistent challenges are discussed. Overall, this review aims to elucidate the prevalent ML techniques applied to mitigate the impacts of imbalanced data within the field of chemistry and offer insights into future directions for research and application.","container-title":"Chemical Science","DOI":"10.1039/D5SC00270B","ISSN":"2041-6520, 2041-6539","issue":"18","journalAbbreviation":"Chem. Sci.","language":"en","page":"7637-7658","source":"DOI.org (Crossref)","title":"A review of machine learning methods for imbalanced data challenges in chemistry","volume":"16","author":[{"family":"Jiang","given":"Jian"},{"family":"Zhang","given":"Chunhuan"},{"family":"Ke","given":"Lu"},{"family":"Hayes","given":"Nicole"},{"family":"Zhu","given":"Yueying"},{"family":"Qiu","given":"Huahai"},{"family":"Zhang","given":"Bengong"},{"family":"Zhou","given":"Tianshou"},{"family":"Wei","given":"Guo-Wei"}],"issued":{"date-parts":[["2025"]]}}},{"id":696,"uris":["http://zotero.org/users/16374009/items/JI7WTLUD"],"itemData":{"id":696,"type":"article-journal","container-title":"Philosophical transactions of the royal society a: mathematical, physical and engineering sciences","issue":"2194","note":"ISBN: 1364-503X","publisher":"The Royal Society","title":"Time-series forecasting with deep learning: a survey","volume":"379","author":[{"family":"Lim","given":"Bryan"},{"family":"Zohren","given":"Stefan"}],"issued":{"date-parts":[["2021"]]}}},{"id":697,"uris":["http://zotero.org/users/16374009/items/7CFCRTKH"],"itemData":{"id":697,"type":"article-journal","container-title":"arXiv preprint arXiv:2407.13278","title":"Deep time series models: A comprehensive survey and benchmark","author":[{"family":"Wang","given":"Yuxuan"},{"family":"Wu","given":"Haixu"},{"family":"Dong","given":"Jiaxiang"},{"family":"Liu","given":"Yong"},{"family":"Wang","given":"Chen"},{"family":"Long","given":"Mingsheng"},{"family":"Wang","given":"Jianmin"}],"issued":{"date-parts":[["2024"]]}}}],"schema":"https://github.com/citation-style-language/schema/raw/master/csl-citation.json"} </w:instrText>
      </w:r>
      <w:r w:rsidR="00493033">
        <w:rPr>
          <w:rFonts w:eastAsiaTheme="minorEastAsia"/>
        </w:rPr>
        <w:fldChar w:fldCharType="separate"/>
      </w:r>
      <w:r w:rsidR="009F0147" w:rsidRPr="009F0147">
        <w:rPr>
          <w:kern w:val="0"/>
        </w:rPr>
        <w:t>[30–32]</w:t>
      </w:r>
      <w:r w:rsidR="00493033">
        <w:rPr>
          <w:rFonts w:eastAsiaTheme="minorEastAsia"/>
        </w:rPr>
        <w:fldChar w:fldCharType="end"/>
      </w:r>
      <w:r w:rsidR="007117F0" w:rsidRPr="00D23927">
        <w:rPr>
          <w:rFonts w:eastAsiaTheme="minorEastAsia"/>
        </w:rPr>
        <w:t xml:space="preserve">, revealing a structural mismatch between current </w:t>
      </w:r>
      <w:r w:rsidR="007A2BFB">
        <w:rPr>
          <w:rFonts w:eastAsiaTheme="minorEastAsia" w:hint="eastAsia"/>
        </w:rPr>
        <w:t>prognosis</w:t>
      </w:r>
      <w:r w:rsidR="007117F0" w:rsidRPr="00D23927">
        <w:rPr>
          <w:rFonts w:eastAsiaTheme="minorEastAsia"/>
        </w:rPr>
        <w:t xml:space="preserve"> paradigms and practical industrial prognosis demands.</w:t>
      </w:r>
    </w:p>
    <w:p w14:paraId="226B78D7" w14:textId="46625117" w:rsidR="00527757" w:rsidRDefault="006D3C24" w:rsidP="00C02A2B">
      <w:pPr>
        <w:ind w:firstLine="480"/>
        <w:rPr>
          <w:rFonts w:eastAsiaTheme="minorEastAsia"/>
        </w:rPr>
      </w:pPr>
      <w:r w:rsidRPr="00DE5A17">
        <w:rPr>
          <w:rFonts w:eastAsiaTheme="minorEastAsia"/>
        </w:rPr>
        <w:t>Addressin</w:t>
      </w:r>
      <w:r w:rsidRPr="006D3C24">
        <w:rPr>
          <w:rFonts w:eastAsiaTheme="minorEastAsia"/>
        </w:rPr>
        <w:t xml:space="preserve">g this </w:t>
      </w:r>
      <w:r w:rsidRPr="00A17F21">
        <w:rPr>
          <w:rFonts w:eastAsiaTheme="minorEastAsia"/>
        </w:rPr>
        <w:t>mismatch</w:t>
      </w:r>
      <w:r w:rsidRPr="006D3C24">
        <w:rPr>
          <w:rFonts w:eastAsiaTheme="minorEastAsia"/>
        </w:rPr>
        <w:t xml:space="preserve"> requires a</w:t>
      </w:r>
      <w:r w:rsidR="001F474B">
        <w:rPr>
          <w:rFonts w:eastAsiaTheme="minorEastAsia" w:hint="eastAsia"/>
        </w:rPr>
        <w:t>n</w:t>
      </w:r>
      <w:r w:rsidRPr="006D3C24">
        <w:rPr>
          <w:rFonts w:eastAsiaTheme="minorEastAsia"/>
        </w:rPr>
        <w:t xml:space="preserve"> </w:t>
      </w:r>
      <w:r w:rsidR="000851EC">
        <w:rPr>
          <w:rFonts w:eastAsiaTheme="minorEastAsia" w:hint="eastAsia"/>
        </w:rPr>
        <w:t xml:space="preserve">abnormal situation prognosis </w:t>
      </w:r>
      <w:r w:rsidR="00F746B8">
        <w:rPr>
          <w:rFonts w:eastAsiaTheme="minorEastAsia" w:hint="eastAsia"/>
        </w:rPr>
        <w:t>model</w:t>
      </w:r>
      <w:r w:rsidRPr="006D3C24">
        <w:rPr>
          <w:rFonts w:eastAsiaTheme="minorEastAsia"/>
        </w:rPr>
        <w:t xml:space="preserve"> that can represent temporal dependencies in </w:t>
      </w:r>
      <w:r w:rsidR="0088123C">
        <w:rPr>
          <w:rFonts w:eastAsiaTheme="minorEastAsia" w:hint="eastAsia"/>
        </w:rPr>
        <w:t>chemical</w:t>
      </w:r>
      <w:r w:rsidRPr="006D3C24">
        <w:rPr>
          <w:rFonts w:eastAsiaTheme="minorEastAsia"/>
        </w:rPr>
        <w:t xml:space="preserve"> process data, while remaining </w:t>
      </w:r>
      <w:r w:rsidRPr="006D3C24">
        <w:rPr>
          <w:rFonts w:eastAsiaTheme="minorEastAsia"/>
        </w:rPr>
        <w:lastRenderedPageBreak/>
        <w:t>sensitive to</w:t>
      </w:r>
      <w:r w:rsidR="00525476">
        <w:rPr>
          <w:rFonts w:eastAsiaTheme="minorEastAsia" w:hint="eastAsia"/>
        </w:rPr>
        <w:t xml:space="preserve"> </w:t>
      </w:r>
      <w:r w:rsidRPr="006D3C24">
        <w:rPr>
          <w:rFonts w:eastAsiaTheme="minorEastAsia"/>
        </w:rPr>
        <w:t xml:space="preserve">operating </w:t>
      </w:r>
      <w:r w:rsidR="00DE6987">
        <w:rPr>
          <w:rFonts w:eastAsiaTheme="minorEastAsia" w:hint="eastAsia"/>
        </w:rPr>
        <w:t xml:space="preserve">situations </w:t>
      </w:r>
      <w:r w:rsidR="007454F3">
        <w:rPr>
          <w:rFonts w:eastAsiaTheme="minorEastAsia"/>
        </w:rPr>
        <w:fldChar w:fldCharType="begin"/>
      </w:r>
      <w:r w:rsidR="008C162D">
        <w:rPr>
          <w:rFonts w:eastAsiaTheme="minorEastAsia"/>
        </w:rPr>
        <w:instrText xml:space="preserve"> ADDIN ZOTERO_ITEM CSL_CITATION {"citationID":"3jTNalWm","properties":{"unsorted":false,"formattedCitation":"[22,33,34]","plainCitation":"[22,33,34]","noteIndex":0},"citationItems":[{"id":124,"uris":["http://zotero.org/users/16374009/items/H4RQWBQ5"],"itemData":{"id":124,"type":"article-journal","abstract":"As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704,"uris":["http://zotero.org/users/16374009/items/TJKJEPBA"],"itemData":{"id":704,"type":"paper-conference","container-title":"International conference on artificial intelligence and statistics","ISBN":"2640-3498","page":"4672-4680","publisher":"PMLR","title":"Mixture-of-linear-experts for long-term time series forecasting","author":[{"family":"Ni","given":"Ronghao"},{"family":"Lin","given":"Zinan"},{"family":"Wang","given":"Shuaiqi"},{"family":"Fanti","given":"Giulia"}],"issued":{"date-parts":[["2024"]]}}},{"id":705,"uris":["http://zotero.org/users/16374009/items/6V2IHVZD"],"itemData":{"id":705,"type":"article-journal","container-title":"arXiv preprint arXiv:2409.03282","title":"Interpretable mixture of experts for time series prediction under recurrent and non-recurrent conditions","author":[{"family":"Ke","given":"Zemian"},{"family":"Duan","given":"Haocheng"},{"family":"Qian","given":"Sean"}],"issued":{"date-parts":[["2024"]]}}}],"schema":"https://github.com/citation-style-language/schema/raw/master/csl-citation.json"} </w:instrText>
      </w:r>
      <w:r w:rsidR="007454F3">
        <w:rPr>
          <w:rFonts w:eastAsiaTheme="minorEastAsia"/>
        </w:rPr>
        <w:fldChar w:fldCharType="separate"/>
      </w:r>
      <w:r w:rsidR="008C162D" w:rsidRPr="008C162D">
        <w:rPr>
          <w:rFonts w:eastAsiaTheme="minorEastAsia"/>
        </w:rPr>
        <w:t>[22,33,34]</w:t>
      </w:r>
      <w:r w:rsidR="007454F3">
        <w:rPr>
          <w:rFonts w:eastAsiaTheme="minorEastAsia"/>
        </w:rPr>
        <w:fldChar w:fldCharType="end"/>
      </w:r>
      <w:r w:rsidRPr="006D3C24">
        <w:rPr>
          <w:rFonts w:eastAsiaTheme="minorEastAsia"/>
        </w:rPr>
        <w:t>. Transformer-based models provide a natural starting point for this task, and they have shown strong performance in recent studies on chemical process fault detection, diagnosis and prognosis</w:t>
      </w:r>
      <w:r w:rsidR="00F15639">
        <w:rPr>
          <w:rFonts w:eastAsiaTheme="minorEastAsia" w:hint="eastAsia"/>
        </w:rPr>
        <w:t xml:space="preserve"> </w:t>
      </w:r>
      <w:r w:rsidR="008E5954">
        <w:rPr>
          <w:rFonts w:eastAsiaTheme="minorEastAsia"/>
        </w:rPr>
        <w:fldChar w:fldCharType="begin"/>
      </w:r>
      <w:r w:rsidR="008C162D">
        <w:rPr>
          <w:rFonts w:eastAsiaTheme="minorEastAsia"/>
        </w:rPr>
        <w:instrText xml:space="preserve"> ADDIN ZOTERO_ITEM CSL_CITATION {"citationID":"fb4M1yjr","properties":{"unsorted":false,"formattedCitation":"[22,35,36]","plainCitation":"[22,35,36]","noteIndex":0},"citationItems":[{"id":124,"uris":["http://zotero.org/users/16374009/items/H4RQWBQ5"],"itemData":{"id":124,"type":"article-journal","abstract":"As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122,"uris":["http://zotero.org/users/16374009/items/I2FKJBI9"],"itemData":{"id":122,"type":"article-journal","abstract":"Industrial processes are becoming increasingly large and complex, thus introducing potential safety risks and requiring an effective approach to maintain safe production. Intelligent process monitoring is critical to prevent losses and avoid casualties in modern industry. As the digitalization of process industry deepens, data-driven methods offer an exciting avenue to address the demands for monitoring complex systems. Nevertheless, many of these methods still suffer from low accuracy and slow response. Besides, most blackbox models based on deep learning can only predict the existence of faults, but cannot provide further interpretable analysis, which greatly confines their usage in decision-critical scenarios. In this paper, we propose a novel orthogonal self-attentive variational autoencoder (OSAVA) model for process monitoring, consisting of two components, orthogonal attention (OA) and variational self-attentive autoencoder (VSAE). Specifically, OA is utilized to extract the correlations between different variables and the temporal dependency among different timesteps; VSAE is trained to detect faults through a reconstruction-based method, which employs self-attention mechanisms to comprehensively consider information from all timesteps and enhance detection performance. By jointly leveraging these two models, the OSAVA model can effectively perform fault detection and identification tasks simultaneously and deliver interpretable results. Finally, extensive evaluation on the Tennessee Eastman process (TEP) demonstrates that the proposed OSAVA-based fault detection and identification method shows promising fault detection rate as well as low detection delay and can provide interpretable identification of the abnormal variables, compared with representative statistical methods and state-of-the-art deep learning methods.","container-title":"Process Safety and Environmental Protection","DOI":"10.1016/j.psep.2021.10.036","ISSN":"09575820","journalAbbreviation":"Process Safety and Environmental Protection","language":"en","page":"581-597","source":"DOI.org (Crossref)","title":"A novel orthogonal self-attentive variational autoencoder method for interpretable chemical process fault detection and identification","volume":"156","author":[{"family":"Bi","given":"Xiaotian"},{"family":"Zhao","given":"Jinsong"}],"issued":{"date-parts":[["2021",12]]}}},{"id":233,"uris":["http://zotero.org/users/16374009/items/MFJQYBDR"],"itemData":{"id":233,"type":"article-journal","abstract":"Numerous accidents in chemical processes have caused emergency shutdowns, property losses, casualties and/or environmental disruptions in the chemical process industry. Fault detection and diagnosis (FDD) can help operators timely detect and diagnose abnormal situations, and take right actions to avoid adverse consequences. However, FDD is still far from widely practical applications. Over the past few years, deep convolutional neural network (DCNN) has shown excellent performance on machine-learning tasks. In this paper, a fault diagnosis method based on a DCNN model consisting of convolutional layers, pooling layers, dropout, fully connected layers is proposed for chemical process fault diagnosis. The benchmark Tennessee Eastman (TE) process is utilized to verify the outstanding performance of the fault diagnosis method.","container-title":"Computers &amp; Chemical Engineering","DOI":"10.1016/j.compchemeng.2018.04.009","ISSN":"00981354","journalAbbreviation":"Computers &amp; Chemical Engineering","language":"en","page":"185-197","source":"DOI.org (Crossref)","title":"Deep convolutional neural network model based chemical process fault diagnosis","volume":"115","author":[{"family":"Wu","given":"Hao"},{"family":"Zhao","given":"Jinsong"}],"issued":{"date-parts":[["2018",7]]}}}],"schema":"https://github.com/citation-style-language/schema/raw/master/csl-citation.json"} </w:instrText>
      </w:r>
      <w:r w:rsidR="008E5954">
        <w:rPr>
          <w:rFonts w:eastAsiaTheme="minorEastAsia"/>
        </w:rPr>
        <w:fldChar w:fldCharType="separate"/>
      </w:r>
      <w:r w:rsidR="008C162D" w:rsidRPr="008C162D">
        <w:rPr>
          <w:rFonts w:eastAsiaTheme="minorEastAsia"/>
        </w:rPr>
        <w:t>[22,35,36]</w:t>
      </w:r>
      <w:r w:rsidR="008E5954">
        <w:rPr>
          <w:rFonts w:eastAsiaTheme="minorEastAsia"/>
        </w:rPr>
        <w:fldChar w:fldCharType="end"/>
      </w:r>
      <w:r w:rsidRPr="006D3C24">
        <w:rPr>
          <w:rFonts w:eastAsiaTheme="minorEastAsia"/>
        </w:rPr>
        <w:t xml:space="preserve">. However, a single forecasting model is still liable to devote most of its representational capacity to the dominant patterns of </w:t>
      </w:r>
      <w:r w:rsidR="009E3BBB">
        <w:rPr>
          <w:rFonts w:eastAsiaTheme="minorEastAsia" w:hint="eastAsia"/>
        </w:rPr>
        <w:t>normal situation</w:t>
      </w:r>
      <w:r w:rsidR="00E61571">
        <w:rPr>
          <w:rFonts w:eastAsiaTheme="minorEastAsia" w:hint="eastAsia"/>
        </w:rPr>
        <w:t xml:space="preserve"> </w:t>
      </w:r>
      <w:r w:rsidR="00CB1281">
        <w:rPr>
          <w:rFonts w:eastAsiaTheme="minorEastAsia"/>
        </w:rPr>
        <w:fldChar w:fldCharType="begin"/>
      </w:r>
      <w:r w:rsidR="009F0147">
        <w:rPr>
          <w:rFonts w:eastAsiaTheme="minorEastAsia"/>
        </w:rPr>
        <w:instrText xml:space="preserve"> ADDIN ZOTERO_ITEM CSL_CITATION {"citationID":"616b7CXl","properties":{"unsorted":false,"formattedCitation":"[32,33,37]","plainCitation":"[32,33,37]","noteIndex":0},"citationItems":[{"id":697,"uris":["http://zotero.org/users/16374009/items/7CFCRTKH"],"itemData":{"id":697,"type":"article-journal","container-title":"arXiv preprint arXiv:2407.13278","title":"Deep time series models: A comprehensive survey and benchmark","author":[{"family":"Wang","given":"Yuxuan"},{"family":"Wu","given":"Haixu"},{"family":"Dong","given":"Jiaxiang"},{"family":"Liu","given":"Yong"},{"family":"Wang","given":"Chen"},{"family":"Long","given":"Mingsheng"},{"family":"Wang","given":"Jianmin"}],"issued":{"date-parts":[["2024"]]}}},{"id":704,"uris":["http://zotero.org/users/16374009/items/TJKJEPBA"],"itemData":{"id":704,"type":"paper-conference","container-title":"International conference on artificial intelligence and statistics","ISBN":"2640-3498","page":"4672-4680","publisher":"PMLR","title":"Mixture-of-linear-experts for long-term time series forecasting","author":[{"family":"Ni","given":"Ronghao"},{"family":"Lin","given":"Zinan"},{"family":"Wang","given":"Shuaiqi"},{"family":"Fanti","given":"Giulia"}],"issued":{"date-parts":[["2024"]]}}},{"id":660,"uris":["http://zotero.org/users/16374009/items/BGG7D344"],"itemData":{"id":660,"type":"article-journal","container-title":"Machine Learning","issue":"7","note":"ISBN: 0885-6125","page":"4845-4901","publisher":"Springer","title":"The class imbalance problem in deep learning","volume":"113","author":[{"family":"Ghosh","given":"Kushankur"},{"family":"Bellinger","given":"Colin"},{"family":"Corizzo","given":"Roberto"},{"family":"Branco","given":"Paula"},{"family":"Krawczyk","given":"Bartosz"},{"family":"Japkowicz","given":"Nathalie"}],"issued":{"date-parts":[["2024"]]}}}],"schema":"https://github.com/citation-style-language/schema/raw/master/csl-citation.json"} </w:instrText>
      </w:r>
      <w:r w:rsidR="00CB1281">
        <w:rPr>
          <w:rFonts w:eastAsiaTheme="minorEastAsia"/>
        </w:rPr>
        <w:fldChar w:fldCharType="separate"/>
      </w:r>
      <w:r w:rsidR="009F0147" w:rsidRPr="009F0147">
        <w:rPr>
          <w:rFonts w:eastAsiaTheme="minorEastAsia"/>
        </w:rPr>
        <w:t>[32,33,37]</w:t>
      </w:r>
      <w:r w:rsidR="00CB1281">
        <w:rPr>
          <w:rFonts w:eastAsiaTheme="minorEastAsia"/>
        </w:rPr>
        <w:fldChar w:fldCharType="end"/>
      </w:r>
      <w:r w:rsidRPr="006D3C24">
        <w:rPr>
          <w:rFonts w:eastAsiaTheme="minorEastAsia"/>
        </w:rPr>
        <w:t>. Mixture-of-experts models offer a principled way to address this limitation by allowing different experts to specialize in different data regimes under the coordination of a gating mechanism</w:t>
      </w:r>
      <w:r w:rsidR="003279FD">
        <w:rPr>
          <w:rFonts w:eastAsiaTheme="minorEastAsia" w:hint="eastAsia"/>
        </w:rPr>
        <w:t xml:space="preserve"> </w:t>
      </w:r>
      <w:r w:rsidR="00C2325D">
        <w:rPr>
          <w:rFonts w:eastAsiaTheme="minorEastAsia"/>
        </w:rPr>
        <w:fldChar w:fldCharType="begin"/>
      </w:r>
      <w:r w:rsidR="009F0147">
        <w:rPr>
          <w:rFonts w:eastAsiaTheme="minorEastAsia"/>
        </w:rPr>
        <w:instrText xml:space="preserve"> ADDIN ZOTERO_ITEM CSL_CITATION {"citationID":"EvW4vEW7","properties":{"unsorted":false,"formattedCitation":"[38\\uc0\\u8211{}40]","plainCitation":"[38–40]","noteIndex":0},"citationItems":[{"id":708,"uris":["http://zotero.org/users/16374009/items/YE8DFTLZ"],"itemData":{"id":708,"type":"article-journal","container-title":"Neural computation","issue":"1","note":"ISBN: 0899-7667","page":"79-87","publisher":"MIT Press","title":"Adaptive mixtures of local experts","volume":"3","author":[{"family":"Jacobs","given":"Robert A."},{"family":"Jordan","given":"Michael I."},{"family":"Nowlan","given":"Steven J."},{"family":"Hinton","given":"Geoffrey E."}],"issued":{"date-parts":[["1991"]]}}},{"id":707,"uris":["http://zotero.org/users/16374009/items/4ZCB9QB4"],"itemData":{"id":707,"type":"article-journal","container-title":"arXiv preprint arXiv:2410.10469","title":"Moirai-moe: Empowering time series foundation models with sparse mixture of experts","author":[{"family":"Liu","given":"Xu"},{"family":"Liu","given":"Juncheng"},{"family":"Woo","given":"Gerald"},{"family":"Aksu","given":"Taha"},{"family":"Liang","given":"Yuxuan"},{"family":"Zimmermann","given":"Roger"},{"family":"Liu","given":"Chenghao"},{"family":"Savarese","given":"Silvio"},{"family":"Xiong","given":"Caiming"},{"family":"Sahoo","given":"Doyen"}],"issued":{"date-parts":[["2024"]]}}},{"id":706,"uris":["http://zotero.org/users/16374009/items/QEUTN5CE"],"itemData":{"id":706,"type":"article-journal","container-title":"arXiv preprint arXiv:2409.16040","title":"Time-moe: Billion-scale time series foundation models with mixture of experts","author":[{"family":"Shi","given":"Xiaoming"},{"family":"Wang","given":"Shiyu"},{"family":"Nie","given":"Yuqi"},{"family":"Li","given":"Dianqi"},{"family":"Ye","given":"Zhou"},{"family":"Wen","given":"Qingsong"},{"family":"Jin","given":"Ming"}],"issued":{"date-parts":[["2024"]]}}}],"schema":"https://github.com/citation-style-language/schema/raw/master/csl-citation.json"} </w:instrText>
      </w:r>
      <w:r w:rsidR="00C2325D">
        <w:rPr>
          <w:rFonts w:eastAsiaTheme="minorEastAsia"/>
        </w:rPr>
        <w:fldChar w:fldCharType="separate"/>
      </w:r>
      <w:r w:rsidR="009F0147" w:rsidRPr="009F0147">
        <w:rPr>
          <w:kern w:val="0"/>
        </w:rPr>
        <w:t>[38–40]</w:t>
      </w:r>
      <w:r w:rsidR="00C2325D">
        <w:rPr>
          <w:rFonts w:eastAsiaTheme="minorEastAsia"/>
        </w:rPr>
        <w:fldChar w:fldCharType="end"/>
      </w:r>
      <w:r w:rsidRPr="006D3C24">
        <w:rPr>
          <w:rFonts w:eastAsiaTheme="minorEastAsia"/>
        </w:rPr>
        <w:t xml:space="preserve">. </w:t>
      </w:r>
      <w:r w:rsidR="00626480" w:rsidRPr="00626480">
        <w:rPr>
          <w:rFonts w:eastAsiaTheme="minorEastAsia"/>
        </w:rPr>
        <w:t xml:space="preserve">For abnormal situation prognosis, this architecture is especially attractive because the process evolution near alarm </w:t>
      </w:r>
      <w:r w:rsidR="00A158C3">
        <w:rPr>
          <w:rFonts w:eastAsiaTheme="minorEastAsia" w:hint="eastAsia"/>
        </w:rPr>
        <w:t>threshold</w:t>
      </w:r>
      <w:r w:rsidR="00626480" w:rsidRPr="00626480">
        <w:rPr>
          <w:rFonts w:eastAsiaTheme="minorEastAsia"/>
        </w:rPr>
        <w:t xml:space="preserve">s need not follow the same predictive regularities as those governing </w:t>
      </w:r>
      <w:r w:rsidR="0025241E">
        <w:rPr>
          <w:rFonts w:eastAsiaTheme="minorEastAsia" w:hint="eastAsia"/>
        </w:rPr>
        <w:t>normal</w:t>
      </w:r>
      <w:r w:rsidR="00626480" w:rsidRPr="00626480">
        <w:rPr>
          <w:rFonts w:eastAsiaTheme="minorEastAsia"/>
        </w:rPr>
        <w:t xml:space="preserve"> </w:t>
      </w:r>
      <w:r w:rsidR="000047CD">
        <w:rPr>
          <w:rFonts w:eastAsiaTheme="minorEastAsia" w:hint="eastAsia"/>
        </w:rPr>
        <w:t>situation</w:t>
      </w:r>
      <w:r w:rsidR="00626480" w:rsidRPr="00626480">
        <w:rPr>
          <w:rFonts w:eastAsiaTheme="minorEastAsia"/>
        </w:rPr>
        <w:t>. Motivated by this, we develop a mixture-of-experts transformer for abnormal situation prognosis (</w:t>
      </w:r>
      <w:r w:rsidR="007B3B09">
        <w:t>ASProNet</w:t>
      </w:r>
      <w:r w:rsidR="00626480" w:rsidRPr="00626480">
        <w:rPr>
          <w:rFonts w:eastAsiaTheme="minorEastAsia"/>
        </w:rPr>
        <w:t>) in chemical processes.</w:t>
      </w:r>
      <w:r w:rsidRPr="006D3C24">
        <w:rPr>
          <w:rFonts w:eastAsiaTheme="minorEastAsia"/>
        </w:rPr>
        <w:t xml:space="preserve"> </w:t>
      </w:r>
      <w:r w:rsidR="004E24C4" w:rsidRPr="004E24C4">
        <w:rPr>
          <w:rFonts w:eastAsiaTheme="minorEastAsia"/>
        </w:rPr>
        <w:t xml:space="preserve">The model extracts multi-scale temporal representations through dual-resolution patch encoding with learnable recency priors and dense cross-attention to exogenous variables. Within the encoder, progressive series decomposition separates </w:t>
      </w:r>
      <w:r w:rsidR="001C5DD9" w:rsidRPr="001C5DD9">
        <w:rPr>
          <w:rFonts w:eastAsiaTheme="minorEastAsia"/>
        </w:rPr>
        <w:t>transient</w:t>
      </w:r>
      <w:r w:rsidR="001C5DD9" w:rsidRPr="001C5DD9" w:rsidDel="001C5DD9">
        <w:rPr>
          <w:rFonts w:eastAsiaTheme="minorEastAsia"/>
        </w:rPr>
        <w:t xml:space="preserve"> </w:t>
      </w:r>
      <w:r w:rsidR="004E24C4" w:rsidRPr="004E24C4">
        <w:rPr>
          <w:rFonts w:eastAsiaTheme="minorEastAsia"/>
        </w:rPr>
        <w:t xml:space="preserve">and </w:t>
      </w:r>
      <w:r w:rsidR="003E0490" w:rsidRPr="003E0490">
        <w:rPr>
          <w:rFonts w:eastAsiaTheme="minorEastAsia"/>
        </w:rPr>
        <w:t>steady</w:t>
      </w:r>
      <w:r w:rsidR="003E0490" w:rsidRPr="003E0490" w:rsidDel="003E0490">
        <w:rPr>
          <w:rFonts w:eastAsiaTheme="minorEastAsia"/>
        </w:rPr>
        <w:t xml:space="preserve"> </w:t>
      </w:r>
      <w:r w:rsidR="004E24C4" w:rsidRPr="004E24C4">
        <w:rPr>
          <w:rFonts w:eastAsiaTheme="minorEastAsia"/>
        </w:rPr>
        <w:t xml:space="preserve">components, which are then forecast by specialized prediction experts and blended through a per-horizon gating mechanism. To further improve the relevance of training to industrial </w:t>
      </w:r>
      <w:r w:rsidR="005D1218">
        <w:rPr>
          <w:rFonts w:eastAsiaTheme="minorEastAsia" w:hint="eastAsia"/>
        </w:rPr>
        <w:t>abnormal situation prognosis</w:t>
      </w:r>
      <w:r w:rsidR="004E24C4" w:rsidRPr="004E24C4">
        <w:rPr>
          <w:rFonts w:eastAsiaTheme="minorEastAsia"/>
        </w:rPr>
        <w:t xml:space="preserve">, samples closer to alarm </w:t>
      </w:r>
      <w:r w:rsidR="00D773F0">
        <w:rPr>
          <w:rFonts w:eastAsiaTheme="minorEastAsia" w:hint="eastAsia"/>
        </w:rPr>
        <w:t>threshold</w:t>
      </w:r>
      <w:r w:rsidR="004E24C4" w:rsidRPr="004E24C4">
        <w:rPr>
          <w:rFonts w:eastAsiaTheme="minorEastAsia"/>
        </w:rPr>
        <w:t>s are assigned greater influence during optimization.</w:t>
      </w:r>
      <w:r w:rsidRPr="006D3C24">
        <w:rPr>
          <w:rFonts w:eastAsiaTheme="minorEastAsia"/>
        </w:rPr>
        <w:t xml:space="preserve"> In this way, the proposed </w:t>
      </w:r>
      <w:r w:rsidR="005A3190">
        <w:rPr>
          <w:rFonts w:eastAsiaTheme="minorEastAsia" w:hint="eastAsia"/>
        </w:rPr>
        <w:t>model</w:t>
      </w:r>
      <w:r w:rsidR="005A3190" w:rsidRPr="006D3C24">
        <w:rPr>
          <w:rFonts w:eastAsiaTheme="minorEastAsia"/>
        </w:rPr>
        <w:t xml:space="preserve"> </w:t>
      </w:r>
      <w:r w:rsidRPr="006D3C24">
        <w:rPr>
          <w:rFonts w:eastAsiaTheme="minorEastAsia"/>
        </w:rPr>
        <w:t>is designed not merely to improve average forecasting accuracy</w:t>
      </w:r>
      <w:r w:rsidR="00462F15">
        <w:rPr>
          <w:rFonts w:eastAsiaTheme="minorEastAsia" w:hint="eastAsia"/>
        </w:rPr>
        <w:t xml:space="preserve"> in normal situation</w:t>
      </w:r>
      <w:r w:rsidRPr="006D3C24">
        <w:rPr>
          <w:rFonts w:eastAsiaTheme="minorEastAsia"/>
        </w:rPr>
        <w:t xml:space="preserve">, but to improve prediction where </w:t>
      </w:r>
      <w:r w:rsidR="0068743B">
        <w:rPr>
          <w:rFonts w:eastAsiaTheme="minorEastAsia" w:hint="eastAsia"/>
        </w:rPr>
        <w:t xml:space="preserve">abnormal </w:t>
      </w:r>
      <w:r w:rsidR="0068743B">
        <w:rPr>
          <w:rFonts w:eastAsiaTheme="minorEastAsia"/>
        </w:rPr>
        <w:t>situation</w:t>
      </w:r>
      <w:r w:rsidR="0068743B">
        <w:rPr>
          <w:rFonts w:eastAsiaTheme="minorEastAsia" w:hint="eastAsia"/>
        </w:rPr>
        <w:t xml:space="preserve"> </w:t>
      </w:r>
      <w:r w:rsidRPr="006D3C24">
        <w:rPr>
          <w:rFonts w:eastAsiaTheme="minorEastAsia"/>
        </w:rPr>
        <w:t>prognosis is</w:t>
      </w:r>
      <w:r w:rsidR="003728EB">
        <w:rPr>
          <w:rFonts w:eastAsiaTheme="minorEastAsia" w:hint="eastAsia"/>
        </w:rPr>
        <w:t xml:space="preserve"> most</w:t>
      </w:r>
      <w:r w:rsidRPr="006D3C24">
        <w:rPr>
          <w:rFonts w:eastAsiaTheme="minorEastAsia"/>
        </w:rPr>
        <w:t xml:space="preserve"> operationally</w:t>
      </w:r>
      <w:r w:rsidR="00D27864">
        <w:rPr>
          <w:rFonts w:eastAsiaTheme="minorEastAsia" w:hint="eastAsia"/>
        </w:rPr>
        <w:t xml:space="preserve"> </w:t>
      </w:r>
      <w:r w:rsidRPr="006D3C24">
        <w:rPr>
          <w:rFonts w:eastAsiaTheme="minorEastAsia"/>
        </w:rPr>
        <w:t xml:space="preserve">valuable: during the early </w:t>
      </w:r>
      <w:r w:rsidR="00574451">
        <w:rPr>
          <w:rFonts w:eastAsiaTheme="minorEastAsia" w:hint="eastAsia"/>
        </w:rPr>
        <w:t>stage</w:t>
      </w:r>
      <w:r w:rsidRPr="006D3C24">
        <w:rPr>
          <w:rFonts w:eastAsiaTheme="minorEastAsia"/>
        </w:rPr>
        <w:t xml:space="preserve"> of </w:t>
      </w:r>
      <w:r w:rsidR="00F6711D">
        <w:rPr>
          <w:rFonts w:eastAsiaTheme="minorEastAsia" w:hint="eastAsia"/>
        </w:rPr>
        <w:t>abnormal situation</w:t>
      </w:r>
      <w:r w:rsidRPr="006D3C24">
        <w:rPr>
          <w:rFonts w:eastAsiaTheme="minorEastAsia"/>
        </w:rPr>
        <w:t>.</w:t>
      </w:r>
    </w:p>
    <w:p w14:paraId="73A3FB15" w14:textId="77777777" w:rsidR="00400D76" w:rsidRDefault="00400D76" w:rsidP="00283519">
      <w:pPr>
        <w:pStyle w:val="1"/>
        <w:rPr>
          <w:rFonts w:eastAsiaTheme="minorEastAsia" w:cs="Times New Roman"/>
          <w:b w:val="0"/>
          <w:sz w:val="24"/>
          <w:szCs w:val="22"/>
        </w:rPr>
      </w:pPr>
      <w:bookmarkStart w:id="1" w:name="_Toc220180362"/>
    </w:p>
    <w:p w14:paraId="3C581E25" w14:textId="77777777" w:rsidR="00400D76" w:rsidRDefault="00400D76" w:rsidP="00283519">
      <w:pPr>
        <w:pStyle w:val="1"/>
        <w:rPr>
          <w:rFonts w:eastAsiaTheme="minorEastAsia" w:cs="Times New Roman"/>
          <w:b w:val="0"/>
          <w:sz w:val="24"/>
          <w:szCs w:val="22"/>
        </w:rPr>
      </w:pPr>
    </w:p>
    <w:p w14:paraId="4102F9C8" w14:textId="2C89C505" w:rsidR="00721F59" w:rsidRDefault="004B45CF" w:rsidP="00283519">
      <w:pPr>
        <w:pStyle w:val="1"/>
        <w:rPr>
          <w:rFonts w:eastAsiaTheme="minorEastAsia"/>
        </w:rPr>
      </w:pPr>
      <w:r w:rsidRPr="00283519">
        <w:rPr>
          <w:rFonts w:eastAsiaTheme="minorEastAsia" w:hint="eastAsia"/>
        </w:rPr>
        <w:t>Acknowledgement</w:t>
      </w:r>
      <w:bookmarkEnd w:id="1"/>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2" w:name="_Toc220180363"/>
      <w:r w:rsidRPr="00210A67">
        <w:rPr>
          <w:rFonts w:eastAsiaTheme="minorEastAsia" w:hint="eastAsia"/>
        </w:rPr>
        <w:lastRenderedPageBreak/>
        <w:t>References</w:t>
      </w:r>
      <w:bookmarkEnd w:id="2"/>
    </w:p>
    <w:p w14:paraId="3199924D" w14:textId="77777777" w:rsidR="008C162D" w:rsidRPr="008C162D" w:rsidRDefault="00FF459F" w:rsidP="008C162D">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8C162D" w:rsidRPr="008C162D">
        <w:t>[1]</w:t>
      </w:r>
      <w:r w:rsidR="008C162D" w:rsidRPr="008C162D">
        <w:tab/>
        <w:t>F. Eljack, M.-K. Kazi, Process safety and abnormal situation management, Curr. Opin. Chem. Eng. 14 (2016) 35–41. https://doi.org/10.1016/j.coche.2016.07.004.</w:t>
      </w:r>
    </w:p>
    <w:p w14:paraId="6B8E5FDF" w14:textId="77777777" w:rsidR="008C162D" w:rsidRPr="008C162D" w:rsidRDefault="008C162D" w:rsidP="008C162D">
      <w:pPr>
        <w:pStyle w:val="af7"/>
        <w:ind w:firstLine="480"/>
      </w:pPr>
      <w:r w:rsidRPr="008C162D">
        <w:t>[2]</w:t>
      </w:r>
      <w:r w:rsidRPr="008C162D">
        <w:tab/>
        <w:t>S. Liu, F. Lei, D. Zhao, Q. Liu, Abnormal Situation Management in Chemical Processes: Recent Research Progress and Future Prospects, Processes 11 (2023) 1608.</w:t>
      </w:r>
    </w:p>
    <w:p w14:paraId="5000EE4A" w14:textId="77777777" w:rsidR="008C162D" w:rsidRPr="008C162D" w:rsidRDefault="008C162D" w:rsidP="008C162D">
      <w:pPr>
        <w:pStyle w:val="af7"/>
        <w:ind w:firstLine="480"/>
      </w:pPr>
      <w:r w:rsidRPr="008C162D">
        <w:t>[3]</w:t>
      </w:r>
      <w:r w:rsidRPr="008C162D">
        <w:tab/>
        <w:t>Y. Dai, H. Wang, F. Khan, J. Zhao, Abnormal situation management for smart chemical process operation, Curr. Opin. Chem. Eng. 14 (2016) 49–55. https://doi.org/10.1016/j.coche.2016.07.009.</w:t>
      </w:r>
    </w:p>
    <w:p w14:paraId="4EC26586" w14:textId="77777777" w:rsidR="008C162D" w:rsidRPr="008C162D" w:rsidRDefault="008C162D" w:rsidP="008C162D">
      <w:pPr>
        <w:pStyle w:val="af7"/>
        <w:ind w:firstLine="480"/>
      </w:pPr>
      <w:r w:rsidRPr="008C162D">
        <w:t>[4]</w:t>
      </w:r>
      <w:r w:rsidRPr="008C162D">
        <w:tab/>
        <w:t>S. Kenan, S. Kadri, Process safety leading indicators survey–February 2013: Center for chemical process safety–white paper, Process Saf. Prog. 33 (2014) 247–258. https://doi.org/10.1002/prs.11654.</w:t>
      </w:r>
    </w:p>
    <w:p w14:paraId="12BD9AF4" w14:textId="77777777" w:rsidR="008C162D" w:rsidRPr="008C162D" w:rsidRDefault="008C162D" w:rsidP="008C162D">
      <w:pPr>
        <w:pStyle w:val="af7"/>
        <w:ind w:firstLine="480"/>
      </w:pPr>
      <w:r w:rsidRPr="008C162D">
        <w:t>[5]</w:t>
      </w:r>
      <w:r w:rsidRPr="008C162D">
        <w:tab/>
        <w:t>F. Lees, Lees’ Loss prevention in the process industries: Hazard identification, assessment and control, Butterworth-Heinemann, 2012.</w:t>
      </w:r>
    </w:p>
    <w:p w14:paraId="0EEE2AE1" w14:textId="77777777" w:rsidR="008C162D" w:rsidRPr="008C162D" w:rsidRDefault="008C162D" w:rsidP="008C162D">
      <w:pPr>
        <w:pStyle w:val="af7"/>
        <w:ind w:firstLine="480"/>
      </w:pPr>
      <w:r w:rsidRPr="008C162D">
        <w:t>[6]</w:t>
      </w:r>
      <w:r w:rsidRPr="008C162D">
        <w:tab/>
        <w:t>U.S. CHEMICAL SAFETY AND HAZARD INVESTIGATION BOARD, Investigation Report: Refinery Explosion and Fire (March 23, 2005, Texas City, Texas), U.S. Chemical Safety Board, 2007. https://www.csb.gov/file.aspx?DocumentId=5596.</w:t>
      </w:r>
    </w:p>
    <w:p w14:paraId="61EFC1F8" w14:textId="77777777" w:rsidR="008C162D" w:rsidRPr="008C162D" w:rsidRDefault="008C162D" w:rsidP="008C162D">
      <w:pPr>
        <w:pStyle w:val="af7"/>
        <w:ind w:firstLine="480"/>
      </w:pPr>
      <w:r w:rsidRPr="008C162D">
        <w:t>[7]</w:t>
      </w:r>
      <w:r w:rsidRPr="008C162D">
        <w:tab/>
        <w:t>UNEP, Global chemicals outlook II: From legacies to innovative solutions, UNEP Geneva, Switzerland, 2019.</w:t>
      </w:r>
    </w:p>
    <w:p w14:paraId="45F124D4" w14:textId="77777777" w:rsidR="008C162D" w:rsidRPr="008C162D" w:rsidRDefault="008C162D" w:rsidP="008C162D">
      <w:pPr>
        <w:pStyle w:val="af7"/>
        <w:ind w:firstLine="480"/>
      </w:pPr>
      <w:r w:rsidRPr="008C162D">
        <w:t>[8]</w:t>
      </w:r>
      <w:r w:rsidRPr="008C162D">
        <w:tab/>
        <w:t>Marsh, The 100 Largest Losses 1974-2013: Large property damage losses in the Hydrocarbon Industry, Marsh, 2014.</w:t>
      </w:r>
    </w:p>
    <w:p w14:paraId="4F1EBBC5" w14:textId="77777777" w:rsidR="008C162D" w:rsidRPr="008C162D" w:rsidRDefault="008C162D" w:rsidP="008C162D">
      <w:pPr>
        <w:pStyle w:val="af7"/>
        <w:ind w:firstLine="480"/>
      </w:pPr>
      <w:r w:rsidRPr="008C162D">
        <w:t>[9]</w:t>
      </w:r>
      <w:r w:rsidRPr="008C162D">
        <w:tab/>
        <w:t>B.K. Kim, J. Krams, E. Krug, M. Leaseburge, J. Lemley, A. Alkhawaldeh, R.A. Mentzer, M.S. Mannan, Case study analysis of the financial impact of catastrophic safety events, J. Loss Prev. Process Ind. 25 (2012) 780–787.</w:t>
      </w:r>
    </w:p>
    <w:p w14:paraId="69165DD7" w14:textId="77777777" w:rsidR="008C162D" w:rsidRPr="008C162D" w:rsidRDefault="008C162D" w:rsidP="008C162D">
      <w:pPr>
        <w:pStyle w:val="af7"/>
        <w:ind w:firstLine="480"/>
      </w:pPr>
      <w:r w:rsidRPr="008C162D">
        <w:t>[10]</w:t>
      </w:r>
      <w:r w:rsidRPr="008C162D">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1A1AE2D1" w14:textId="77777777" w:rsidR="008C162D" w:rsidRPr="008C162D" w:rsidRDefault="008C162D" w:rsidP="008C162D">
      <w:pPr>
        <w:pStyle w:val="af7"/>
        <w:ind w:firstLine="480"/>
      </w:pPr>
      <w:r w:rsidRPr="008C162D">
        <w:t>[11]</w:t>
      </w:r>
      <w:r w:rsidRPr="008C162D">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147C1A02" w14:textId="77777777" w:rsidR="008C162D" w:rsidRPr="008C162D" w:rsidRDefault="008C162D" w:rsidP="008C162D">
      <w:pPr>
        <w:pStyle w:val="af7"/>
        <w:ind w:firstLine="480"/>
      </w:pPr>
      <w:r w:rsidRPr="008C162D">
        <w:t>[12]</w:t>
      </w:r>
      <w:r w:rsidRPr="008C162D">
        <w:tab/>
        <w:t>I. Nimmo, Adequately address abnormal operations, Chem. Eng. Prog. 91 (1995).</w:t>
      </w:r>
    </w:p>
    <w:p w14:paraId="77FE8D66" w14:textId="77777777" w:rsidR="008C162D" w:rsidRPr="008C162D" w:rsidRDefault="008C162D" w:rsidP="008C162D">
      <w:pPr>
        <w:pStyle w:val="af7"/>
        <w:ind w:firstLine="480"/>
      </w:pPr>
      <w:r w:rsidRPr="008C162D">
        <w:lastRenderedPageBreak/>
        <w:t>[13]</w:t>
      </w:r>
      <w:r w:rsidRPr="008C162D">
        <w:tab/>
        <w:t>Y. Zhu, X. Qian, Z. Liu, P. Huang, M. Yuan, Analysis and assessment of the Qingdao crude oil vapor explosion accident: Lessons learnt, J. Loss Prev. Process Ind. 33 (2015) 289–303.</w:t>
      </w:r>
    </w:p>
    <w:p w14:paraId="7B83779D" w14:textId="77777777" w:rsidR="008C162D" w:rsidRPr="008C162D" w:rsidRDefault="008C162D" w:rsidP="008C162D">
      <w:pPr>
        <w:pStyle w:val="af7"/>
        <w:ind w:firstLine="480"/>
      </w:pPr>
      <w:r w:rsidRPr="008C162D">
        <w:t>[14]</w:t>
      </w:r>
      <w:r w:rsidRPr="008C162D">
        <w:tab/>
        <w:t>Y. Gong, Y. Li, STAMP-based causal analysis of China-Donghuang oil transportation pipeline leakage and explosion accident, J. Loss Prev. Process Ind. 56 (2018) 402–413.</w:t>
      </w:r>
    </w:p>
    <w:p w14:paraId="7D90C216" w14:textId="77777777" w:rsidR="008C162D" w:rsidRPr="008C162D" w:rsidRDefault="008C162D" w:rsidP="008C162D">
      <w:pPr>
        <w:pStyle w:val="af7"/>
        <w:ind w:firstLine="480"/>
      </w:pPr>
      <w:r w:rsidRPr="008C162D">
        <w:t>[15]</w:t>
      </w:r>
      <w:r w:rsidRPr="008C162D">
        <w:tab/>
        <w:t>J. Xing, H. Meng, X. Meng, An urban pipeline accident model based on system engineering and game theory, J. Loss Prev. Process Ind. 64 (2020) 104062.</w:t>
      </w:r>
    </w:p>
    <w:p w14:paraId="3572B02B" w14:textId="77777777" w:rsidR="008C162D" w:rsidRPr="008C162D" w:rsidRDefault="008C162D" w:rsidP="008C162D">
      <w:pPr>
        <w:pStyle w:val="af7"/>
        <w:ind w:firstLine="480"/>
      </w:pPr>
      <w:r w:rsidRPr="008C162D">
        <w:t>[16]</w:t>
      </w:r>
      <w:r w:rsidRPr="008C162D">
        <w:tab/>
        <w:t>Y. Shu, L. Ming, F. Cheng, Z. Zhang, J. Zhao, Abnormal situation management: Challenges and opportunities in the big data era, Comput. Chem. Eng. 91 (2016) 104–113. https://doi.org/10.1016/j.compchemeng.2016.04.011.</w:t>
      </w:r>
    </w:p>
    <w:p w14:paraId="0BDD23F0" w14:textId="77777777" w:rsidR="008C162D" w:rsidRPr="008C162D" w:rsidRDefault="008C162D" w:rsidP="008C162D">
      <w:pPr>
        <w:pStyle w:val="af7"/>
        <w:ind w:firstLine="480"/>
      </w:pPr>
      <w:r w:rsidRPr="008C162D">
        <w:t>[17]</w:t>
      </w:r>
      <w:r w:rsidRPr="008C162D">
        <w:tab/>
        <w:t>H. Vedam, S. Dash, V. Venkatasubramanian, An intelligent operator decision support system for abnormal situation management, Comput. Chem. Eng. 23 (1999) S577–S580. https://doi.org/10.1016/S0098-1354(99)80142-2.</w:t>
      </w:r>
    </w:p>
    <w:p w14:paraId="3DB85826" w14:textId="77777777" w:rsidR="008C162D" w:rsidRPr="008C162D" w:rsidRDefault="008C162D" w:rsidP="008C162D">
      <w:pPr>
        <w:pStyle w:val="af7"/>
        <w:ind w:firstLine="480"/>
      </w:pPr>
      <w:r w:rsidRPr="008C162D">
        <w:t>[18]</w:t>
      </w:r>
      <w:r w:rsidRPr="008C162D">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641A78DA" w14:textId="77777777" w:rsidR="008C162D" w:rsidRPr="008C162D" w:rsidRDefault="008C162D" w:rsidP="008C162D">
      <w:pPr>
        <w:pStyle w:val="af7"/>
        <w:ind w:firstLine="480"/>
      </w:pPr>
      <w:r w:rsidRPr="008C162D">
        <w:t>[19]</w:t>
      </w:r>
      <w:r w:rsidRPr="008C162D">
        <w:tab/>
        <w:t>V. Venkatasubramanian, Prognostic and diagnostic monitoring of complex systems for product lifecycle management: Challenges and opportunities, Comput. Chem. Eng. 29 (2005) 1253–1263. https://doi.org/10.1016/j.compchemeng.2005.02.026.</w:t>
      </w:r>
    </w:p>
    <w:p w14:paraId="669B353C" w14:textId="77777777" w:rsidR="008C162D" w:rsidRPr="008C162D" w:rsidRDefault="008C162D" w:rsidP="008C162D">
      <w:pPr>
        <w:pStyle w:val="af7"/>
        <w:ind w:firstLine="480"/>
      </w:pPr>
      <w:r w:rsidRPr="008C162D">
        <w:t>[20]</w:t>
      </w:r>
      <w:r w:rsidRPr="008C162D">
        <w:tab/>
        <w:t>V. Venkatasubramanian, R. Rengaswamy, K. Yin, S.N. Kavuri, A review of process fault detection and diagnosis, Comput. Chem. Eng. 27 (2003) 293–311. https://doi.org/10.1016/S0098-1354(02)00160-6.</w:t>
      </w:r>
    </w:p>
    <w:p w14:paraId="6B562A2B" w14:textId="77777777" w:rsidR="008C162D" w:rsidRPr="008C162D" w:rsidRDefault="008C162D" w:rsidP="008C162D">
      <w:pPr>
        <w:pStyle w:val="af7"/>
        <w:ind w:firstLine="480"/>
      </w:pPr>
      <w:r w:rsidRPr="008C162D">
        <w:t>[21]</w:t>
      </w:r>
      <w:r w:rsidRPr="008C162D">
        <w:tab/>
        <w:t>N. Md Nor, C.R. Che Hassan, M.A. Hussain, A review of data-driven fault detection and diagnosis methods: applications in chemical process systems, Rev. Chem. Eng. 36 (2020) 513–553. https://doi.org/10.1515/revce-2017-0069.</w:t>
      </w:r>
    </w:p>
    <w:p w14:paraId="639C989F" w14:textId="77777777" w:rsidR="008C162D" w:rsidRPr="008C162D" w:rsidRDefault="008C162D" w:rsidP="008C162D">
      <w:pPr>
        <w:pStyle w:val="af7"/>
        <w:ind w:firstLine="480"/>
      </w:pPr>
      <w:r w:rsidRPr="008C162D">
        <w:t>[22]</w:t>
      </w:r>
      <w:r w:rsidRPr="008C162D">
        <w:tab/>
        <w:t>Y. Bai, J. Zhao, A novel transformer-based multi-variable multi-step prediction method for chemical process fault prognosis, Process Saf. Environ. Prot. 169 (2023) 937–947. https://doi.org/10.1016/j.psep.2022.11.062.</w:t>
      </w:r>
    </w:p>
    <w:p w14:paraId="09980646" w14:textId="77777777" w:rsidR="008C162D" w:rsidRPr="008C162D" w:rsidRDefault="008C162D" w:rsidP="008C162D">
      <w:pPr>
        <w:pStyle w:val="af7"/>
        <w:ind w:firstLine="480"/>
      </w:pPr>
      <w:r w:rsidRPr="008C162D">
        <w:t>[23]</w:t>
      </w:r>
      <w:r w:rsidRPr="008C162D">
        <w:tab/>
        <w:t>P. Goel, A. Datta, M.S. Mannan, Industrial alarm systems: Challenges and opportunities, J. Loss Prev. Process Ind. 50 (2017) 23–36. https://doi.org/10.1016/j.jlp.2017.09.001.</w:t>
      </w:r>
    </w:p>
    <w:p w14:paraId="28355E3C" w14:textId="77777777" w:rsidR="008C162D" w:rsidRPr="008C162D" w:rsidRDefault="008C162D" w:rsidP="008C162D">
      <w:pPr>
        <w:pStyle w:val="af7"/>
        <w:ind w:firstLine="480"/>
      </w:pPr>
      <w:r w:rsidRPr="008C162D">
        <w:t>[24]</w:t>
      </w:r>
      <w:r w:rsidRPr="008C162D">
        <w:tab/>
        <w:t>F.E. Mustafa, I. Ahmed, A. Basit, U.-E.-H. Alvi, S.H. Malik, A. Mahmood, P.R. Ali, A review on effective alarm management systems for industrial process control: Barriers and opportunities, Int. J. Crit. Infrastruct. Prot. 41 (2023) 100599. https://doi.org/10.1016/j.ijcip.2023.100599.</w:t>
      </w:r>
    </w:p>
    <w:p w14:paraId="226CDD1F" w14:textId="77777777" w:rsidR="008C162D" w:rsidRPr="008C162D" w:rsidRDefault="008C162D" w:rsidP="008C162D">
      <w:pPr>
        <w:pStyle w:val="af7"/>
        <w:ind w:firstLine="480"/>
      </w:pPr>
      <w:r w:rsidRPr="008C162D">
        <w:t>[25]</w:t>
      </w:r>
      <w:r w:rsidRPr="008C162D">
        <w:tab/>
        <w:t>Y. Bai, S. Xiang, F. Cheng, J. Zhao, A dynamic-inner LSTM prediction method for key alarm variables forecasting in chemical process, Chin. J. Chem. Eng. (2022). https://doi.org/10.1016/j.cjche.2022.08.024.</w:t>
      </w:r>
    </w:p>
    <w:p w14:paraId="456BA004" w14:textId="77777777" w:rsidR="008C162D" w:rsidRPr="008C162D" w:rsidRDefault="008C162D" w:rsidP="008C162D">
      <w:pPr>
        <w:pStyle w:val="af7"/>
        <w:ind w:firstLine="480"/>
      </w:pPr>
      <w:r w:rsidRPr="008C162D">
        <w:lastRenderedPageBreak/>
        <w:t>[26]</w:t>
      </w:r>
      <w:r w:rsidRPr="008C162D">
        <w:tab/>
        <w:t>R. Arunthavanathan, F. Khan, S. Ahmed, S. Imtiaz, A deep learning model for process fault prognosis, Process Saf. Environ. Prot. 154 (2021) 467–479. https://doi.org/10.1016/j.psep.2021.08.022.</w:t>
      </w:r>
    </w:p>
    <w:p w14:paraId="4CE6844E" w14:textId="77777777" w:rsidR="008C162D" w:rsidRPr="008C162D" w:rsidRDefault="008C162D" w:rsidP="008C162D">
      <w:pPr>
        <w:pStyle w:val="af7"/>
        <w:ind w:firstLine="480"/>
      </w:pPr>
      <w:r w:rsidRPr="008C162D">
        <w:t>[27]</w:t>
      </w:r>
      <w:r w:rsidRPr="008C162D">
        <w:tab/>
        <w:t>Y. Bai, H. Ye, J. Zhao, EPMITS: An efficient prediction method incorporating trends and shapes features for chemical process variables, Comput. Chem. Eng. 191 (2024) 108855. https://doi.org/10.1016/j.compchemeng.2024.108855.</w:t>
      </w:r>
    </w:p>
    <w:p w14:paraId="426E8FC9" w14:textId="77777777" w:rsidR="008C162D" w:rsidRPr="008C162D" w:rsidRDefault="008C162D" w:rsidP="008C162D">
      <w:pPr>
        <w:pStyle w:val="af7"/>
        <w:ind w:firstLine="480"/>
      </w:pPr>
      <w:r w:rsidRPr="008C162D">
        <w:t>[28]</w:t>
      </w:r>
      <w:r w:rsidRPr="008C162D">
        <w:tab/>
        <w:t>B. Yang, Y. Bai, F. Lv, J. Zheng, S. Qin, J. Zhao, A process pretrained transformer model for cross-unit fault prognosis in chemical process, Process Saf. Environ. Prot. 208 (2026) 108203. https://doi.org/10.1016/j.psep.2025.108203.</w:t>
      </w:r>
    </w:p>
    <w:p w14:paraId="268ED7A1" w14:textId="77777777" w:rsidR="008C162D" w:rsidRPr="008C162D" w:rsidRDefault="008C162D" w:rsidP="008C162D">
      <w:pPr>
        <w:pStyle w:val="af7"/>
        <w:ind w:firstLine="480"/>
      </w:pPr>
      <w:r w:rsidRPr="008C162D">
        <w:t>[29]</w:t>
      </w:r>
      <w:r w:rsidRPr="008C162D">
        <w:tab/>
        <w:t>R. Arunthavanathan, F. Khan, S. Ahmed, S. Imtiaz, An analysis of process fault diagnosis methods from safety perspectives, Comput. Chem. Eng. 145 (2021) 107197.</w:t>
      </w:r>
    </w:p>
    <w:p w14:paraId="50F30B83" w14:textId="77777777" w:rsidR="008C162D" w:rsidRPr="008C162D" w:rsidRDefault="008C162D" w:rsidP="008C162D">
      <w:pPr>
        <w:pStyle w:val="af7"/>
        <w:ind w:firstLine="480"/>
      </w:pPr>
      <w:r w:rsidRPr="008C162D">
        <w:t>[30]</w:t>
      </w:r>
      <w:r w:rsidRPr="008C162D">
        <w:tab/>
        <w:t>J. Jiang, C. Zhang, L. Ke, N. Hayes, Y. Zhu, H. Qiu, B. Zhang, T. Zhou, G.-W. Wei, A review of machine learning methods for imbalanced data challenges in chemistry, Chem. Sci. 16 (2025) 7637–7658. https://doi.org/10.1039/D5SC00270B.</w:t>
      </w:r>
    </w:p>
    <w:p w14:paraId="170D7A22" w14:textId="77777777" w:rsidR="008C162D" w:rsidRPr="008C162D" w:rsidRDefault="008C162D" w:rsidP="008C162D">
      <w:pPr>
        <w:pStyle w:val="af7"/>
        <w:ind w:firstLine="480"/>
      </w:pPr>
      <w:r w:rsidRPr="008C162D">
        <w:t>[31]</w:t>
      </w:r>
      <w:r w:rsidRPr="008C162D">
        <w:tab/>
        <w:t>B. Lim, S. Zohren, Time-series forecasting with deep learning: a survey, Philos. Trans. R. Soc. Math. Phys. Eng. Sci. 379 (2021).</w:t>
      </w:r>
    </w:p>
    <w:p w14:paraId="7B132026" w14:textId="77777777" w:rsidR="008C162D" w:rsidRPr="008C162D" w:rsidRDefault="008C162D" w:rsidP="008C162D">
      <w:pPr>
        <w:pStyle w:val="af7"/>
        <w:ind w:firstLine="480"/>
      </w:pPr>
      <w:r w:rsidRPr="008C162D">
        <w:t>[32]</w:t>
      </w:r>
      <w:r w:rsidRPr="008C162D">
        <w:tab/>
        <w:t>Y. Wang, H. Wu, J. Dong, Y. Liu, C. Wang, M. Long, J. Wang, Deep time series models: A comprehensive survey and benchmark, ArXiv Prepr. ArXiv240713278 (2024).</w:t>
      </w:r>
    </w:p>
    <w:p w14:paraId="27C53BAE" w14:textId="77777777" w:rsidR="008C162D" w:rsidRPr="008C162D" w:rsidRDefault="008C162D" w:rsidP="008C162D">
      <w:pPr>
        <w:pStyle w:val="af7"/>
        <w:ind w:firstLine="480"/>
      </w:pPr>
      <w:r w:rsidRPr="008C162D">
        <w:t>[33]</w:t>
      </w:r>
      <w:r w:rsidRPr="008C162D">
        <w:tab/>
        <w:t>R. Ni, Z. Lin, S. Wang, G. Fanti, Mixture-of-linear-experts for long-term time series forecasting, in: Int. Conf. Artif. Intell. Stat., PMLR, 2024: pp. 4672–4680.</w:t>
      </w:r>
    </w:p>
    <w:p w14:paraId="548F4F03" w14:textId="77777777" w:rsidR="008C162D" w:rsidRPr="008C162D" w:rsidRDefault="008C162D" w:rsidP="008C162D">
      <w:pPr>
        <w:pStyle w:val="af7"/>
        <w:ind w:firstLine="480"/>
      </w:pPr>
      <w:r w:rsidRPr="008C162D">
        <w:t>[34]</w:t>
      </w:r>
      <w:r w:rsidRPr="008C162D">
        <w:tab/>
        <w:t>Z. Ke, H. Duan, S. Qian, Interpretable mixture of experts for time series prediction under recurrent and non-recurrent conditions, ArXiv Prepr. ArXiv240903282 (2024).</w:t>
      </w:r>
    </w:p>
    <w:p w14:paraId="18D706E6" w14:textId="77777777" w:rsidR="008C162D" w:rsidRPr="008C162D" w:rsidRDefault="008C162D" w:rsidP="008C162D">
      <w:pPr>
        <w:pStyle w:val="af7"/>
        <w:ind w:firstLine="480"/>
      </w:pPr>
      <w:r w:rsidRPr="008C162D">
        <w:t>[35]</w:t>
      </w:r>
      <w:r w:rsidRPr="008C162D">
        <w:tab/>
        <w:t>X. Bi, J. Zhao, A novel orthogonal self-attentive variational autoencoder method for interpretable chemical process fault detection and identification, Process Saf. Environ. Prot. 156 (2021) 581–597. https://doi.org/10.1016/j.psep.2021.10.036.</w:t>
      </w:r>
    </w:p>
    <w:p w14:paraId="0C30731C" w14:textId="77777777" w:rsidR="008C162D" w:rsidRPr="008C162D" w:rsidRDefault="008C162D" w:rsidP="008C162D">
      <w:pPr>
        <w:pStyle w:val="af7"/>
        <w:ind w:firstLine="480"/>
      </w:pPr>
      <w:r w:rsidRPr="008C162D">
        <w:t>[36]</w:t>
      </w:r>
      <w:r w:rsidRPr="008C162D">
        <w:tab/>
        <w:t>H. Wu, J. Zhao, Deep convolutional neural network model based chemical process fault diagnosis, Comput. Chem. Eng. 115 (2018) 185–197. https://doi.org/10.1016/j.compchemeng.2018.04.009.</w:t>
      </w:r>
    </w:p>
    <w:p w14:paraId="39BCAC93" w14:textId="77777777" w:rsidR="008C162D" w:rsidRPr="008C162D" w:rsidRDefault="008C162D" w:rsidP="008C162D">
      <w:pPr>
        <w:pStyle w:val="af7"/>
        <w:ind w:firstLine="480"/>
      </w:pPr>
      <w:r w:rsidRPr="008C162D">
        <w:t>[37]</w:t>
      </w:r>
      <w:r w:rsidRPr="008C162D">
        <w:tab/>
        <w:t>K. Ghosh, C. Bellinger, R. Corizzo, P. Branco, B. Krawczyk, N. Japkowicz, The class imbalance problem in deep learning, Mach. Learn. 113 (2024) 4845–4901.</w:t>
      </w:r>
    </w:p>
    <w:p w14:paraId="16354E1C" w14:textId="77777777" w:rsidR="008C162D" w:rsidRPr="008C162D" w:rsidRDefault="008C162D" w:rsidP="008C162D">
      <w:pPr>
        <w:pStyle w:val="af7"/>
        <w:ind w:firstLine="480"/>
      </w:pPr>
      <w:r w:rsidRPr="008C162D">
        <w:t>[38]</w:t>
      </w:r>
      <w:r w:rsidRPr="008C162D">
        <w:tab/>
        <w:t>R.A. Jacobs, M.I. Jordan, S.J. Nowlan, G.E. Hinton, Adaptive mixtures of local experts, Neural Comput. 3 (1991) 79–87.</w:t>
      </w:r>
    </w:p>
    <w:p w14:paraId="16023F52" w14:textId="77777777" w:rsidR="008C162D" w:rsidRPr="008C162D" w:rsidRDefault="008C162D" w:rsidP="008C162D">
      <w:pPr>
        <w:pStyle w:val="af7"/>
        <w:ind w:firstLine="480"/>
      </w:pPr>
      <w:r w:rsidRPr="008C162D">
        <w:lastRenderedPageBreak/>
        <w:t>[39]</w:t>
      </w:r>
      <w:r w:rsidRPr="008C162D">
        <w:tab/>
        <w:t>X. Liu, J. Liu, G. Woo, T. Aksu, Y. Liang, R. Zimmermann, C. Liu, S. Savarese, C. Xiong, D. Sahoo, Moirai-moe: Empowering time series foundation models with sparse mixture of experts, ArXiv Prepr. ArXiv241010469 (2024).</w:t>
      </w:r>
    </w:p>
    <w:p w14:paraId="6F43FAA3" w14:textId="77777777" w:rsidR="008C162D" w:rsidRPr="008C162D" w:rsidRDefault="008C162D" w:rsidP="008C162D">
      <w:pPr>
        <w:pStyle w:val="af7"/>
        <w:ind w:firstLine="480"/>
      </w:pPr>
      <w:r w:rsidRPr="008C162D">
        <w:t>[40]</w:t>
      </w:r>
      <w:r w:rsidRPr="008C162D">
        <w:tab/>
        <w:t>X. Shi, S. Wang, Y. Nie, D. Li, Z. Ye, Q. Wen, M. Jin, Time-moe: Billion-scale time series foundation models with mixture of experts, ArXiv Prepr. ArXiv240916040 (2024).</w:t>
      </w:r>
    </w:p>
    <w:p w14:paraId="1DF334DB" w14:textId="77777777" w:rsidR="008C162D" w:rsidRPr="008C162D" w:rsidRDefault="008C162D" w:rsidP="008C162D">
      <w:pPr>
        <w:pStyle w:val="af7"/>
        <w:ind w:firstLine="480"/>
      </w:pPr>
      <w:r w:rsidRPr="008C162D">
        <w:t>[41]</w:t>
      </w:r>
      <w:r w:rsidRPr="008C162D">
        <w:tab/>
        <w:t>J. Zhou, X. Li, D. Liu, F. Wang, T. Zhang, M. Ye, Z. Liu, A hybrid spatial-temporal deep learning prediction model of industrial methanol-to-olefins process, Front. Chem. Sci. Eng. 18 (2024) 42. https://doi.org/10.1007/s11705-024-2403-7.</w:t>
      </w:r>
    </w:p>
    <w:p w14:paraId="163F6FEE" w14:textId="77777777" w:rsidR="008C162D" w:rsidRPr="008C162D" w:rsidRDefault="008C162D" w:rsidP="008C162D">
      <w:pPr>
        <w:pStyle w:val="af7"/>
        <w:ind w:firstLine="480"/>
      </w:pPr>
      <w:r w:rsidRPr="008C162D">
        <w:t>[42]</w:t>
      </w:r>
      <w:r w:rsidRPr="008C162D">
        <w:tab/>
        <w:t>J. Dong, X. Liu, R. Su, H. Xu, T. Yu, TCN-Transformer Deep Network with Random Forest for Prediction of the Chemical Synthetic Ammonia Process, ACS Omega 10 (2025) 2269–2279. https://doi.org/10.1021/acsomega.4c09634.</w:t>
      </w:r>
    </w:p>
    <w:p w14:paraId="1AB5C40C" w14:textId="77777777" w:rsidR="008C162D" w:rsidRPr="008C162D" w:rsidRDefault="008C162D" w:rsidP="008C162D">
      <w:pPr>
        <w:pStyle w:val="af7"/>
        <w:ind w:firstLine="480"/>
      </w:pPr>
      <w:r w:rsidRPr="008C162D">
        <w:t>[43]</w:t>
      </w:r>
      <w:r w:rsidRPr="008C162D">
        <w:tab/>
        <w:t>EEMUA, Alarm Systems: A Guide to Design, Management and Procurement, 4th ed., Engineering Equipment and Materials Users Association, London, UK, 2024.</w:t>
      </w:r>
    </w:p>
    <w:p w14:paraId="4A2EB7E2" w14:textId="77777777" w:rsidR="008C162D" w:rsidRPr="008C162D" w:rsidRDefault="008C162D" w:rsidP="008C162D">
      <w:pPr>
        <w:pStyle w:val="af7"/>
        <w:ind w:firstLine="480"/>
      </w:pPr>
      <w:r w:rsidRPr="008C162D">
        <w:t>[44]</w:t>
      </w:r>
      <w:r w:rsidRPr="008C162D">
        <w:tab/>
        <w:t>Y. Wang, H. Wu, J. Dong, G. Qin, H. Zhang, Y. Liu, Y. Qiu, J. Wang, M. Long, TimeXer: Empowering Transformers for Time Series Forecasting with Exogenous Variables, (2024). https://doi.org/10.48550/arXiv.2402.19072.</w:t>
      </w:r>
    </w:p>
    <w:p w14:paraId="7D51236D" w14:textId="77777777" w:rsidR="008C162D" w:rsidRPr="008C162D" w:rsidRDefault="008C162D" w:rsidP="008C162D">
      <w:pPr>
        <w:pStyle w:val="af7"/>
        <w:ind w:firstLine="480"/>
      </w:pPr>
      <w:r w:rsidRPr="008C162D">
        <w:t>[45]</w:t>
      </w:r>
      <w:r w:rsidRPr="008C162D">
        <w:tab/>
        <w:t>T. Kim, J. Kim, Y. Tae, C. Park, J.-H. Choi, J. Choo, Reversible instance normalization for accurate time-series forecasting against distribution shift, in: Int. Conf. Learn. Represent., 2021.</w:t>
      </w:r>
    </w:p>
    <w:p w14:paraId="2CC913FF" w14:textId="77777777" w:rsidR="008C162D" w:rsidRPr="008C162D" w:rsidRDefault="008C162D" w:rsidP="008C162D">
      <w:pPr>
        <w:pStyle w:val="af7"/>
        <w:ind w:firstLine="480"/>
      </w:pPr>
      <w:r w:rsidRPr="008C162D">
        <w:t>[46]</w:t>
      </w:r>
      <w:r w:rsidRPr="008C162D">
        <w:tab/>
        <w:t>A. Vaswani, N. Shazeer, N. Parmar, J. Uszkoreit, L. Jones, A.N. Gomez, Ł. Kaiser, I. Polosukhin, Attention is all you need, Adv. Neural Inf. Process. Syst. 30 (2017).</w:t>
      </w:r>
    </w:p>
    <w:p w14:paraId="3910D9CE" w14:textId="77777777" w:rsidR="008C162D" w:rsidRPr="008C162D" w:rsidRDefault="008C162D" w:rsidP="008C162D">
      <w:pPr>
        <w:pStyle w:val="af7"/>
        <w:ind w:firstLine="480"/>
      </w:pPr>
      <w:r w:rsidRPr="008C162D">
        <w:t>[47]</w:t>
      </w:r>
      <w:r w:rsidRPr="008C162D">
        <w:tab/>
        <w:t>Y. Liu, H. Wu, J. Wang, M. Long, Non-stationary transformers: Exploring the stationarity in time series forecasting, Adv. Neural Inf. Process. Syst. 35 (2022) 9881–9893.</w:t>
      </w:r>
    </w:p>
    <w:p w14:paraId="56808834" w14:textId="77777777" w:rsidR="008C162D" w:rsidRPr="008C162D" w:rsidRDefault="008C162D" w:rsidP="008C162D">
      <w:pPr>
        <w:pStyle w:val="af7"/>
        <w:ind w:firstLine="480"/>
      </w:pPr>
      <w:r w:rsidRPr="008C162D">
        <w:t>[48]</w:t>
      </w:r>
      <w:r w:rsidRPr="008C162D">
        <w:tab/>
        <w:t>H. Wu, J. Xu, J. Wang, M. Long, Autoformer: Decomposition transformers with auto-correlation for long-term series forecasting, Adv. Neural Inf. Process. Syst. 34 (2021) 22419–22430.</w:t>
      </w:r>
    </w:p>
    <w:p w14:paraId="22807F56" w14:textId="4C5B50B0"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8"/>
      <w:headerReference w:type="default" r:id="rId9"/>
      <w:footerReference w:type="even" r:id="rId10"/>
      <w:footerReference w:type="default" r:id="rId11"/>
      <w:headerReference w:type="first" r:id="rId12"/>
      <w:footerReference w:type="first" r:id="rId13"/>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2C77" w14:textId="77777777" w:rsidR="00595F74" w:rsidRDefault="00595F74" w:rsidP="0044082D">
      <w:pPr>
        <w:spacing w:after="0" w:line="240" w:lineRule="auto"/>
        <w:ind w:left="480" w:firstLine="480"/>
      </w:pPr>
      <w:r>
        <w:separator/>
      </w:r>
    </w:p>
  </w:endnote>
  <w:endnote w:type="continuationSeparator" w:id="0">
    <w:p w14:paraId="38A92F0E" w14:textId="77777777" w:rsidR="00595F74" w:rsidRDefault="00595F74"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6C8C0" w14:textId="77777777" w:rsidR="00595F74" w:rsidRDefault="00595F74" w:rsidP="0044082D">
      <w:pPr>
        <w:spacing w:after="0" w:line="240" w:lineRule="auto"/>
        <w:ind w:left="480" w:firstLine="480"/>
      </w:pPr>
      <w:r>
        <w:separator/>
      </w:r>
    </w:p>
  </w:footnote>
  <w:footnote w:type="continuationSeparator" w:id="0">
    <w:p w14:paraId="7FE60473" w14:textId="77777777" w:rsidR="00595F74" w:rsidRDefault="00595F74"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trackRevision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B5"/>
    <w:rsid w:val="0003535F"/>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7DC0"/>
    <w:rsid w:val="00100146"/>
    <w:rsid w:val="00100A51"/>
    <w:rsid w:val="0010163D"/>
    <w:rsid w:val="00101709"/>
    <w:rsid w:val="00101F3B"/>
    <w:rsid w:val="00102297"/>
    <w:rsid w:val="0010264D"/>
    <w:rsid w:val="00102E2E"/>
    <w:rsid w:val="00102F14"/>
    <w:rsid w:val="001036BB"/>
    <w:rsid w:val="00103BE8"/>
    <w:rsid w:val="00103D79"/>
    <w:rsid w:val="001048F3"/>
    <w:rsid w:val="00104D3D"/>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317"/>
    <w:rsid w:val="00141B93"/>
    <w:rsid w:val="00142C79"/>
    <w:rsid w:val="00142D32"/>
    <w:rsid w:val="00142F87"/>
    <w:rsid w:val="00143582"/>
    <w:rsid w:val="001436A0"/>
    <w:rsid w:val="00143A42"/>
    <w:rsid w:val="00143CB3"/>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FE2"/>
    <w:rsid w:val="00180151"/>
    <w:rsid w:val="00180272"/>
    <w:rsid w:val="00180595"/>
    <w:rsid w:val="001805F6"/>
    <w:rsid w:val="001807EB"/>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E53"/>
    <w:rsid w:val="00184096"/>
    <w:rsid w:val="001842BE"/>
    <w:rsid w:val="00184650"/>
    <w:rsid w:val="0018478A"/>
    <w:rsid w:val="00184B25"/>
    <w:rsid w:val="00184DE1"/>
    <w:rsid w:val="00185098"/>
    <w:rsid w:val="0018518A"/>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47E"/>
    <w:rsid w:val="002077D7"/>
    <w:rsid w:val="00207921"/>
    <w:rsid w:val="0020795B"/>
    <w:rsid w:val="00210A67"/>
    <w:rsid w:val="002118D6"/>
    <w:rsid w:val="00211A6E"/>
    <w:rsid w:val="0021255F"/>
    <w:rsid w:val="00212736"/>
    <w:rsid w:val="002127E0"/>
    <w:rsid w:val="0021288C"/>
    <w:rsid w:val="002129C7"/>
    <w:rsid w:val="002133E0"/>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6E0"/>
    <w:rsid w:val="00247E01"/>
    <w:rsid w:val="00247ECF"/>
    <w:rsid w:val="002500A0"/>
    <w:rsid w:val="00250950"/>
    <w:rsid w:val="00251255"/>
    <w:rsid w:val="00251960"/>
    <w:rsid w:val="00251B20"/>
    <w:rsid w:val="00251FBD"/>
    <w:rsid w:val="0025216D"/>
    <w:rsid w:val="0025241E"/>
    <w:rsid w:val="00252A34"/>
    <w:rsid w:val="00253A5B"/>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68FF"/>
    <w:rsid w:val="00276C12"/>
    <w:rsid w:val="00276C52"/>
    <w:rsid w:val="00276F26"/>
    <w:rsid w:val="0027785F"/>
    <w:rsid w:val="0027787A"/>
    <w:rsid w:val="00277B67"/>
    <w:rsid w:val="00277DDE"/>
    <w:rsid w:val="00277F64"/>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9C7"/>
    <w:rsid w:val="00292619"/>
    <w:rsid w:val="00292AAA"/>
    <w:rsid w:val="002935F1"/>
    <w:rsid w:val="002936B6"/>
    <w:rsid w:val="00293746"/>
    <w:rsid w:val="00293913"/>
    <w:rsid w:val="00294946"/>
    <w:rsid w:val="0029538E"/>
    <w:rsid w:val="002961DA"/>
    <w:rsid w:val="002961FB"/>
    <w:rsid w:val="00296863"/>
    <w:rsid w:val="00297820"/>
    <w:rsid w:val="00297857"/>
    <w:rsid w:val="002979DA"/>
    <w:rsid w:val="00297D25"/>
    <w:rsid w:val="00297D60"/>
    <w:rsid w:val="002A06B2"/>
    <w:rsid w:val="002A16E2"/>
    <w:rsid w:val="002A1CCF"/>
    <w:rsid w:val="002A2338"/>
    <w:rsid w:val="002A2B21"/>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B5"/>
    <w:rsid w:val="002B5249"/>
    <w:rsid w:val="002B5548"/>
    <w:rsid w:val="002B5BE1"/>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2BC1"/>
    <w:rsid w:val="00362F08"/>
    <w:rsid w:val="0036404C"/>
    <w:rsid w:val="00364363"/>
    <w:rsid w:val="00364B78"/>
    <w:rsid w:val="00365144"/>
    <w:rsid w:val="003652C8"/>
    <w:rsid w:val="0036546D"/>
    <w:rsid w:val="003659E5"/>
    <w:rsid w:val="00365E3D"/>
    <w:rsid w:val="00365E94"/>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B11"/>
    <w:rsid w:val="003B3666"/>
    <w:rsid w:val="003B3C03"/>
    <w:rsid w:val="003B40EE"/>
    <w:rsid w:val="003B4B5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71"/>
    <w:rsid w:val="003C6949"/>
    <w:rsid w:val="003C7EBF"/>
    <w:rsid w:val="003C7ED9"/>
    <w:rsid w:val="003C7F87"/>
    <w:rsid w:val="003D0236"/>
    <w:rsid w:val="003D04D6"/>
    <w:rsid w:val="003D0C88"/>
    <w:rsid w:val="003D2526"/>
    <w:rsid w:val="003D2BFC"/>
    <w:rsid w:val="003D326A"/>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0D76"/>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401FD"/>
    <w:rsid w:val="00440453"/>
    <w:rsid w:val="0044082D"/>
    <w:rsid w:val="00440E0D"/>
    <w:rsid w:val="00441269"/>
    <w:rsid w:val="0044152A"/>
    <w:rsid w:val="00441A81"/>
    <w:rsid w:val="00441DB5"/>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AA9"/>
    <w:rsid w:val="00460FA5"/>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27EB"/>
    <w:rsid w:val="004B27F7"/>
    <w:rsid w:val="004B2B9A"/>
    <w:rsid w:val="004B2C7E"/>
    <w:rsid w:val="004B3286"/>
    <w:rsid w:val="004B36FF"/>
    <w:rsid w:val="004B39BD"/>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409A"/>
    <w:rsid w:val="004E41EB"/>
    <w:rsid w:val="004E43F1"/>
    <w:rsid w:val="004E44A1"/>
    <w:rsid w:val="004E47C2"/>
    <w:rsid w:val="004E4DD9"/>
    <w:rsid w:val="004E4F14"/>
    <w:rsid w:val="004E4FB8"/>
    <w:rsid w:val="004E523F"/>
    <w:rsid w:val="004E59DA"/>
    <w:rsid w:val="004E5F19"/>
    <w:rsid w:val="004E60C6"/>
    <w:rsid w:val="004E60F3"/>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5F0C"/>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EF3"/>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5105"/>
    <w:rsid w:val="00566481"/>
    <w:rsid w:val="005664D9"/>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8DE"/>
    <w:rsid w:val="00585901"/>
    <w:rsid w:val="00585D19"/>
    <w:rsid w:val="0058642E"/>
    <w:rsid w:val="0058644F"/>
    <w:rsid w:val="00586B81"/>
    <w:rsid w:val="00586BF0"/>
    <w:rsid w:val="00587AC3"/>
    <w:rsid w:val="005900FC"/>
    <w:rsid w:val="005904BB"/>
    <w:rsid w:val="00590A6D"/>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5F74"/>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B9"/>
    <w:rsid w:val="005A71C1"/>
    <w:rsid w:val="005A7A20"/>
    <w:rsid w:val="005A7A8D"/>
    <w:rsid w:val="005B017B"/>
    <w:rsid w:val="005B0226"/>
    <w:rsid w:val="005B0422"/>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4B8"/>
    <w:rsid w:val="005E15D2"/>
    <w:rsid w:val="005E2CE2"/>
    <w:rsid w:val="005E391F"/>
    <w:rsid w:val="005E3F56"/>
    <w:rsid w:val="005E465D"/>
    <w:rsid w:val="005E49BA"/>
    <w:rsid w:val="005E4B10"/>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55D"/>
    <w:rsid w:val="00616629"/>
    <w:rsid w:val="00616B02"/>
    <w:rsid w:val="00616B36"/>
    <w:rsid w:val="00616DAC"/>
    <w:rsid w:val="00617239"/>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FD0"/>
    <w:rsid w:val="006350C1"/>
    <w:rsid w:val="006350F4"/>
    <w:rsid w:val="00635F16"/>
    <w:rsid w:val="0063622B"/>
    <w:rsid w:val="00636D5F"/>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CC5"/>
    <w:rsid w:val="006A7D9D"/>
    <w:rsid w:val="006A7E3E"/>
    <w:rsid w:val="006B02BE"/>
    <w:rsid w:val="006B0483"/>
    <w:rsid w:val="006B08A7"/>
    <w:rsid w:val="006B0CA8"/>
    <w:rsid w:val="006B1012"/>
    <w:rsid w:val="006B1752"/>
    <w:rsid w:val="006B19DD"/>
    <w:rsid w:val="006B23F3"/>
    <w:rsid w:val="006B24C1"/>
    <w:rsid w:val="006B2BEE"/>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5A7"/>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678"/>
    <w:rsid w:val="0072171E"/>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E00"/>
    <w:rsid w:val="00732FAE"/>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65B5"/>
    <w:rsid w:val="007A6F7E"/>
    <w:rsid w:val="007A75A6"/>
    <w:rsid w:val="007A7620"/>
    <w:rsid w:val="007A76AA"/>
    <w:rsid w:val="007A7C6D"/>
    <w:rsid w:val="007A7DF9"/>
    <w:rsid w:val="007A7E04"/>
    <w:rsid w:val="007B1A9D"/>
    <w:rsid w:val="007B1B37"/>
    <w:rsid w:val="007B1CC4"/>
    <w:rsid w:val="007B2154"/>
    <w:rsid w:val="007B2802"/>
    <w:rsid w:val="007B2BED"/>
    <w:rsid w:val="007B3372"/>
    <w:rsid w:val="007B369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767"/>
    <w:rsid w:val="007C7AF7"/>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36AE"/>
    <w:rsid w:val="007E3960"/>
    <w:rsid w:val="007E3A4E"/>
    <w:rsid w:val="007E3B2D"/>
    <w:rsid w:val="007E3E34"/>
    <w:rsid w:val="007E42B9"/>
    <w:rsid w:val="007E438D"/>
    <w:rsid w:val="007E5029"/>
    <w:rsid w:val="007E51AF"/>
    <w:rsid w:val="007E5968"/>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4395"/>
    <w:rsid w:val="00854462"/>
    <w:rsid w:val="008546A8"/>
    <w:rsid w:val="008546B2"/>
    <w:rsid w:val="008547D1"/>
    <w:rsid w:val="008551C4"/>
    <w:rsid w:val="00855D6A"/>
    <w:rsid w:val="00855EAE"/>
    <w:rsid w:val="00856668"/>
    <w:rsid w:val="00856B9A"/>
    <w:rsid w:val="00856D02"/>
    <w:rsid w:val="00856E1E"/>
    <w:rsid w:val="00856EA4"/>
    <w:rsid w:val="008575AC"/>
    <w:rsid w:val="008578A6"/>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A23"/>
    <w:rsid w:val="00896067"/>
    <w:rsid w:val="008970AC"/>
    <w:rsid w:val="00897192"/>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C88"/>
    <w:rsid w:val="008C5567"/>
    <w:rsid w:val="008C5B4A"/>
    <w:rsid w:val="008C629C"/>
    <w:rsid w:val="008C65C9"/>
    <w:rsid w:val="008C6844"/>
    <w:rsid w:val="008C69E8"/>
    <w:rsid w:val="008C71AF"/>
    <w:rsid w:val="008C7606"/>
    <w:rsid w:val="008C7773"/>
    <w:rsid w:val="008C7BEA"/>
    <w:rsid w:val="008C7D03"/>
    <w:rsid w:val="008D01E0"/>
    <w:rsid w:val="008D02D9"/>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F12"/>
    <w:rsid w:val="008D5023"/>
    <w:rsid w:val="008D53F8"/>
    <w:rsid w:val="008D542D"/>
    <w:rsid w:val="008D6431"/>
    <w:rsid w:val="008D713B"/>
    <w:rsid w:val="008D7A70"/>
    <w:rsid w:val="008D7AD6"/>
    <w:rsid w:val="008D7B42"/>
    <w:rsid w:val="008D7B4F"/>
    <w:rsid w:val="008D7E86"/>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5E0"/>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DF"/>
    <w:rsid w:val="00981E8B"/>
    <w:rsid w:val="009820D2"/>
    <w:rsid w:val="00982161"/>
    <w:rsid w:val="009821BE"/>
    <w:rsid w:val="0098250B"/>
    <w:rsid w:val="00982C16"/>
    <w:rsid w:val="00982E79"/>
    <w:rsid w:val="00983032"/>
    <w:rsid w:val="00983CE4"/>
    <w:rsid w:val="00983EF7"/>
    <w:rsid w:val="009843E3"/>
    <w:rsid w:val="0098456F"/>
    <w:rsid w:val="00984672"/>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8C7"/>
    <w:rsid w:val="009C5DD5"/>
    <w:rsid w:val="009C5F9A"/>
    <w:rsid w:val="009C60BA"/>
    <w:rsid w:val="009C61A7"/>
    <w:rsid w:val="009C6215"/>
    <w:rsid w:val="009C64E1"/>
    <w:rsid w:val="009C6B81"/>
    <w:rsid w:val="009C7294"/>
    <w:rsid w:val="009C7C00"/>
    <w:rsid w:val="009C7F18"/>
    <w:rsid w:val="009D005F"/>
    <w:rsid w:val="009D036D"/>
    <w:rsid w:val="009D0686"/>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D92"/>
    <w:rsid w:val="009D7DCA"/>
    <w:rsid w:val="009D7E3F"/>
    <w:rsid w:val="009E08B9"/>
    <w:rsid w:val="009E0F6F"/>
    <w:rsid w:val="009E1C36"/>
    <w:rsid w:val="009E24FE"/>
    <w:rsid w:val="009E2C3F"/>
    <w:rsid w:val="009E2FA5"/>
    <w:rsid w:val="009E331E"/>
    <w:rsid w:val="009E33B2"/>
    <w:rsid w:val="009E33DD"/>
    <w:rsid w:val="009E3BBB"/>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AAA"/>
    <w:rsid w:val="00A66B28"/>
    <w:rsid w:val="00A6703F"/>
    <w:rsid w:val="00A67775"/>
    <w:rsid w:val="00A67C23"/>
    <w:rsid w:val="00A700CB"/>
    <w:rsid w:val="00A70501"/>
    <w:rsid w:val="00A70646"/>
    <w:rsid w:val="00A70776"/>
    <w:rsid w:val="00A70E60"/>
    <w:rsid w:val="00A70E65"/>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1D7C"/>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C6"/>
    <w:rsid w:val="00B06AC4"/>
    <w:rsid w:val="00B06C26"/>
    <w:rsid w:val="00B06CFD"/>
    <w:rsid w:val="00B06D2C"/>
    <w:rsid w:val="00B06DB5"/>
    <w:rsid w:val="00B06EC2"/>
    <w:rsid w:val="00B07286"/>
    <w:rsid w:val="00B076DC"/>
    <w:rsid w:val="00B07DAB"/>
    <w:rsid w:val="00B1012C"/>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45A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C9"/>
    <w:rsid w:val="00BB4AB8"/>
    <w:rsid w:val="00BB509E"/>
    <w:rsid w:val="00BB5614"/>
    <w:rsid w:val="00BB617E"/>
    <w:rsid w:val="00BB63C7"/>
    <w:rsid w:val="00BB6929"/>
    <w:rsid w:val="00BB6A7D"/>
    <w:rsid w:val="00BB6E96"/>
    <w:rsid w:val="00BB7210"/>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E1E"/>
    <w:rsid w:val="00C57E9F"/>
    <w:rsid w:val="00C57F5F"/>
    <w:rsid w:val="00C57FE9"/>
    <w:rsid w:val="00C60287"/>
    <w:rsid w:val="00C603AE"/>
    <w:rsid w:val="00C60879"/>
    <w:rsid w:val="00C60BA8"/>
    <w:rsid w:val="00C61005"/>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C7"/>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D97"/>
    <w:rsid w:val="00CD0CBE"/>
    <w:rsid w:val="00CD1C74"/>
    <w:rsid w:val="00CD1DC5"/>
    <w:rsid w:val="00CD1F00"/>
    <w:rsid w:val="00CD2197"/>
    <w:rsid w:val="00CD389D"/>
    <w:rsid w:val="00CD4D12"/>
    <w:rsid w:val="00CD510C"/>
    <w:rsid w:val="00CD54C1"/>
    <w:rsid w:val="00CD54E9"/>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5A6A"/>
    <w:rsid w:val="00D45BAC"/>
    <w:rsid w:val="00D462B1"/>
    <w:rsid w:val="00D46857"/>
    <w:rsid w:val="00D46EF3"/>
    <w:rsid w:val="00D47ACF"/>
    <w:rsid w:val="00D47BF4"/>
    <w:rsid w:val="00D47C4D"/>
    <w:rsid w:val="00D47D81"/>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C6"/>
    <w:rsid w:val="00D652E6"/>
    <w:rsid w:val="00D65FED"/>
    <w:rsid w:val="00D66896"/>
    <w:rsid w:val="00D67435"/>
    <w:rsid w:val="00D678D0"/>
    <w:rsid w:val="00D678D3"/>
    <w:rsid w:val="00D67AF3"/>
    <w:rsid w:val="00D67FC1"/>
    <w:rsid w:val="00D70155"/>
    <w:rsid w:val="00D717A8"/>
    <w:rsid w:val="00D71B61"/>
    <w:rsid w:val="00D729A3"/>
    <w:rsid w:val="00D729D1"/>
    <w:rsid w:val="00D72E3E"/>
    <w:rsid w:val="00D730BB"/>
    <w:rsid w:val="00D734E2"/>
    <w:rsid w:val="00D735AC"/>
    <w:rsid w:val="00D73819"/>
    <w:rsid w:val="00D7398D"/>
    <w:rsid w:val="00D74699"/>
    <w:rsid w:val="00D747EA"/>
    <w:rsid w:val="00D74A06"/>
    <w:rsid w:val="00D74BA8"/>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40"/>
    <w:rsid w:val="00D928E4"/>
    <w:rsid w:val="00D92FAC"/>
    <w:rsid w:val="00D94020"/>
    <w:rsid w:val="00D94962"/>
    <w:rsid w:val="00D9574D"/>
    <w:rsid w:val="00D95E03"/>
    <w:rsid w:val="00D95F4C"/>
    <w:rsid w:val="00D964FC"/>
    <w:rsid w:val="00D965FB"/>
    <w:rsid w:val="00D96AD9"/>
    <w:rsid w:val="00D96B30"/>
    <w:rsid w:val="00D97422"/>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51D"/>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107F"/>
    <w:rsid w:val="00F01605"/>
    <w:rsid w:val="00F01668"/>
    <w:rsid w:val="00F01B3B"/>
    <w:rsid w:val="00F01D40"/>
    <w:rsid w:val="00F024D6"/>
    <w:rsid w:val="00F0289B"/>
    <w:rsid w:val="00F02980"/>
    <w:rsid w:val="00F02ACB"/>
    <w:rsid w:val="00F02B2E"/>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A6D"/>
    <w:rsid w:val="00F50D94"/>
    <w:rsid w:val="00F50E83"/>
    <w:rsid w:val="00F50F48"/>
    <w:rsid w:val="00F510B5"/>
    <w:rsid w:val="00F512E2"/>
    <w:rsid w:val="00F517CC"/>
    <w:rsid w:val="00F51B1D"/>
    <w:rsid w:val="00F52DC8"/>
    <w:rsid w:val="00F52E7B"/>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A68"/>
    <w:rsid w:val="00F66E20"/>
    <w:rsid w:val="00F6711D"/>
    <w:rsid w:val="00F67579"/>
    <w:rsid w:val="00F67803"/>
    <w:rsid w:val="00F700B4"/>
    <w:rsid w:val="00F71CC0"/>
    <w:rsid w:val="00F71E15"/>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53C"/>
    <w:rsid w:val="00FC6578"/>
    <w:rsid w:val="00FC7216"/>
    <w:rsid w:val="00FC75E9"/>
    <w:rsid w:val="00FC78D3"/>
    <w:rsid w:val="00FC7C49"/>
    <w:rsid w:val="00FD02F4"/>
    <w:rsid w:val="00FD0A44"/>
    <w:rsid w:val="00FD18F1"/>
    <w:rsid w:val="00FD1A61"/>
    <w:rsid w:val="00FD2815"/>
    <w:rsid w:val="00FD282B"/>
    <w:rsid w:val="00FD286A"/>
    <w:rsid w:val="00FD289F"/>
    <w:rsid w:val="00FD3445"/>
    <w:rsid w:val="00FD3971"/>
    <w:rsid w:val="00FD3DCC"/>
    <w:rsid w:val="00FD4247"/>
    <w:rsid w:val="00FD436D"/>
    <w:rsid w:val="00FD50DF"/>
    <w:rsid w:val="00FD53D4"/>
    <w:rsid w:val="00FD54D8"/>
    <w:rsid w:val="00FD5A00"/>
    <w:rsid w:val="00FD5ED4"/>
    <w:rsid w:val="00FD6072"/>
    <w:rsid w:val="00FD6114"/>
    <w:rsid w:val="00FD6209"/>
    <w:rsid w:val="00FD67CD"/>
    <w:rsid w:val="00FD6F7A"/>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16880</TotalTime>
  <Pages>8</Pages>
  <Words>13525</Words>
  <Characters>77096</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2125</cp:revision>
  <cp:lastPrinted>2026-04-30T02:46:00Z</cp:lastPrinted>
  <dcterms:created xsi:type="dcterms:W3CDTF">2026-04-12T03:42:00Z</dcterms:created>
  <dcterms:modified xsi:type="dcterms:W3CDTF">2026-05-03T10:01:00Z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id="V2pBhQxc"/&gt;&lt;style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