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¹</w:t>
      </w:r>
      <w:r w:rsidRPr="001C6770">
        <w:rPr>
          <w:rFonts w:hint="eastAsia"/>
          <w:sz w:val="18"/>
          <w:szCs w:val="16"/>
        </w:rPr>
        <w:t>Department</w:t>
      </w:r>
      <w:r w:rsidRPr="001C6770">
        <w:rPr>
          <w:sz w:val="18"/>
          <w:szCs w:val="16"/>
        </w:rPr>
        <w:t xml:space="preserve"> of Chemical Engineering,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the deployment of data-driven prognostic models is often restricted by the cold-start problem, where newly commissioned equipment or transitions to novel operating conditions leave extremely limited fault data. Under such few-shot conditions, conventional deep-learning forecasters overfit and lose the ability to anticipate an incipient alarm. Time series foundation models (TSFMs) mitigate this scarcity through cross-domain pretraining, yet a single foundation model still degrades as the adaptation data shrink. To close this gap, this study proposes an operator-augmented ensemble of time series foundation models for few-shot fault prognosis. The framework exposes the adapted backbone through a pool of differencing operators, a level view, a velocity view, and an acceleration view, which transform the non-stationary target into a near-stationary forecasting problem and thereby remove the model's dependence on the amount of adaptation data. A direction-aware union rule then fuses the velocity and acceleration decisions into the earliest reliable early warning. The proposed method is validated on the Tennessee Eastman process under a slow incipient disturbance. The operator-augmented ensemble sustains near-full-data prognostic recall, lead time, and forecasting accuracy down to a tiny fraction of the fault data, where every supervised baseline collapses. It thereby provides a reliable and proactive abnormal situation management strategy for process safety in large-scale chemical plants.</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the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pStyle w:val="1"/>
      </w:pPr>
      <w:r>
        <w:t>2.</w:t>
      </w:r>
      <w:r>
        <w:tab/>
        <w:t>Methodology</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the variable-level instantiation of abnormal situation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C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alarm band is fixed,</w:t>
      </w:r>
    </w:p>
    <w:p w14:paraId="6893E00F" w14:textId="77777777" w:rsidR="00E60AAC" w:rsidRDefault="00E60AAC" w:rsidP="00E60AAC">
      <w:pPr>
        <w:tabs>
          <w:tab w:val="center" w:pos="4110"/>
          <w:tab w:val="right" w:pos="8220"/>
        </w:tabs>
        <w:ind w:firstLine="480"/>
      </w:pPr>
      <w:r>
        <w:tab/>
      </w:r>
      <m:oMath>
        <m:r>
          <w:rPr>
            <w:rFonts w:ascii="Cambria Math" w:hAnsi="Cambria Math"/>
          </w:rPr>
          <m:t>ℓ</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band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tab/>
        <w:t>Time series foundation models</w:t>
      </w:r>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t>crossing. Time series foundation models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backbone and additionally consider two architecturally distinct TSFMs, Time-MoE, a decoder-only mixture-of-experts, and Sundial,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tab/>
        <w:t>Few-shot alignment of the TSFM backbone</w:t>
      </w:r>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initialized from its pretrained weights θ₀,</w:t>
      </w:r>
    </w:p>
    <w:p>
      <w:pPr>
        <w:ind w:firstLine="480"/>
      </w:pPr>
      <w:r>
        <w:t xml:space="preserve">[[ FIGURE 1 PLACEHOLDER — insert image here ]]</w:t>
      </w:r>
    </w:p>
    <w:p>
      <w:pPr>
        <w:ind w:firstLine="480"/>
      </w:pPr>
      <w:r>
        <w:t xml:space="preserve">Fig. 1. Overview of the operator-augmented ensemble. A pretrained TSFM is few-shot aligned to the target unit, exposed through the raw, difference, and second-difference operators; the difference and second-difference alarm decisions are then fused by the direction-aware union rule into the early-warning decision.</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standardiser and the alarm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the level, the difference operator sees the velocity, and the second-difference operator sees the acceleration that precedes the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yₜ − yₜ₋₁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The second-difference operator therefore forecasts the second difference,</w:t>
      </w:r>
    </w:p>
    <w:p>
      <w:pPr>
        <w:tabs>
          <w:tab w:val="center" w:pos="4110"/>
          <w:tab w:val="right" w:pos="8220"/>
        </w:tabs>
        <w:ind w:firstLine="480"/>
      </w:pPr>
      <w:r>
        <w:tab/>
      </w:r>
      <m:oMath>
        <m:sSup>
          <m:e>
            <m:r>
              <m:rPr>
                <m:sty m:val="p"/>
              </m:rPr>
              <m:t>∇</m:t>
            </m:r>
          </m:e>
          <m:sup>
            <m:r>
              <m:t>2</m:t>
            </m:r>
          </m:sup>
        </m:sSup>
        <m:sSub>
          <m:e>
            <m:r>
              <m:t>y</m:t>
            </m:r>
          </m:e>
          <m:sub>
            <m:r>
              <m:t>t</m:t>
            </m:r>
          </m:sub>
        </m:sSub>
        <m:r>
          <m:rPr>
            <m:sty m:val="p"/>
          </m:rPr>
          <m:t>=</m:t>
        </m:r>
        <m:sSub>
          <m:e>
            <m:r>
              <m:t>y</m:t>
            </m:r>
          </m:e>
          <m:sub>
            <m:r>
              <m:t>t</m:t>
            </m:r>
          </m:sub>
        </m:sSub>
        <m:r>
          <m:rPr>
            <m:sty m:val="p"/>
          </m:rPr>
          <m:t>−</m:t>
        </m:r>
        <m:r>
          <m:t>2</m:t>
        </m:r>
        <m:sSub>
          <m:e>
            <m:r>
              <m:t>y</m:t>
            </m:r>
          </m:e>
          <m:sub>
            <m:r>
              <m:t>t</m:t>
            </m:r>
            <m:r>
              <m:rPr>
                <m:sty m:val="p"/>
              </m:rPr>
              <m:t>−</m:t>
            </m:r>
            <m:r>
              <m:t>1</m:t>
            </m:r>
          </m:sub>
        </m:sSub>
        <m:r>
          <m:rPr>
            <m:sty m:val="p"/>
          </m:rPr>
          <m:t>+</m:t>
        </m:r>
        <m:sSub>
          <m:e>
            <m:r>
              <m:t>y</m:t>
            </m:r>
          </m:e>
          <m:sub>
            <m:r>
              <m:t>t</m:t>
            </m:r>
            <m:r>
              <m:rPr>
                <m:sty m:val="p"/>
              </m:rPr>
              <m:t>−</m:t>
            </m:r>
            <m:r>
              <m:t>2</m:t>
            </m:r>
          </m:sub>
        </m:sSub>
      </m:oMath>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m:oMath>
        <m:sSub>
          <m:e>
            <m:acc>
              <m:accPr>
                <m:chr m:val="̂"/>
              </m:accPr>
              <m:e>
                <m:r>
                  <m:t>y</m:t>
                </m:r>
              </m:e>
            </m:acc>
          </m:e>
          <m:sub>
            <m:r>
              <m:t>t</m:t>
            </m:r>
            <m:r>
              <m:rPr>
                <m:sty m:val="p"/>
              </m:rPr>
              <m:t>+</m:t>
            </m:r>
            <m:r>
              <m:t>h</m:t>
            </m:r>
          </m:sub>
        </m:sSub>
        <m:r>
          <m:rPr>
            <m:sty m:val="p"/>
          </m:rPr>
          <m:t>=</m:t>
        </m:r>
        <m:sSub>
          <m:e>
            <m:r>
              <m:t>y</m:t>
            </m:r>
          </m:e>
          <m:sub>
            <m:r>
              <m:t>t</m:t>
            </m:r>
          </m:sub>
        </m:sSub>
        <m:r>
          <m:rPr>
            <m:sty m:val="p"/>
          </m:rPr>
          <m:t>+</m:t>
        </m:r>
        <m:nary>
          <m:naryPr>
            <m:chr m:val="∑"/>
            <m:limLoc m:val="undOvr"/>
            <m:subHide m:val="off"/>
            <m:supHide m:val="off"/>
          </m:naryPr>
          <m:sub>
            <m:r>
              <m:t>k</m:t>
            </m:r>
            <m:r>
              <m:rPr>
                <m:sty m:val="p"/>
              </m:rPr>
              <m:t>=</m:t>
            </m:r>
            <m:r>
              <m:t>1</m:t>
            </m:r>
          </m:sub>
          <m:sup>
            <m:r>
              <m:t>h</m:t>
            </m:r>
          </m:sup>
          <m:e>
            <m:d>
              <m:dPr>
                <m:begChr m:val="["/>
                <m:sepChr m:val=""/>
                <m:endChr m:val="]"/>
                <m:grow/>
              </m:dPr>
              <m:e>
                <m:r>
                  <m:t> </m:t>
                </m:r>
                <m:sSub>
                  <m:e>
                    <m:r>
                      <m:t>d</m:t>
                    </m:r>
                  </m:e>
                  <m:sub>
                    <m:r>
                      <m:t>t</m:t>
                    </m:r>
                  </m:sub>
                </m:sSub>
                <m:r>
                  <m:rPr>
                    <m:sty m:val="p"/>
                  </m:rPr>
                  <m:t>+</m:t>
                </m:r>
                <m:nary>
                  <m:naryPr>
                    <m:chr m:val="∑"/>
                    <m:limLoc m:val="undOvr"/>
                    <m:subHide m:val="off"/>
                    <m:supHide m:val="off"/>
                  </m:naryPr>
                  <m:sub>
                    <m:r>
                      <m:t>j</m:t>
                    </m:r>
                    <m:r>
                      <m:rPr>
                        <m:sty m:val="p"/>
                      </m:rPr>
                      <m:t>=</m:t>
                    </m:r>
                    <m:r>
                      <m:t>1</m:t>
                    </m:r>
                  </m:sub>
                  <m:sup>
                    <m:r>
                      <m:t>k</m:t>
                    </m:r>
                  </m:sup>
                  <m:e>
                    <m:sSub>
                      <m:e>
                        <m:acc>
                          <m:accPr>
                            <m:chr m:val="̂"/>
                          </m:accPr>
                          <m:e>
                            <m:r>
                              <m:t>g</m:t>
                            </m:r>
                          </m:e>
                        </m:acc>
                      </m:e>
                      <m:sub>
                        <m:r>
                          <m:t>t</m:t>
                        </m:r>
                        <m:r>
                          <m:rPr>
                            <m:sty m:val="p"/>
                          </m:rPr>
                          <m:t>+</m:t>
                        </m:r>
                        <m:r>
                          <m:t>j</m:t>
                        </m:r>
                      </m:sub>
                    </m:sSub>
                  </m:e>
                </m:nary>
              </m:e>
            </m:d>
          </m:e>
        </m:nary>
        <m:r>
          <m:rPr>
            <m:sty m:val="p"/>
          </m:rPr>
          <m:t>,</m:t>
        </m:r>
        <m:r>
          <m:t> </m:t>
        </m:r>
        <m:r>
          <m:t>h</m:t>
        </m:r>
        <m:r>
          <m:rPr>
            <m:sty m:val="p"/>
          </m:rPr>
          <m:t>=</m:t>
        </m:r>
        <m:r>
          <m:t>1</m:t>
        </m:r>
        <m:r>
          <m:rPr>
            <m:sty m:val="p"/>
          </m:rPr>
          <m:t>,</m:t>
        </m:r>
        <m:r>
          <m:rPr>
            <m:sty m:val="p"/>
          </m:rPr>
          <m:t>…</m:t>
        </m:r>
        <m:r>
          <m:rPr>
            <m:sty m:val="p"/>
          </m:rPr>
          <m:t>,</m:t>
        </m:r>
        <m:r>
          <m:t>H</m:t>
        </m:r>
      </m:oMath>
      <w:r>
        <w:tab/>
        <w:t xml:space="preserve">(13)</w:t>
      </w:r>
    </w:p>
    <w:p>
      <w:r>
        <w:t>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4.4.</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alarm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&lt;</m:t>
            </m:r>
            <m:r>
              <w:rPr>
                <w:rFonts w:ascii="Cambria Math" w:hAnsi="Cambria Math"/>
              </w:rPr>
              <m:t>ℓ 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ℓ</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m:t>
        </m:r>
        <m:r>
          <m:rPr>
            <m:sty m:val="p"/>
          </m:rP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(preFAR)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preFAR=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m:oMath>
        <m:sSup>
          <m:e>
            <m:r>
              <m:t>A</m:t>
            </m:r>
          </m:e>
          <m:sup>
            <m:r>
              <m:t>U</m:t>
            </m:r>
          </m:sup>
        </m:sSup>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max</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&gt;</m:t>
            </m:r>
            <m:r>
              <m:t>u</m:t>
            </m:r>
            <m:r>
              <m:t> </m:t>
            </m:r>
            <m:r>
              <m:rPr>
                <m:sty m:val="p"/>
              </m:rPr>
              <m:t>∨</m:t>
            </m:r>
            <m:r>
              <m:t> </m:t>
            </m:r>
            <m:r>
              <m:rPr>
                <m:sty m:val="p"/>
              </m:rPr>
              <m:t>min</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&lt;</m:t>
            </m:r>
            <m:r>
              <m:t>ℓ</m:t>
            </m:r>
          </m:e>
        </m:d>
      </m:oMath>
      <w:r>
        <w:tab/>
        <w:t>(18)</w:t>
      </w:r>
    </w:p>
    <w:p>
      <w:r>
        <w:t>which is exactly the logical union of the two operators' alarm flags, A^U = A^∇ ∨ A^(∇²). The union fires whenever either view anticipates a crossing, so it recovers onsets that either view alone would miss. Its cost is a higher false prognosis rate, quantified in Section 4.5.</w:t>
      </w:r>
    </w:p>
    <w:p w14:paraId="691E16B2" w14:textId="77777777" w:rsidR="00E60AAC" w:rsidRDefault="00E60AAC" w:rsidP="00E60AAC">
      <w:pPr>
        <w:ind w:firstLine="480"/>
      </w:pPr>
      <w:r>
        <w:t>Lead time and false alarms trade off against each other, so neither is meaningful in isolation. We therefore judge prognosis at a controlled operating point, reporting the prognostic recall attainable while holding the pre-onset false-alarm rate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tab/>
        <w:t>Optimization and leakage control</w:t>
      </w:r>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alarm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tab/>
        <w:t>Overall algorithmic framework</w:t>
      </w:r>
      <w:r/>
    </w:p>
    <w:p w14:paraId="431DBFB3" w14:textId="77777777" w:rsidR="00E60AAC" w:rsidRDefault="00E60AAC" w:rsidP="00E60AAC">
      <w:pPr>
        <w:ind w:firstLine="480"/>
      </w:pPr>
      <w:r>
        <w:t>The complete pipeline assembles the components into a single few-shot fault-prognosis procedure. Three views of the target, raw, 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4.</w:t>
        <w:tab/>
        <w:t>Application and results</w:t>
      </w:r>
    </w:p>
    <w:p>
      <w:pPr>
        <w:pStyle w:val="2"/>
      </w:pPr>
      <w:r>
        <w:t>4.1</w:t>
        <w:tab/>
        <w:t>Process, fault scenario, and alarm limits</w:t>
      </w:r>
    </w:p>
    <w:p>
      <w:r>
        <w:t>The framework is evaluated on the Tennessee Eastman process (TEP), the reference benchmark for chemical-process abnormal situation management. The target variable is the purge rate, the stream 9 flow, denoted XMEAS10 (Fig. 2). It is a safety- and economics-critical stream whose slow excursions are a classic early indicator of loss of separation. The disturbance is IDV13, a slow drift in reaction kinetics. It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r>
        <w:t>The alarm band (ℓ, u) is fit on the healthy record by Eq. (3) and is never informed by the test fault. For XMEAS10 in this operating condition the band is ℓ = 0.1817 and u = 0.2415 in standardized units. A window is a genuine prognostic opportunity only when the process is still inside the band at the decision time, which is made precise by the clean-window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m:oMath>
        <m:sSub>
          <m:e>
            <m:r>
              <m:t>y</m:t>
            </m:r>
          </m:e>
          <m:sub>
            <m:r>
              <m:t>w</m:t>
            </m:r>
          </m:sub>
        </m:sSub>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
              <m:e>
                <m:r>
                  <m:t>y</m:t>
                </m:r>
              </m:e>
              <m:sub>
                <m:r>
                  <m:t>t</m:t>
                </m:r>
                <m:r>
                  <m:rPr>
                    <m:sty m:val="p"/>
                  </m:rPr>
                  <m:t>+</m:t>
                </m:r>
                <m:r>
                  <m:t>h</m:t>
                </m:r>
              </m:sub>
            </m:sSub>
            <m:r>
              <m:rPr>
                <m:sty m:val="p"/>
              </m:rPr>
              <m:t>&gt;</m:t>
            </m:r>
            <m:r>
              <m:t>u</m:t>
            </m:r>
            <m:r>
              <m:t> </m:t>
            </m:r>
            <m:r>
              <m:rPr>
                <m:sty m:val="p"/>
              </m:rPr>
              <m:t>∨</m:t>
            </m:r>
            <m:r>
              <m:t> </m:t>
            </m:r>
            <m:sSub>
              <m:e>
                <m:r>
                  <m:t>y</m:t>
                </m:r>
              </m:e>
              <m:sub>
                <m:r>
                  <m:t>t</m:t>
                </m:r>
                <m:r>
                  <m:rPr>
                    <m:sty m:val="p"/>
                  </m:rPr>
                  <m:t>+</m:t>
                </m:r>
                <m:r>
                  <m:t>h</m:t>
                </m:r>
              </m:sub>
            </m:sSub>
            <m:r>
              <m:rPr>
                <m:sty m:val="p"/>
              </m:rPr>
              <m:t>&lt;</m:t>
            </m:r>
            <m:r>
              <m:t>ℓ</m:t>
            </m:r>
          </m:e>
        </m:d>
      </m:oMath>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m:oMath>
        <m:sSub>
          <m:e>
            <m:r>
              <m:rPr>
                <m:sty m:val="p"/>
              </m:rPr>
              <m:t>c</m:t>
            </m:r>
            <m:r>
              <m:rPr>
                <m:sty m:val="p"/>
              </m:rPr>
              <m:t>l</m:t>
            </m:r>
            <m:r>
              <m:rPr>
                <m:sty m:val="p"/>
              </m:rPr>
              <m:t>e</m:t>
            </m:r>
            <m:r>
              <m:rPr>
                <m:sty m:val="p"/>
              </m:rPr>
              <m:t>a</m:t>
            </m:r>
            <m:r>
              <m:rPr>
                <m:sty m:val="p"/>
              </m:rPr>
              <m:t>n</m:t>
            </m:r>
          </m:e>
          <m:sub>
            <m:r>
              <m:t>w</m:t>
            </m:r>
          </m:sub>
        </m:sSub>
        <m:r>
          <m:rPr>
            <m:sty m:val="p"/>
          </m:rPr>
          <m:t>=</m:t>
        </m:r>
        <m:r>
          <m:rPr>
            <m:scr m:val="double-struck"/>
            <m:sty m:val="p"/>
          </m:rPr>
          <m:t>𝟙</m:t>
        </m:r>
        <m:r>
          <m:t>​</m:t>
        </m:r>
        <m:d>
          <m:dPr>
            <m:begChr m:val="{"/>
            <m:sepChr m:val=""/>
            <m:endChr m:val="}"/>
            <m:grow/>
          </m:dPr>
          <m:e>
            <m:r>
              <m:t> </m:t>
            </m:r>
            <m:sSub>
              <m:e>
                <m:r>
                  <m:t>y</m:t>
                </m:r>
              </m:e>
              <m:sub>
                <m:r>
                  <m:t>τ</m:t>
                </m:r>
              </m:sub>
            </m:sSub>
            <m:r>
              <m:rPr>
                <m:sty m:val="p"/>
              </m:rPr>
              <m:t>∈</m:t>
            </m:r>
            <m:r>
              <m:rPr>
                <m:sty m:val="p"/>
              </m:rPr>
              <m:t>[</m:t>
            </m:r>
            <m:r>
              <m:t>ℓ</m:t>
            </m:r>
            <m:r>
              <m:rPr>
                <m:sty m:val="p"/>
              </m:rPr>
              <m:t>,</m:t>
            </m:r>
            <m:r>
              <m:t>u</m:t>
            </m:r>
            <m:r>
              <m:rPr>
                <m:sty m:val="p"/>
              </m:rPr>
              <m:t>]</m:t>
            </m:r>
            <m:r>
              <m:t> </m:t>
            </m:r>
            <m:r>
              <m:rPr>
                <m:nor/>
                <m:sty m:val="p"/>
              </m:rPr>
              <m:t>for all</m:t>
            </m:r>
            <m:r>
              <m:t> </m:t>
            </m:r>
            <m:r>
              <m:t>τ</m:t>
            </m:r>
            <m:r>
              <m:rPr>
                <m:sty m:val="p"/>
              </m:rPr>
              <m:t>∈</m:t>
            </m:r>
            <m:r>
              <m:rPr>
                <m:sty m:val="p"/>
              </m:rPr>
              <m:t>{</m:t>
            </m:r>
            <m:r>
              <m:t>t</m:t>
            </m:r>
            <m:r>
              <m:rPr>
                <m:sty m:val="p"/>
              </m:rPr>
              <m:t>−</m:t>
            </m:r>
            <m:r>
              <m:t>C</m:t>
            </m:r>
            <m:r>
              <m:rPr>
                <m:sty m:val="p"/>
              </m:rPr>
              <m:t>+</m:t>
            </m:r>
            <m:r>
              <m:t>1</m:t>
            </m:r>
            <m:r>
              <m:rPr>
                <m:sty m:val="p"/>
              </m:rPr>
              <m:t>,</m:t>
            </m:r>
            <m:r>
              <m:rPr>
                <m:sty m:val="p"/>
              </m:rPr>
              <m:t>…</m:t>
            </m:r>
            <m:r>
              <m:rPr>
                <m:sty m:val="p"/>
              </m:rPr>
              <m:t>,</m:t>
            </m:r>
            <m:r>
              <m:t>t</m:t>
            </m:r>
            <m:r>
              <m:rPr>
                <m:sty m:val="p"/>
              </m:rPr>
              <m:t>}</m:t>
            </m:r>
          </m:e>
        </m:d>
        <m:r>
          <m:rPr>
            <m:sty m:val="p"/>
          </m:rPr>
          <m:t>,</m:t>
        </m:r>
        <m:r>
          <m:t> </m:t>
        </m:r>
        <m:r>
          <m:t>C</m:t>
        </m:r>
        <m:r>
          <m:rPr>
            <m:sty m:val="p"/>
          </m:rPr>
          <m:t>=</m:t>
        </m:r>
        <m:r>
          <m:t>10</m:t>
        </m:r>
      </m:oMath>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t> </m:t>
                </m:r>
                <m:r>
                  <m:rPr>
                    <m:sty m:val="p"/>
                  </m:rPr>
                  <m:t>}</m:t>
                </m:r>
              </m:e>
            </m:d>
          </m:den>
        </m:f>
      </m:oMath>
      <w:r>
        <w:tab/>
        <w:t>(21)</w:t>
      </w:r>
    </w:p>
    <w:p>
      <w:r>
        <w:t>the false prognosis rate (FAR), the operational form of the pre-onset false-alarm rate of Eq. (17), is</w:t>
      </w:r>
    </w:p>
    <w:p>
      <w:pPr>
        <w:tabs>
          <w:tab w:val="center" w:pos="4110"/>
          <w:tab w:val="right" w:pos="8220"/>
        </w:tabs>
        <w:ind w:firstLine="480"/>
      </w:pPr>
      <w:r>
        <w:tab/>
      </w:r>
      <m:oMath>
        <m:r>
          <m:rPr>
            <m:sty m:val="p"/>
          </m:rPr>
          <m:t>F</m:t>
        </m:r>
        <m:r>
          <m:rPr>
            <m:sty m:val="p"/>
          </m:rPr>
          <m:t>A</m:t>
        </m:r>
        <m:r>
          <m:rPr>
            <m:sty m:val="p"/>
          </m:rPr>
          <m:t>R</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t> </m:t>
                </m:r>
                <m:r>
                  <m:rPr>
                    <m:sty m:val="p"/>
                  </m:rPr>
                  <m:t>}</m:t>
                </m:r>
              </m:e>
            </m:d>
          </m:den>
        </m:f>
      </m:oMath>
      <w:r>
        <w:tab/>
        <w:t>(22)</w:t>
      </w:r>
    </w:p>
    <w:p>
      <w:r>
        <w:t>and the mean lead time, averaged over the set D of onset events that the method actually anticipates, is</w:t>
      </w:r>
    </w:p>
    <w:p>
      <w:pPr>
        <w:tabs>
          <w:tab w:val="center" w:pos="4110"/>
          <w:tab w:val="right" w:pos="8220"/>
        </w:tabs>
        <w:ind w:firstLine="480"/>
      </w:pPr>
      <w:r>
        <w:tab/>
      </w:r>
      <m:oMath>
        <m:bar>
          <m:barPr>
            <m:pos m:val="top"/>
          </m:barPr>
          <m:e>
            <m:r>
              <m:rPr>
                <m:sty m:val="p"/>
              </m:rPr>
              <m:t>LT</m:t>
            </m:r>
          </m:e>
        </m:bar>
        <m:r>
          <m:rPr>
            <m:sty m:val="p"/>
          </m:rPr>
          <m:t>=</m:t>
        </m:r>
        <m:r>
          <m:rPr>
            <m:sty m:val="p"/>
          </m:rPr>
          <m:t>Δ</m:t>
        </m:r>
        <m:r>
          <m:t>t</m:t>
        </m:r>
        <m:r>
          <m:rPr>
            <m:sty m:val="p"/>
          </m:rPr>
          <m:t>⋅</m:t>
        </m:r>
        <m:sSub>
          <m:e>
            <m:r>
              <m:rPr>
                <m:sty m:val="p"/>
              </m:rPr>
              <m:t>mean</m:t>
            </m:r>
          </m:e>
          <m:sub>
            <m:sSup>
              <m:e>
                <m:r>
                  <m:t>τ</m:t>
                </m:r>
              </m:e>
              <m:sup>
                <m:r>
                  <m:rPr>
                    <m:sty m:val="p"/>
                  </m:rPr>
                  <m:t>*</m:t>
                </m:r>
              </m:sup>
            </m:sSup>
            <m:r>
              <m:rPr>
                <m:sty m:val="p"/>
              </m:rPr>
              <m:t>∈</m:t>
            </m:r>
            <m:r>
              <m:t>D</m:t>
            </m:r>
          </m:sub>
        </m:sSub>
        <m:d>
          <m:dPr>
            <m:begChr m:val="("/>
            <m:sepChr m:val=""/>
            <m:endChr m:val=")"/>
            <m:grow/>
          </m:dPr>
          <m:e>
            <m:sSup>
              <m:e>
                <m:r>
                  <m:t>τ</m:t>
                </m:r>
              </m:e>
              <m:sup>
                <m:r>
                  <m:rPr>
                    <m:sty m:val="p"/>
                  </m:rPr>
                  <m:t>*</m:t>
                </m:r>
              </m:sup>
            </m:sSup>
            <m:r>
              <m:rPr>
                <m:sty m:val="p"/>
              </m:rPr>
              <m:t>−</m:t>
            </m:r>
            <m:sSub>
              <m:e>
                <m:r>
                  <m:t>t</m:t>
                </m:r>
              </m:e>
              <m:sub>
                <m:r>
                  <m:t>e</m:t>
                </m:r>
              </m:sub>
            </m:sSub>
            <m:r>
              <m:rPr>
                <m:sty m:val="p"/>
              </m:rPr>
              <m:t>(</m:t>
            </m:r>
            <m:sSup>
              <m:e>
                <m:r>
                  <m:t>τ</m:t>
                </m:r>
              </m:e>
              <m:sup>
                <m:r>
                  <m:rPr>
                    <m:sty m:val="p"/>
                  </m:rPr>
                  <m:t>*</m:t>
                </m:r>
              </m:sup>
            </m:sSup>
            <m:r>
              <m:rPr>
                <m:sty m:val="p"/>
              </m:rPr>
              <m:t>)</m:t>
            </m:r>
          </m:e>
        </m:d>
      </m:oMath>
      <w:r>
        <w:tab/>
        <w:t>(23)</w:t>
      </w:r>
    </w:p>
    <w:p>
      <w:r>
        <w:t>where t_e(τ*) is the earliest clean-window origin whose forecast anticipates the crossing at τ*, and D = {τ*: such an origin exists} collects the onsets the method anticipates at all. Conditioning on D keeps the lead time a measure of how early a warning arrives; how often one arrives is already reported by the prognostic recall, and folding the missed onsets in as zero lead would confound the two. Because the warning is issued at the forecast origin and the crossing must fall inside the H-step horizon, the lead time ranges from Δt = 3 min to H·Δt = 15 min. Forecast fidelity is summarized by the horizon-mean squared error in the restored raw domain,</w:t>
      </w:r>
    </w:p>
    <w:p>
      <w:pPr>
        <w:tabs>
          <w:tab w:val="center" w:pos="4110"/>
          <w:tab w:val="right" w:pos="8220"/>
        </w:tabs>
        <w:ind w:firstLine="480"/>
      </w:pPr>
      <w:r>
        <w:tab/>
      </w:r>
      <m:oMath>
        <m:r>
          <m:rPr>
            <m:sty m:val="p"/>
          </m:rPr>
          <m:t>M</m:t>
        </m:r>
        <m:r>
          <m:rPr>
            <m:sty m:val="p"/>
          </m:rPr>
          <m:t>S</m:t>
        </m:r>
        <m:r>
          <m:rPr>
            <m:sty m:val="p"/>
          </m:rPr>
          <m:t>E</m:t>
        </m:r>
        <m:r>
          <m:rPr>
            <m:sty m:val="p"/>
          </m:rPr>
          <m:t>=</m:t>
        </m:r>
        <m:f>
          <m:fPr>
            <m:type m:val="bar"/>
          </m:fPr>
          <m:num>
            <m:r>
              <m:t>1</m:t>
            </m:r>
          </m:num>
          <m:den>
            <m:r>
              <m:rPr>
                <m:sty m:val="p"/>
              </m:rPr>
              <m:t>|</m:t>
            </m:r>
            <m:r>
              <m:t>W</m:t>
            </m:r>
            <m:r>
              <m:rPr>
                <m:sty m:val="p"/>
              </m:rPr>
              <m:t>|</m:t>
            </m:r>
            <m:r>
              <m:t> </m:t>
            </m:r>
            <m:r>
              <m:t>H</m:t>
            </m:r>
          </m:den>
        </m:f>
        <m:nary>
          <m:naryPr>
            <m:chr m:val="∑"/>
            <m:limLoc m:val="undOvr"/>
            <m:subHide m:val="off"/>
            <m:supHide m:val="on"/>
          </m:naryPr>
          <m:sub>
            <m:r>
              <m:t>w</m:t>
            </m:r>
            <m:r>
              <m:rPr>
                <m:sty m:val="p"/>
              </m:rPr>
              <m:t>∈</m:t>
            </m:r>
            <m:r>
              <m:t>W</m:t>
            </m:r>
          </m:sub>
          <m:sup>
            <m:r>
              <m:t>​</m:t>
            </m:r>
          </m:sup>
          <m:e>
            <m:nary>
              <m:naryPr>
                <m:chr m:val="∑"/>
                <m:limLoc m:val="undOvr"/>
                <m:subHide m:val="off"/>
                <m:supHide m:val="off"/>
              </m:naryPr>
              <m:sub>
                <m:r>
                  <m:t>h</m:t>
                </m:r>
                <m:r>
                  <m:rPr>
                    <m:sty m:val="p"/>
                  </m:rPr>
                  <m:t>=</m:t>
                </m:r>
                <m:r>
                  <m:t>1</m:t>
                </m:r>
              </m:sub>
              <m:sup>
                <m:r>
                  <m:t>H</m:t>
                </m:r>
              </m:sup>
              <m:e>
                <m:sSup>
                  <m:e>
                    <m:d>
                      <m:dPr>
                        <m:begChr m:val="("/>
                        <m:sepChr m:val=""/>
                        <m:endChr m:val=")"/>
                        <m:grow/>
                      </m:dPr>
                      <m:e>
                        <m:sSub>
                          <m:e>
                            <m:acc>
                              <m:accPr>
                                <m:chr m:val="̂"/>
                              </m:accPr>
                              <m:e>
                                <m:r>
                                  <m:t>y</m:t>
                                </m:r>
                              </m:e>
                            </m:acc>
                          </m:e>
                          <m:sub>
                            <m:r>
                              <m:t>t</m:t>
                            </m:r>
                            <m:r>
                              <m:rPr>
                                <m:sty m:val="p"/>
                              </m:rPr>
                              <m:t>+</m:t>
                            </m:r>
                            <m:r>
                              <m:t>h</m:t>
                            </m:r>
                          </m:sub>
                        </m:sSub>
                        <m:r>
                          <m:rPr>
                            <m:sty m:val="p"/>
                          </m:rPr>
                          <m:t>−</m:t>
                        </m:r>
                        <m:sSub>
                          <m:e>
                            <m:r>
                              <m:t>y</m:t>
                            </m:r>
                          </m:e>
                          <m:sub>
                            <m:r>
                              <m:t>t</m:t>
                            </m:r>
                            <m:r>
                              <m:rPr>
                                <m:sty m:val="p"/>
                              </m:rPr>
                              <m:t>+</m:t>
                            </m:r>
                            <m:r>
                              <m:t>h</m:t>
                            </m:r>
                          </m:sub>
                        </m:sSub>
                      </m:e>
                    </m:d>
                  </m:e>
                  <m:sup>
                    <m:r>
                      <m:t>2</m:t>
                    </m:r>
                  </m:sup>
                </m:sSup>
              </m:e>
            </m:nary>
          </m:e>
        </m:nary>
      </m:oMath>
      <w:r>
        <w:tab/>
        <w:t>(24)</w:t>
      </w:r>
    </w:p>
    <w:p>
      <w:r>
        <w:t>The false-alarm budget β of Section 3.3 is instantiated as FAR ≤ 0.05, which is adopted as the operational acceptance threshold.</w:t>
      </w:r>
    </w:p>
    <w:p>
      <w:pPr>
        <w:pStyle w:val="2"/>
      </w:pPr>
      <w:r>
        <w:t>4.3</w:t>
        <w:tab/>
        <w:t>Benchmark design and reference methods</w:t>
      </w:r>
    </w:p>
    <w:p>
      <w:r>
        <w:t>To probe the cold-start regime, the backbone is few-shot aligned at six nested subset ratios ρ ∈ {1%, 5%, 10%, 25%, 50%, 100%} of the fault windows by Eq. (8), and evaluated on the held-out test runs. The operator framework, comprising the raw, difference and second-difference views and their union, is compared against two families of references. The first is two zero-shot foundation models used without adaptation, Time-MoE and Sundial. The second is five supervised deep-learning baselines trained from scratch at each ratio: LSTM-GRU, CNN-LSTM, TCN-Transformer, DiPCA-LSTM, and STA-ConvBiLSTM. Every baseline is trained in the difference domain and restored to the raw domain, so all methods are scored by the identical alarm criterion and metrics of Eqs. (19)–(24). Fig. 3 shows two representative ante-onset windows that illustrate the complementary behaviour of the difference and second-difference views.</w:t>
      </w:r>
    </w:p>
    <w:p>
      <w:r>
        <w:t xml:space="preserve">[[ FIGURE 3 PLACEHOLDER — insert image here ]]</w:t>
      </w:r>
    </w:p>
    <w:p>
      <w:r>
        <w:t xml:space="preserve">Fig. 3. Two example ante-onset windows on the held-out test runs, showing the (ℓ, u) band, the ground truth, and the difference, second-difference and union forecasts: a steady-ramp onset caught by the difference view, and a curving onset caught by the second-difference view but missed by the difference view.</w:t>
      </w:r>
    </w:p>
    <w:p>
      <w:pPr>
        <w:pStyle w:val="2"/>
      </w:pPr>
      <w:r>
        <w:t>4.4</w:t>
        <w:tab/>
        <w:t>Data efficiency of the operator framework</w:t>
      </w:r>
    </w:p>
    <w:p>
      <w:r>
        <w:t>Table 1 reports the prognostic recall across the six subset ratios, and Fig. 4 plots the same curves against ρ. The operator views are remarkably data-efficient. The difference and second-difference views and the union decision hold within a few points of their full-data recall all the way down to ρ = 1%, whereas the raw view loses roughly a third of its recall as data is withdrawn. The union rule is the most sensitive decision at every ratio, reaching 0.792 at full data and still 0.723 at 1%. In stark contrast, the strongest supervised baseline, STA-ConvBiLSTM, needs the full training set to reach 0.535 and collapses to 0.030 at 1%. The zero-shot foundation models are flat by construction and already outrank every supervised baseline at ρ ≤ 5%.</w:t>
      </w:r>
    </w:p>
    <w:p>
      <w:r>
        <w:t>Table 1. Prognostic recall (Eq. 21) versus training-subset ratio ρ. XMEAS10, IDV13, magnitude 25; H = 5, C = 10.</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t>Timer-XL-∇</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4.5</w:t>
        <w:tab/>
        <w:t>Comparison with baselines and zero-shot models</w:t>
      </w:r>
    </w:p>
    <w:p>
      <w:r>
        <w:t>The gap to the supervised baselines is large and widens as data shrinks. Timer-XL-∇ at 1% data, with a recall of 0.653, already exceeds the best baseline at 100% data, a hundred-fold data advantage at equal or better sensitivity. The advantage is not bought with false alarms. Table 2 shows that the difference view holds FAR ≤ 0.033 across all ratios, inside the β = 0.05 budget, and the raw view stays lower still. The union rule and the second-difference view trade the budget for sensitivity, with FAR rising to 0.08 to 0.16 at small ρ.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Mean lead time tells the same story in operational units (Table 3, Fig. 5). Averaged over the onsets each method anticipates, the two differencing views and the union rule warn 8.8 to 10.8 min ahead of a 15 min ceiling and hold that lead down to 1% data. The union rule is the earliest decision at every ratio, leading the level view by about 1.3 min and the best supervised baseline by 2.4 min at full data; that baseline gives up a further 1.6 min in the cold-start regime, and the collapsed baselines anticipate only the few onsets they happen to catch. Because the lead time is conditioned on detection, it must be read together with Table 1: at 1% data the union rule anticipates 28 of the 62 onset events and STA-ConvBiLSTM only 5, so the latter's 6.6 min is an average over a handful of events.</w:t>
      </w:r>
    </w:p>
    <w:p>
      <w:r>
        <w:t>Table 3. Mean lead time (Eq. 23), in minutes, versus ρ, averaged over the onset events each method anticipates. The metric ranges from Δt = 3 min to H·Δt = 15 min; how many events enter the average is governed by the prognostic recall of Table 1.</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10.82</w:t>
            </w:r>
          </w:p>
        </w:tc>
        <w:tc>
          <w:tcPr>
            <w:tcW w:type="dxa" w:w="1174"/>
          </w:tcPr>
          <w:p>
            <w:r>
              <w:t>10.18</w:t>
            </w:r>
          </w:p>
        </w:tc>
        <w:tc>
          <w:tcPr>
            <w:tcW w:type="dxa" w:w="1174"/>
          </w:tcPr>
          <w:p>
            <w:r>
              <w:t>10.71</w:t>
            </w:r>
          </w:p>
        </w:tc>
        <w:tc>
          <w:tcPr>
            <w:tcW w:type="dxa" w:w="1174"/>
          </w:tcPr>
          <w:p>
            <w:r>
              <w:t>10.61</w:t>
            </w:r>
          </w:p>
        </w:tc>
        <w:tc>
          <w:tcPr>
            <w:tcW w:type="dxa" w:w="1174"/>
          </w:tcPr>
          <w:p>
            <w:r>
              <w:t>10.67</w:t>
            </w:r>
          </w:p>
        </w:tc>
        <w:tc>
          <w:tcPr>
            <w:tcW w:type="dxa" w:w="1174"/>
          </w:tcPr>
          <w:p>
            <w:r>
              <w:t>10.61</w:t>
            </w:r>
          </w:p>
        </w:tc>
      </w:tr>
      <w:tr>
        <w:tc>
          <w:tcPr>
            <w:tcW w:type="dxa" w:w="1174"/>
          </w:tcPr>
          <w:p>
            <w:r>
              <w:t>Timer-XL-∇²</w:t>
            </w:r>
          </w:p>
        </w:tc>
        <w:tc>
          <w:tcPr>
            <w:tcW w:type="dxa" w:w="1174"/>
          </w:tcPr>
          <w:p>
            <w:r>
              <w:t>10.07</w:t>
            </w:r>
          </w:p>
        </w:tc>
        <w:tc>
          <w:tcPr>
            <w:tcW w:type="dxa" w:w="1174"/>
          </w:tcPr>
          <w:p>
            <w:r>
              <w:t>10.18</w:t>
            </w:r>
          </w:p>
        </w:tc>
        <w:tc>
          <w:tcPr>
            <w:tcW w:type="dxa" w:w="1174"/>
          </w:tcPr>
          <w:p>
            <w:r>
              <w:t>10.29</w:t>
            </w:r>
          </w:p>
        </w:tc>
        <w:tc>
          <w:tcPr>
            <w:tcW w:type="dxa" w:w="1174"/>
          </w:tcPr>
          <w:p>
            <w:r>
              <w:t>10.39</w:t>
            </w:r>
          </w:p>
        </w:tc>
        <w:tc>
          <w:tcPr>
            <w:tcW w:type="dxa" w:w="1174"/>
          </w:tcPr>
          <w:p>
            <w:r>
              <w:t>9.92</w:t>
            </w:r>
          </w:p>
        </w:tc>
        <w:tc>
          <w:tcPr>
            <w:tcW w:type="dxa" w:w="1174"/>
          </w:tcPr>
          <w:p>
            <w:r>
              <w:t>9.86</w:t>
            </w:r>
          </w:p>
        </w:tc>
      </w:tr>
      <w:tr>
        <w:tc>
          <w:tcPr>
            <w:tcW w:type="dxa" w:w="1174"/>
          </w:tcPr>
          <w:p>
            <w:r>
              <w:t>Timer-XL-∇</w:t>
            </w:r>
          </w:p>
        </w:tc>
        <w:tc>
          <w:tcPr>
            <w:tcW w:type="dxa" w:w="1174"/>
          </w:tcPr>
          <w:p>
            <w:r>
              <w:t>9.96</w:t>
            </w:r>
          </w:p>
        </w:tc>
        <w:tc>
          <w:tcPr>
            <w:tcW w:type="dxa" w:w="1174"/>
          </w:tcPr>
          <w:p>
            <w:r>
              <w:t>8.79</w:t>
            </w:r>
          </w:p>
        </w:tc>
        <w:tc>
          <w:tcPr>
            <w:tcW w:type="dxa" w:w="1174"/>
          </w:tcPr>
          <w:p>
            <w:r>
              <w:t>9.21</w:t>
            </w:r>
          </w:p>
        </w:tc>
        <w:tc>
          <w:tcPr>
            <w:tcW w:type="dxa" w:w="1174"/>
          </w:tcPr>
          <w:p>
            <w:r>
              <w:t>9.11</w:t>
            </w:r>
          </w:p>
        </w:tc>
        <w:tc>
          <w:tcPr>
            <w:tcW w:type="dxa" w:w="1174"/>
          </w:tcPr>
          <w:p>
            <w:r>
              <w:t>9.35</w:t>
            </w:r>
          </w:p>
        </w:tc>
        <w:tc>
          <w:tcPr>
            <w:tcW w:type="dxa" w:w="1174"/>
          </w:tcPr>
          <w:p>
            <w:r>
              <w:t>9.78</w:t>
            </w:r>
          </w:p>
        </w:tc>
      </w:tr>
      <w:tr>
        <w:tc>
          <w:tcPr>
            <w:tcW w:type="dxa" w:w="1174"/>
          </w:tcPr>
          <w:p>
            <w:r>
              <w:t>Timer-XL-raw</w:t>
            </w:r>
          </w:p>
        </w:tc>
        <w:tc>
          <w:tcPr>
            <w:tcW w:type="dxa" w:w="1174"/>
          </w:tcPr>
          <w:p>
            <w:r>
              <w:t>8.09</w:t>
            </w:r>
          </w:p>
        </w:tc>
        <w:tc>
          <w:tcPr>
            <w:tcW w:type="dxa" w:w="1174"/>
          </w:tcPr>
          <w:p>
            <w:r>
              <w:t>8.46</w:t>
            </w:r>
          </w:p>
        </w:tc>
        <w:tc>
          <w:tcPr>
            <w:tcW w:type="dxa" w:w="1174"/>
          </w:tcPr>
          <w:p>
            <w:r>
              <w:t>8.89</w:t>
            </w:r>
          </w:p>
        </w:tc>
        <w:tc>
          <w:tcPr>
            <w:tcW w:type="dxa" w:w="1174"/>
          </w:tcPr>
          <w:p>
            <w:r>
              <w:t>8.46</w:t>
            </w:r>
          </w:p>
        </w:tc>
        <w:tc>
          <w:tcPr>
            <w:tcW w:type="dxa" w:w="1174"/>
          </w:tcPr>
          <w:p>
            <w:r>
              <w:t>8.89</w:t>
            </w:r>
          </w:p>
        </w:tc>
        <w:tc>
          <w:tcPr>
            <w:tcW w:type="dxa" w:w="1174"/>
          </w:tcPr>
          <w:p>
            <w:r>
              <w:t>9.32</w:t>
            </w:r>
          </w:p>
        </w:tc>
      </w:tr>
      <w:tr>
        <w:tc>
          <w:tcPr>
            <w:tcW w:type="dxa" w:w="1174"/>
          </w:tcPr>
          <w:p>
            <w:r>
              <w:t>Time-MoE (zero-shot)</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r>
      <w:tr>
        <w:tc>
          <w:tcPr>
            <w:tcW w:type="dxa" w:w="1174"/>
          </w:tcPr>
          <w:p>
            <w:r>
              <w:t>Sundial (zero-shot)</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r>
      <w:tr>
        <w:tc>
          <w:tcPr>
            <w:tcW w:type="dxa" w:w="1174"/>
          </w:tcPr>
          <w:p>
            <w:r>
              <w:t>STA-ConvBiLSTM</w:t>
            </w:r>
          </w:p>
        </w:tc>
        <w:tc>
          <w:tcPr>
            <w:tcW w:type="dxa" w:w="1174"/>
          </w:tcPr>
          <w:p>
            <w:r>
              <w:t>6.60</w:t>
            </w:r>
          </w:p>
        </w:tc>
        <w:tc>
          <w:tcPr>
            <w:tcW w:type="dxa" w:w="1174"/>
          </w:tcPr>
          <w:p>
            <w:r>
              <w:t>8.33</w:t>
            </w:r>
          </w:p>
        </w:tc>
        <w:tc>
          <w:tcPr>
            <w:tcW w:type="dxa" w:w="1174"/>
          </w:tcPr>
          <w:p>
            <w:r>
              <w:t>9.50</w:t>
            </w:r>
          </w:p>
        </w:tc>
        <w:tc>
          <w:tcPr>
            <w:tcW w:type="dxa" w:w="1174"/>
          </w:tcPr>
          <w:p>
            <w:r>
              <w:t>7.44</w:t>
            </w:r>
          </w:p>
        </w:tc>
        <w:tc>
          <w:tcPr>
            <w:tcW w:type="dxa" w:w="1174"/>
          </w:tcPr>
          <w:p>
            <w:r>
              <w:t>8.16</w:t>
            </w:r>
          </w:p>
        </w:tc>
        <w:tc>
          <w:tcPr>
            <w:tcW w:type="dxa" w:w="1174"/>
          </w:tcPr>
          <w:p>
            <w:r>
              <w:t>8.22</w:t>
            </w:r>
          </w:p>
        </w:tc>
      </w:tr>
      <w:tr>
        <w:tc>
          <w:tcPr>
            <w:tcW w:type="dxa" w:w="1174"/>
          </w:tcPr>
          <w:p>
            <w:r>
              <w:t>TCN-Transformer</w:t>
            </w:r>
          </w:p>
        </w:tc>
        <w:tc>
          <w:tcPr>
            <w:tcW w:type="dxa" w:w="1174"/>
          </w:tcPr>
          <w:p>
            <w:r>
              <w:t>4.80</w:t>
            </w:r>
          </w:p>
        </w:tc>
        <w:tc>
          <w:tcPr>
            <w:tcW w:type="dxa" w:w="1174"/>
          </w:tcPr>
          <w:p>
            <w:r>
              <w:t>5.50</w:t>
            </w:r>
          </w:p>
        </w:tc>
        <w:tc>
          <w:tcPr>
            <w:tcW w:type="dxa" w:w="1174"/>
          </w:tcPr>
          <w:p>
            <w:r>
              <w:t>6.88</w:t>
            </w:r>
          </w:p>
        </w:tc>
        <w:tc>
          <w:tcPr>
            <w:tcW w:type="dxa" w:w="1174"/>
          </w:tcPr>
          <w:p>
            <w:r>
              <w:t>7.17</w:t>
            </w:r>
          </w:p>
        </w:tc>
        <w:tc>
          <w:tcPr>
            <w:tcW w:type="dxa" w:w="1174"/>
          </w:tcPr>
          <w:p>
            <w:r>
              <w:t>7.25</w:t>
            </w:r>
          </w:p>
        </w:tc>
        <w:tc>
          <w:tcPr>
            <w:tcW w:type="dxa" w:w="1174"/>
          </w:tcPr>
          <w:p>
            <w:r>
              <w:t>7.80</w:t>
            </w:r>
          </w:p>
        </w:tc>
      </w:tr>
      <w:tr>
        <w:tc>
          <w:tcPr>
            <w:tcW w:type="dxa" w:w="1174"/>
          </w:tcPr>
          <w:p>
            <w:r>
              <w:t>DiPCA-LSTM</w:t>
            </w:r>
          </w:p>
        </w:tc>
        <w:tc>
          <w:tcPr>
            <w:tcW w:type="dxa" w:w="1174"/>
          </w:tcPr>
          <w:p>
            <w:r>
              <w:t>5.57</w:t>
            </w:r>
          </w:p>
        </w:tc>
        <w:tc>
          <w:tcPr>
            <w:tcW w:type="dxa" w:w="1174"/>
          </w:tcPr>
          <w:p>
            <w:r>
              <w:t>4.50</w:t>
            </w:r>
          </w:p>
        </w:tc>
        <w:tc>
          <w:tcPr>
            <w:tcW w:type="dxa" w:w="1174"/>
          </w:tcPr>
          <w:p>
            <w:r>
              <w:t>4.80</w:t>
            </w:r>
          </w:p>
        </w:tc>
        <w:tc>
          <w:tcPr>
            <w:tcW w:type="dxa" w:w="1174"/>
          </w:tcPr>
          <w:p>
            <w:r>
              <w:t>5.00</w:t>
            </w:r>
          </w:p>
        </w:tc>
        <w:tc>
          <w:tcPr>
            <w:tcW w:type="dxa" w:w="1174"/>
          </w:tcPr>
          <w:p>
            <w:r>
              <w:t>6.86</w:t>
            </w:r>
          </w:p>
        </w:tc>
        <w:tc>
          <w:tcPr>
            <w:tcW w:type="dxa" w:w="1174"/>
          </w:tcPr>
          <w:p>
            <w:r>
              <w:t>4.71</w:t>
            </w:r>
          </w:p>
        </w:tc>
      </w:tr>
      <w:tr>
        <w:tc>
          <w:tcPr>
            <w:tcW w:type="dxa" w:w="1174"/>
          </w:tcPr>
          <w:p>
            <w:r>
              <w:t>CNN-LSTM</w:t>
            </w:r>
          </w:p>
        </w:tc>
        <w:tc>
          <w:tcPr>
            <w:tcW w:type="dxa" w:w="1174"/>
          </w:tcPr>
          <w:p>
            <w:r>
              <w:t>3.00</w:t>
            </w:r>
          </w:p>
        </w:tc>
        <w:tc>
          <w:tcPr>
            <w:tcW w:type="dxa" w:w="1174"/>
          </w:tcPr>
          <w:p>
            <w:r>
              <w:t>5.25</w:t>
            </w:r>
          </w:p>
        </w:tc>
        <w:tc>
          <w:tcPr>
            <w:tcW w:type="dxa" w:w="1174"/>
          </w:tcPr>
          <w:p>
            <w:r>
              <w:t>6.00</w:t>
            </w:r>
          </w:p>
        </w:tc>
        <w:tc>
          <w:tcPr>
            <w:tcW w:type="dxa" w:w="1174"/>
          </w:tcPr>
          <w:p>
            <w:r>
              <w:t>4.00</w:t>
            </w:r>
          </w:p>
        </w:tc>
        <w:tc>
          <w:tcPr>
            <w:tcW w:type="dxa" w:w="1174"/>
          </w:tcPr>
          <w:p>
            <w:r>
              <w:t>4.50</w:t>
            </w:r>
          </w:p>
        </w:tc>
        <w:tc>
          <w:tcPr>
            <w:tcW w:type="dxa" w:w="1174"/>
          </w:tcPr>
          <w:p>
            <w:r>
              <w:t>7.50</w:t>
            </w:r>
          </w:p>
        </w:tc>
      </w:tr>
      <w:tr>
        <w:tc>
          <w:tcPr>
            <w:tcW w:type="dxa" w:w="1174"/>
          </w:tcPr>
          <w:p>
            <w:r>
              <w:t>LSTM-GRU</w:t>
            </w:r>
          </w:p>
        </w:tc>
        <w:tc>
          <w:tcPr>
            <w:tcW w:type="dxa" w:w="1174"/>
          </w:tcPr>
          <w:p>
            <w:r>
              <w:t>6.00</w:t>
            </w:r>
          </w:p>
        </w:tc>
        <w:tc>
          <w:tcPr>
            <w:tcW w:type="dxa" w:w="1174"/>
          </w:tcPr>
          <w:p>
            <w:r>
              <w:t>3.00</w:t>
            </w:r>
          </w:p>
        </w:tc>
        <w:tc>
          <w:tcPr>
            <w:tcW w:type="dxa" w:w="1174"/>
          </w:tcPr>
          <w:p>
            <w:r>
              <w:t>4.50</w:t>
            </w:r>
          </w:p>
        </w:tc>
        <w:tc>
          <w:tcPr>
            <w:tcW w:type="dxa" w:w="1174"/>
          </w:tcPr>
          <w:p>
            <w:r>
              <w:t>5.00</w:t>
            </w:r>
          </w:p>
        </w:tc>
        <w:tc>
          <w:tcPr>
            <w:tcW w:type="dxa" w:w="1174"/>
          </w:tcPr>
          <w:p>
            <w:r>
              <w:t>5.25</w:t>
            </w:r>
          </w:p>
        </w:tc>
        <w:tc>
          <w:tcPr>
            <w:tcW w:type="dxa" w:w="1174"/>
          </w:tcPr>
          <w:p>
            <w:r>
              <w:t>6.43</w:t>
            </w:r>
          </w:p>
        </w:tc>
      </w:tr>
    </w:tbl>
    <w:p>
      <w:r>
        <w:t xml:space="preserve">[[ FIGURE 5 PLACEHOLDER — insert image here ]]</w:t>
      </w:r>
    </w:p>
    <w:p>
      <w:r>
        <w:t>Fig. 5. (a) False prognosis rate and (b) mean lead time over anticipated onsets versus ρ for the same method set as Fig. 4. The shaded region in (a) marks the FAR ≤ 0.05 budget.</w:t>
      </w:r>
    </w:p>
    <w:p>
      <w:pPr>
        <w:pStyle w:val="2"/>
      </w:pPr>
      <w:r>
        <w:t>4.6</w:t>
        <w:tab/>
        <w:t>Improvement over the raw foundation model</w:t>
      </w:r>
    </w:p>
    <w:p>
      <w:r>
        <w:t>Table 4 isolates the value added by the operators over the raw Timer-XL, the natural single-backbone reference. The comparison of the two subset ratios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 xml:space="preserve">Table 4. Improvement over Timer-XL-raw at ρ = 1% and ρ = 100% under the early-warning cutoff. Percentages are relative to the raw view.</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8.09</w:t>
            </w:r>
          </w:p>
        </w:tc>
        <w:tc>
          <w:tcPr>
            <w:tcW w:type="dxa" w:w="1370"/>
          </w:tcPr>
          <w:p>
            <w:r>
              <w:t>0.237</w:t>
            </w:r>
          </w:p>
        </w:tc>
        <w:tc>
          <w:tcPr>
            <w:tcW w:type="dxa" w:w="1370"/>
          </w:tcPr>
          <w:p>
            <w:r>
              <w:t>0.011</w:t>
            </w:r>
          </w:p>
        </w:tc>
      </w:tr>
      <w:tr>
        <w:tc>
          <w:tcPr>
            <w:tcW w:type="dxa" w:w="1370"/>
          </w:tcPr>
          <w:p>
            <w:r>
              <w:t>1%</w:t>
            </w:r>
          </w:p>
        </w:tc>
        <w:tc>
          <w:tcPr>
            <w:tcW w:type="dxa" w:w="1370"/>
          </w:tcPr>
          <w:p>
            <w:r>
              <w:t>∇</w:t>
            </w:r>
          </w:p>
        </w:tc>
        <w:tc>
          <w:tcPr>
            <w:tcW w:type="dxa" w:w="1370"/>
          </w:tcPr>
          <w:p>
            <w:r>
              <w:t>0.653 (+47%)</w:t>
            </w:r>
          </w:p>
        </w:tc>
        <w:tc>
          <w:tcPr>
            <w:tcW w:type="dxa" w:w="1370"/>
          </w:tcPr>
          <w:p>
            <w:r>
              <w:t>9.96 (+23%)</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10.07 (+25%)</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10.82 (+34%)</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9.32</w:t>
            </w:r>
          </w:p>
        </w:tc>
        <w:tc>
          <w:tcPr>
            <w:tcW w:type="dxa" w:w="1370"/>
          </w:tcPr>
          <w:p>
            <w:r>
              <w:t>0.064</w:t>
            </w:r>
          </w:p>
        </w:tc>
        <w:tc>
          <w:tcPr>
            <w:tcW w:type="dxa" w:w="1370"/>
          </w:tcPr>
          <w:p>
            <w:r>
              <w:t>0.020</w:t>
            </w:r>
          </w:p>
        </w:tc>
      </w:tr>
      <w:tr>
        <w:tc>
          <w:tcPr>
            <w:tcW w:type="dxa" w:w="1370"/>
          </w:tcPr>
          <w:p>
            <w:r>
              <w:t>100%</w:t>
            </w:r>
          </w:p>
        </w:tc>
        <w:tc>
          <w:tcPr>
            <w:tcW w:type="dxa" w:w="1370"/>
          </w:tcPr>
          <w:p>
            <w:r>
              <w:t>∇</w:t>
            </w:r>
          </w:p>
        </w:tc>
        <w:tc>
          <w:tcPr>
            <w:tcW w:type="dxa" w:w="1370"/>
          </w:tcPr>
          <w:p>
            <w:r>
              <w:t>0.673 (−3%)</w:t>
            </w:r>
          </w:p>
        </w:tc>
        <w:tc>
          <w:tcPr>
            <w:tcW w:type="dxa" w:w="1370"/>
          </w:tcPr>
          <w:p>
            <w:r>
              <w:t>9.78 (+5%)</w:t>
            </w:r>
          </w:p>
        </w:tc>
        <w:tc>
          <w:tcPr>
            <w:tcW w:type="dxa" w:w="1370"/>
          </w:tcPr>
          <w:p>
            <w:r>
              <w:t>0.048 (−24%)</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9.86 (+6%)</w:t>
            </w:r>
          </w:p>
        </w:tc>
        <w:tc>
          <w:tcPr>
            <w:tcW w:type="dxa" w:w="1370"/>
          </w:tcPr>
          <w:p>
            <w:r>
              <w:t>0.065 (+1%)</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10.61 (+14%)</w:t>
            </w:r>
          </w:p>
        </w:tc>
        <w:tc>
          <w:tcPr>
            <w:tcW w:type="dxa" w:w="1370"/>
          </w:tcPr>
          <w:p>
            <w:r>
              <w:t>0.058 (−9%)</w:t>
            </w:r>
          </w:p>
        </w:tc>
        <w:tc>
          <w:tcPr>
            <w:tcW w:type="dxa" w:w="1370"/>
          </w:tcPr>
          <w:p>
            <w:r>
              <w:t>0.081</w:t>
            </w:r>
          </w:p>
        </w:tc>
      </w:tr>
    </w:tbl>
    <w:p>
      <w:r>
        <w:t>The degradation of each method as data falls from 100% to 1% quantifies the same effect. The raw view loses 36% of its recall, 13%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4.7</w:t>
        <w:tab/>
        <w:t>Recall–FAR operating range</w:t>
      </w:r>
    </w:p>
    <w:p>
      <w:r>
        <w:t>Because the operator views and the union rule occupy distinct points on the recall–FAR plane, the framework offers a tunable operating range rather than a single decision (Fig. 6). The difference view is the budget-compliant operating point, the only operator with FAR ≤ 0.05 at every ratio and the lowest forecasting error, and it is the default when nuisance alarms are costly. The union is the maximum-sensitivity operating point, buying up to fifteen recall points and up to 1.5 min of lead over the difference view at the cost of a five-fold higher false prognosis rate. It is preferable when a missed onset is far costlier than a false one. The second-difference view lies between the two, close to the union in behaviour. Crucially, across the recall and lead-time axes this entire range dominates the supervised baselines and the zero-shot models at every subset ratio, and the only references with lower false prognosis rates achieve them by rarely alarming at all.</w:t>
      </w:r>
    </w:p>
    <w:p>
      <w:r>
        <w:t xml:space="preserve">[[ FIGURE 6 PLACEHOLDER — insert image here ]]</w:t>
      </w:r>
    </w:p>
    <w:p>
      <w:r>
        <w:t>Fig. 6. Recall against false prognosis rate, with one marker per operating point per ρ for the raw, difference and second-difference views and the union decision. The empirical Pareto front and the FAR = 0.05 budget line are drawn.</w:t>
      </w:r>
    </w:p>
    <w:p>
      <w:pPr>
        <w:pStyle w:val="2"/>
      </w:pPr>
      <w:r>
        <w:t>4.8</w:t>
        <w:tab/>
        <w:t>Forecast accuracy under data reduction</w:t>
      </w:r>
    </w:p>
    <w:p>
      <w:r>
        <w:t xml:space="preserve">Table 5 reports the horizon-mean squared error in the restored raw domain (Fig. 7). The difference view attains the lowest error at every ratio and barely degrades under data withdrawal. The supervised baselines split into two failure modes. STA-ConvBiLSTM and TCN-Transformer match the operators only at full data and then explode by three- to seven-fold as data shrinks,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4.9</w:t>
        <w:tab/>
        <w:t>Summary</w:t>
      </w:r>
    </w:p>
    <w:p>
      <w:r>
        <w:t>Across prognostic recall, false prognosis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obtainable from the pool. The framework therefore delivers a practical cold-start early-warning capability with an explicit, tunable recall–FAR operating range.</w:t>
      </w:r>
    </w:p>
    <w:p>
      <w:pPr>
        <w:pStyle w:val="1"/>
      </w:pPr>
      <w:r>
        <w:t>5.</w:t>
        <w:tab/>
        <w:t>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the full quantitative comparison is reported in Section 4.</w:t>
      </w:r>
    </w:p>
    <w:p>
      <w:r>
        <w:t xml:space="preserve">The study is confined to a single target variable and a single slow-drift disturbance, and the union rule is evaluated at one prognosis horizon.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rPr>
          <w:rFonts w:eastAsiaTheme="minorEastAsia"/>
        </w:rPr>
      </w:pPr>
      <w:r w:rsidRPr="00283519">
        <w:rPr>
          <w:rFonts w:eastAsiaTheme="minorEastAsia" w:hint="eastAsia"/>
        </w:rPr>
        <w:t>Acknowledgement</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r>
      <w:r w:rsidRPr="004376E3">
        <w:tab/>
        <w:t xml:space="preserve">J. Zhou, X. Li, D. Liu, F. Wang, T. Zhang, M. Ye, Z. Liu, A hybrid spatial-temporal deep learning prediction model of industrial methanol-to-olefins </w:t>
      </w:r>
      <w:r w:rsidRPr="004376E3">
        <w:lastRenderedPageBreak/>
        <w:t>process, Front. Chem. Sci. Eng. 18 (2024) 42. https://doi.org/10.1007/s11705-024-2403-7.</w:t>
      </w:r>
    </w:p>
    <w:p w14:paraId="2011972E" w14:textId="77777777" w:rsidR="004376E3" w:rsidRPr="004376E3" w:rsidRDefault="004376E3" w:rsidP="004376E3">
      <w:pPr>
        <w:pStyle w:val="af7"/>
        <w:ind w:firstLine="480"/>
      </w:pPr>
      <w:r w:rsidRPr="004376E3">
        <w:t>[39]</w:t>
      </w:r>
      <w:r w:rsidRPr="004376E3">
        <w:tab/>
        <w:t>J. Dong, X. Liu, R. Su, H. Xu, T. Yu, TCN-Transformer Deep Network with Random Forest for Prediction of the Chemical Synthetic Ammonia Process, ACS Omega 10 (2025) 2269–2279. https://doi.org/10.1021/acsomega.4c09634.</w:t>
      </w:r>
    </w:p>
    <w:p w14:paraId="5DE1841E" w14:textId="77777777" w:rsidR="004376E3" w:rsidRPr="004376E3" w:rsidRDefault="004376E3" w:rsidP="004376E3">
      <w:pPr>
        <w:pStyle w:val="af7"/>
        <w:ind w:firstLine="480"/>
      </w:pPr>
      <w:r w:rsidRPr="004376E3">
        <w:t>[40]</w:t>
      </w:r>
      <w:r w:rsidRPr="004376E3">
        <w:tab/>
        <w:t>EEMUA, Alarm Systems: A Guide to Design, Management and Procurement, 4th ed., Engineering Equipment and Materials Users Association, London, UK, 2024.</w:t>
      </w:r>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