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(preFAR)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the operational form of the pre-onset false-alarm rate of Eq. (17),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and the mean lead time, averaged over the set D of onset events that the method actually anticipates,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r>
              <m:rPr>
                <m:sty m:val="p"/>
              </m:rPr>
              <m:t>∈</m:t>
            </m:r>
            <m:r>
              <m:t>D</m:t>
            </m:r>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where t_e(τ*) is the earliest clean-window origin whose forecast anticipates the crossing at τ*, and D = {τ*: such an origin exists} collects the onsets the method anticipates at all. Conditioning on D keeps the lead time a measure of how early a warning arrives; how often one arrives is already reported by the prognostic recall, and folding the missed onsets in as zero lead would confound the two. Because the warning is issued at the forecast origin and the crossing must fall inside the H-step horizon, the lead time ranges from Δt = 3 min to H·Δt = 15 min.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and reference methods</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 xml:space="preserve">Fig. 3. Two example ante-onset windows on the held-out test runs, showing the (ℓ, u) band, the ground truth, and the difference, second-difference and union forecasts: a steady-ramp onset caught by the difference view, and a curving onset caught by the second-difference view but missed by the difference view.</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a few points of their full-data recall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below ρ = 25%.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baselines and zero-shot models</w:t>
      </w:r>
    </w:p>
    <w:p>
      <w:r>
        <w:t>The gap to the supervised baselines is large and widens as data shrinks. Timer-XL-∇ at 1% data, with a recall of 0.653, already exceeds the best baseline at 100% data, a hundred-fold data advantage at equal or better sensitivity. The advantage is not bought with false alarms. Table 2 shows that the difference view holds FAR ≤ 0.033 across all ratios, inside the β = 0.05 budget, and the raw view stays lower still. The union rule and the second-difference view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Mean lead time tells the same story in operational units (Table 3, Fig. 5). Averaged over the onsets each method anticipates, the two differencing views and the union rule warn 8.8 to 10.8 min ahead of a 15 min ceiling and hold that lead down to 1% data. The union rule is the earliest decision at every ratio, leading the level view by about 1.3 min and the best supervised baseline by 2.4 min at full data; that baseline gives up a further 1.6 min in the cold-start regime, and the collapsed baselines anticipate only the few onsets they happen to catch. Because the lead time is conditioned on detection, it must be read together with Table 1: at 1% data the union rule anticipates 28 of the 62 onset events and STA-ConvBiLSTM only 5, so the latter's 6.6 min is an average over a handful of events.</w:t>
      </w:r>
    </w:p>
    <w:p>
      <w:r>
        <w:t>Table 3. Mean lead time (Eq. 23), in minutes, versus ρ, averaged over the onset events each method anticipates. The metric ranges from Δt = 3 min to H·Δt = 15 min; how many events enter the average is governed by the prognostic recall of Table 1.</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10.82</w:t>
            </w:r>
          </w:p>
        </w:tc>
        <w:tc>
          <w:tcPr>
            <w:tcW w:type="dxa" w:w="1174"/>
          </w:tcPr>
          <w:p>
            <w:r>
              <w:t>10.18</w:t>
            </w:r>
          </w:p>
        </w:tc>
        <w:tc>
          <w:tcPr>
            <w:tcW w:type="dxa" w:w="1174"/>
          </w:tcPr>
          <w:p>
            <w:r>
              <w:t>10.71</w:t>
            </w:r>
          </w:p>
        </w:tc>
        <w:tc>
          <w:tcPr>
            <w:tcW w:type="dxa" w:w="1174"/>
          </w:tcPr>
          <w:p>
            <w:r>
              <w:t>10.61</w:t>
            </w:r>
          </w:p>
        </w:tc>
        <w:tc>
          <w:tcPr>
            <w:tcW w:type="dxa" w:w="1174"/>
          </w:tcPr>
          <w:p>
            <w:r>
              <w:t>10.67</w:t>
            </w:r>
          </w:p>
        </w:tc>
        <w:tc>
          <w:tcPr>
            <w:tcW w:type="dxa" w:w="1174"/>
          </w:tcPr>
          <w:p>
            <w:r>
              <w:t>10.61</w:t>
            </w:r>
          </w:p>
        </w:tc>
      </w:tr>
      <w:tr>
        <w:tc>
          <w:tcPr>
            <w:tcW w:type="dxa" w:w="1174"/>
          </w:tcPr>
          <w:p>
            <w:r>
              <w:t>Timer-XL-∇²</w:t>
            </w:r>
          </w:p>
        </w:tc>
        <w:tc>
          <w:tcPr>
            <w:tcW w:type="dxa" w:w="1174"/>
          </w:tcPr>
          <w:p>
            <w:r>
              <w:t>10.07</w:t>
            </w:r>
          </w:p>
        </w:tc>
        <w:tc>
          <w:tcPr>
            <w:tcW w:type="dxa" w:w="1174"/>
          </w:tcPr>
          <w:p>
            <w:r>
              <w:t>10.18</w:t>
            </w:r>
          </w:p>
        </w:tc>
        <w:tc>
          <w:tcPr>
            <w:tcW w:type="dxa" w:w="1174"/>
          </w:tcPr>
          <w:p>
            <w:r>
              <w:t>10.29</w:t>
            </w:r>
          </w:p>
        </w:tc>
        <w:tc>
          <w:tcPr>
            <w:tcW w:type="dxa" w:w="1174"/>
          </w:tcPr>
          <w:p>
            <w:r>
              <w:t>10.39</w:t>
            </w:r>
          </w:p>
        </w:tc>
        <w:tc>
          <w:tcPr>
            <w:tcW w:type="dxa" w:w="1174"/>
          </w:tcPr>
          <w:p>
            <w:r>
              <w:t>9.92</w:t>
            </w:r>
          </w:p>
        </w:tc>
        <w:tc>
          <w:tcPr>
            <w:tcW w:type="dxa" w:w="1174"/>
          </w:tcPr>
          <w:p>
            <w:r>
              <w:t>9.86</w:t>
            </w:r>
          </w:p>
        </w:tc>
      </w:tr>
      <w:tr>
        <w:tc>
          <w:tcPr>
            <w:tcW w:type="dxa" w:w="1174"/>
          </w:tcPr>
          <w:p>
            <w:r>
              <w:t>Timer-XL-∇</w:t>
            </w:r>
          </w:p>
        </w:tc>
        <w:tc>
          <w:tcPr>
            <w:tcW w:type="dxa" w:w="1174"/>
          </w:tcPr>
          <w:p>
            <w:r>
              <w:t>9.96</w:t>
            </w:r>
          </w:p>
        </w:tc>
        <w:tc>
          <w:tcPr>
            <w:tcW w:type="dxa" w:w="1174"/>
          </w:tcPr>
          <w:p>
            <w:r>
              <w:t>8.79</w:t>
            </w:r>
          </w:p>
        </w:tc>
        <w:tc>
          <w:tcPr>
            <w:tcW w:type="dxa" w:w="1174"/>
          </w:tcPr>
          <w:p>
            <w:r>
              <w:t>9.21</w:t>
            </w:r>
          </w:p>
        </w:tc>
        <w:tc>
          <w:tcPr>
            <w:tcW w:type="dxa" w:w="1174"/>
          </w:tcPr>
          <w:p>
            <w:r>
              <w:t>9.11</w:t>
            </w:r>
          </w:p>
        </w:tc>
        <w:tc>
          <w:tcPr>
            <w:tcW w:type="dxa" w:w="1174"/>
          </w:tcPr>
          <w:p>
            <w:r>
              <w:t>9.35</w:t>
            </w:r>
          </w:p>
        </w:tc>
        <w:tc>
          <w:tcPr>
            <w:tcW w:type="dxa" w:w="1174"/>
          </w:tcPr>
          <w:p>
            <w:r>
              <w:t>9.78</w:t>
            </w:r>
          </w:p>
        </w:tc>
      </w:tr>
      <w:tr>
        <w:tc>
          <w:tcPr>
            <w:tcW w:type="dxa" w:w="1174"/>
          </w:tcPr>
          <w:p>
            <w:r>
              <w:t>Timer-XL-raw</w:t>
            </w:r>
          </w:p>
        </w:tc>
        <w:tc>
          <w:tcPr>
            <w:tcW w:type="dxa" w:w="1174"/>
          </w:tcPr>
          <w:p>
            <w:r>
              <w:t>8.09</w:t>
            </w:r>
          </w:p>
        </w:tc>
        <w:tc>
          <w:tcPr>
            <w:tcW w:type="dxa" w:w="1174"/>
          </w:tcPr>
          <w:p>
            <w:r>
              <w:t>8.46</w:t>
            </w:r>
          </w:p>
        </w:tc>
        <w:tc>
          <w:tcPr>
            <w:tcW w:type="dxa" w:w="1174"/>
          </w:tcPr>
          <w:p>
            <w:r>
              <w:t>8.89</w:t>
            </w:r>
          </w:p>
        </w:tc>
        <w:tc>
          <w:tcPr>
            <w:tcW w:type="dxa" w:w="1174"/>
          </w:tcPr>
          <w:p>
            <w:r>
              <w:t>8.46</w:t>
            </w:r>
          </w:p>
        </w:tc>
        <w:tc>
          <w:tcPr>
            <w:tcW w:type="dxa" w:w="1174"/>
          </w:tcPr>
          <w:p>
            <w:r>
              <w:t>8.89</w:t>
            </w:r>
          </w:p>
        </w:tc>
        <w:tc>
          <w:tcPr>
            <w:tcW w:type="dxa" w:w="1174"/>
          </w:tcPr>
          <w:p>
            <w:r>
              <w:t>9.32</w:t>
            </w:r>
          </w:p>
        </w:tc>
      </w:tr>
      <w:tr>
        <w:tc>
          <w:tcPr>
            <w:tcW w:type="dxa" w:w="1174"/>
          </w:tcPr>
          <w:p>
            <w:r>
              <w:t>Time-MoE (zero-shot)</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r>
      <w:tr>
        <w:tc>
          <w:tcPr>
            <w:tcW w:type="dxa" w:w="1174"/>
          </w:tcPr>
          <w:p>
            <w:r>
              <w:t>Sundial (zero-shot)</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r>
      <w:tr>
        <w:tc>
          <w:tcPr>
            <w:tcW w:type="dxa" w:w="1174"/>
          </w:tcPr>
          <w:p>
            <w:r>
              <w:t>STA-ConvBiLSTM</w:t>
            </w:r>
          </w:p>
        </w:tc>
        <w:tc>
          <w:tcPr>
            <w:tcW w:type="dxa" w:w="1174"/>
          </w:tcPr>
          <w:p>
            <w:r>
              <w:t>6.60</w:t>
            </w:r>
          </w:p>
        </w:tc>
        <w:tc>
          <w:tcPr>
            <w:tcW w:type="dxa" w:w="1174"/>
          </w:tcPr>
          <w:p>
            <w:r>
              <w:t>8.33</w:t>
            </w:r>
          </w:p>
        </w:tc>
        <w:tc>
          <w:tcPr>
            <w:tcW w:type="dxa" w:w="1174"/>
          </w:tcPr>
          <w:p>
            <w:r>
              <w:t>9.50</w:t>
            </w:r>
          </w:p>
        </w:tc>
        <w:tc>
          <w:tcPr>
            <w:tcW w:type="dxa" w:w="1174"/>
          </w:tcPr>
          <w:p>
            <w:r>
              <w:t>7.44</w:t>
            </w:r>
          </w:p>
        </w:tc>
        <w:tc>
          <w:tcPr>
            <w:tcW w:type="dxa" w:w="1174"/>
          </w:tcPr>
          <w:p>
            <w:r>
              <w:t>8.16</w:t>
            </w:r>
          </w:p>
        </w:tc>
        <w:tc>
          <w:tcPr>
            <w:tcW w:type="dxa" w:w="1174"/>
          </w:tcPr>
          <w:p>
            <w:r>
              <w:t>8.22</w:t>
            </w:r>
          </w:p>
        </w:tc>
      </w:tr>
      <w:tr>
        <w:tc>
          <w:tcPr>
            <w:tcW w:type="dxa" w:w="1174"/>
          </w:tcPr>
          <w:p>
            <w:r>
              <w:t>TCN-Transformer</w:t>
            </w:r>
          </w:p>
        </w:tc>
        <w:tc>
          <w:tcPr>
            <w:tcW w:type="dxa" w:w="1174"/>
          </w:tcPr>
          <w:p>
            <w:r>
              <w:t>4.80</w:t>
            </w:r>
          </w:p>
        </w:tc>
        <w:tc>
          <w:tcPr>
            <w:tcW w:type="dxa" w:w="1174"/>
          </w:tcPr>
          <w:p>
            <w:r>
              <w:t>5.50</w:t>
            </w:r>
          </w:p>
        </w:tc>
        <w:tc>
          <w:tcPr>
            <w:tcW w:type="dxa" w:w="1174"/>
          </w:tcPr>
          <w:p>
            <w:r>
              <w:t>6.88</w:t>
            </w:r>
          </w:p>
        </w:tc>
        <w:tc>
          <w:tcPr>
            <w:tcW w:type="dxa" w:w="1174"/>
          </w:tcPr>
          <w:p>
            <w:r>
              <w:t>7.17</w:t>
            </w:r>
          </w:p>
        </w:tc>
        <w:tc>
          <w:tcPr>
            <w:tcW w:type="dxa" w:w="1174"/>
          </w:tcPr>
          <w:p>
            <w:r>
              <w:t>7.25</w:t>
            </w:r>
          </w:p>
        </w:tc>
        <w:tc>
          <w:tcPr>
            <w:tcW w:type="dxa" w:w="1174"/>
          </w:tcPr>
          <w:p>
            <w:r>
              <w:t>7.80</w:t>
            </w:r>
          </w:p>
        </w:tc>
      </w:tr>
      <w:tr>
        <w:tc>
          <w:tcPr>
            <w:tcW w:type="dxa" w:w="1174"/>
          </w:tcPr>
          <w:p>
            <w:r>
              <w:t>DiPCA-LSTM</w:t>
            </w:r>
          </w:p>
        </w:tc>
        <w:tc>
          <w:tcPr>
            <w:tcW w:type="dxa" w:w="1174"/>
          </w:tcPr>
          <w:p>
            <w:r>
              <w:t>5.57</w:t>
            </w:r>
          </w:p>
        </w:tc>
        <w:tc>
          <w:tcPr>
            <w:tcW w:type="dxa" w:w="1174"/>
          </w:tcPr>
          <w:p>
            <w:r>
              <w:t>4.50</w:t>
            </w:r>
          </w:p>
        </w:tc>
        <w:tc>
          <w:tcPr>
            <w:tcW w:type="dxa" w:w="1174"/>
          </w:tcPr>
          <w:p>
            <w:r>
              <w:t>4.80</w:t>
            </w:r>
          </w:p>
        </w:tc>
        <w:tc>
          <w:tcPr>
            <w:tcW w:type="dxa" w:w="1174"/>
          </w:tcPr>
          <w:p>
            <w:r>
              <w:t>5.00</w:t>
            </w:r>
          </w:p>
        </w:tc>
        <w:tc>
          <w:tcPr>
            <w:tcW w:type="dxa" w:w="1174"/>
          </w:tcPr>
          <w:p>
            <w:r>
              <w:t>6.86</w:t>
            </w:r>
          </w:p>
        </w:tc>
        <w:tc>
          <w:tcPr>
            <w:tcW w:type="dxa" w:w="1174"/>
          </w:tcPr>
          <w:p>
            <w:r>
              <w:t>4.71</w:t>
            </w:r>
          </w:p>
        </w:tc>
      </w:tr>
      <w:tr>
        <w:tc>
          <w:tcPr>
            <w:tcW w:type="dxa" w:w="1174"/>
          </w:tcPr>
          <w:p>
            <w:r>
              <w:t>CNN-LSTM</w:t>
            </w:r>
          </w:p>
        </w:tc>
        <w:tc>
          <w:tcPr>
            <w:tcW w:type="dxa" w:w="1174"/>
          </w:tcPr>
          <w:p>
            <w:r>
              <w:t>3.00</w:t>
            </w:r>
          </w:p>
        </w:tc>
        <w:tc>
          <w:tcPr>
            <w:tcW w:type="dxa" w:w="1174"/>
          </w:tcPr>
          <w:p>
            <w:r>
              <w:t>5.25</w:t>
            </w:r>
          </w:p>
        </w:tc>
        <w:tc>
          <w:tcPr>
            <w:tcW w:type="dxa" w:w="1174"/>
          </w:tcPr>
          <w:p>
            <w:r>
              <w:t>6.00</w:t>
            </w:r>
          </w:p>
        </w:tc>
        <w:tc>
          <w:tcPr>
            <w:tcW w:type="dxa" w:w="1174"/>
          </w:tcPr>
          <w:p>
            <w:r>
              <w:t>4.00</w:t>
            </w:r>
          </w:p>
        </w:tc>
        <w:tc>
          <w:tcPr>
            <w:tcW w:type="dxa" w:w="1174"/>
          </w:tcPr>
          <w:p>
            <w:r>
              <w:t>4.50</w:t>
            </w:r>
          </w:p>
        </w:tc>
        <w:tc>
          <w:tcPr>
            <w:tcW w:type="dxa" w:w="1174"/>
          </w:tcPr>
          <w:p>
            <w:r>
              <w:t>7.50</w:t>
            </w:r>
          </w:p>
        </w:tc>
      </w:tr>
      <w:tr>
        <w:tc>
          <w:tcPr>
            <w:tcW w:type="dxa" w:w="1174"/>
          </w:tcPr>
          <w:p>
            <w:r>
              <w:t>LSTM-GRU</w:t>
            </w:r>
          </w:p>
        </w:tc>
        <w:tc>
          <w:tcPr>
            <w:tcW w:type="dxa" w:w="1174"/>
          </w:tcPr>
          <w:p>
            <w:r>
              <w:t>6.00</w:t>
            </w:r>
          </w:p>
        </w:tc>
        <w:tc>
          <w:tcPr>
            <w:tcW w:type="dxa" w:w="1174"/>
          </w:tcPr>
          <w:p>
            <w:r>
              <w:t>3.00</w:t>
            </w:r>
          </w:p>
        </w:tc>
        <w:tc>
          <w:tcPr>
            <w:tcW w:type="dxa" w:w="1174"/>
          </w:tcPr>
          <w:p>
            <w:r>
              <w:t>4.50</w:t>
            </w:r>
          </w:p>
        </w:tc>
        <w:tc>
          <w:tcPr>
            <w:tcW w:type="dxa" w:w="1174"/>
          </w:tcPr>
          <w:p>
            <w:r>
              <w:t>5.00</w:t>
            </w:r>
          </w:p>
        </w:tc>
        <w:tc>
          <w:tcPr>
            <w:tcW w:type="dxa" w:w="1174"/>
          </w:tcPr>
          <w:p>
            <w:r>
              <w:t>5.25</w:t>
            </w:r>
          </w:p>
        </w:tc>
        <w:tc>
          <w:tcPr>
            <w:tcW w:type="dxa" w:w="1174"/>
          </w:tcPr>
          <w:p>
            <w:r>
              <w:t>6.43</w:t>
            </w:r>
          </w:p>
        </w:tc>
      </w:tr>
    </w:tbl>
    <w:p>
      <w:r>
        <w:t xml:space="preserve">[[ FIGURE 5 PLACEHOLDER — insert image here ]]</w:t>
      </w:r>
    </w:p>
    <w:p>
      <w:r>
        <w:t>Fig. 5. (a) False prognosis rate and (b) mean lead time over anticipated onsets versus ρ for the same method set as Fig. 4. The shaded region in (a) marks the FAR ≤ 0.05 budget.</w:t>
      </w:r>
    </w:p>
    <w:p>
      <w:pPr>
        <w:pStyle w:val="2"/>
      </w:pPr>
      <w:r>
        <w:t>4.6</w:t>
        <w:tab/>
        <w:t>Improvement over the raw foundation model</w:t>
      </w:r>
    </w:p>
    <w:p>
      <w:r>
        <w:t>Table 4 isolates the value added by the operators over the raw Timer-XL,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 xml:space="preserve">Table 4. Improvement over Timer-XL-raw at ρ = 1% and ρ = 100% under the early-warning cutoff. Percentages are relative to the raw view.</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8.09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(+46%)</w:t>
            </w:r>
          </w:p>
        </w:tc>
        <w:tc>
          <w:tcPr>
            <w:tcW w:type="dxa" w:w="1370"/>
          </w:tcPr>
          <w:p>
            <w:r>
              <w:t>9.96 (+23%)</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10.07 (+25%)</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10.82 (+34%)</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9.32</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9.78 (+5%)</w:t>
            </w:r>
          </w:p>
        </w:tc>
        <w:tc>
          <w:tcPr>
            <w:tcW w:type="dxa" w:w="1370"/>
          </w:tcPr>
          <w:p>
            <w:r>
              <w:t>0.048 (−25%)</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9.86 (+6%)</w:t>
            </w:r>
          </w:p>
        </w:tc>
        <w:tc>
          <w:tcPr>
            <w:tcW w:type="dxa" w:w="1370"/>
          </w:tcPr>
          <w:p>
            <w:r>
              <w:t>0.065 (±0%)</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10.61 (+14%)</w:t>
            </w:r>
          </w:p>
        </w:tc>
        <w:tc>
          <w:tcPr>
            <w:tcW w:type="dxa" w:w="1370"/>
          </w:tcPr>
          <w:p>
            <w:r>
              <w:t>0.058 (−9%)</w:t>
            </w:r>
          </w:p>
        </w:tc>
        <w:tc>
          <w:tcPr>
            <w:tcW w:type="dxa" w:w="1370"/>
          </w:tcPr>
          <w:p>
            <w:r>
              <w:t>0.081</w:t>
            </w:r>
          </w:p>
        </w:tc>
      </w:tr>
    </w:tbl>
    <w:p>
      <w:r>
        <w:t xml:space="preserve">The degradation of each method as data falls from 100% to 1% quantifies the same effect. The raw view loses 36% of its recall, 34%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operator views and the union rule occupy distinct points on the recall–FAR plane, the framework offers a tunable operating range rather than a single decision (Fig. 6). The difference view is the budget-compliant operating point, the only operator with FAR ≤ 0.05 at every ratio and the lowest forecasting error, and it is the default when nuisance alarms are costly. The union is the maximum-sensitivity operating point, buying up to twelve recall points and up to 1.5 min of lead over the difference view at the cost of a five-fold higher false prognosis rate. It is preferable when a missed onset is far costlier than a false one. The second-difference view lies between the two, close to the union in behaviour. Crucially, across the recall and lead-time axes this entire range dominates the supervised baselines and the zero-shot models at every subset ratio, and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 xml:space="preserve">Table 5 reports the horizon-mean squared error in the restored raw domain (Fig. 7). The difference view attains the lowest error at every ratio and barely degrades under data withdrawal. The supervised baselines split into two failure modes. STA-ConvBiLSTM and TCN-Transformer match the operators only at full data and then explode by three- to seven-fold as data shrinks,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4.</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