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4CFCB" w14:textId="58A45B39" w:rsidR="00465A6A" w:rsidRPr="00875CE6" w:rsidRDefault="000766DB" w:rsidP="00196307">
      <w:pPr>
        <w:ind w:firstLineChars="83" w:firstLine="232"/>
        <w:jc w:val="center"/>
        <w:rPr>
          <w:rFonts w:eastAsiaTheme="minorEastAsia"/>
          <w:sz w:val="28"/>
          <w:szCs w:val="28"/>
        </w:rPr>
      </w:pPr>
      <w:r w:rsidRPr="000766DB">
        <w:rPr>
          <w:rFonts w:eastAsiaTheme="minorEastAsia"/>
          <w:sz w:val="28"/>
          <w:szCs w:val="28"/>
        </w:rPr>
        <w:t>An Operator-Augmented Ensemble of Time Series Foundation Models for Few-Shot Fault Prognosis in Chemical Processes</w:t>
      </w:r>
    </w:p>
    <w:p w14:paraId="7FB5BC62" w14:textId="4E6BEB86" w:rsidR="0044082D" w:rsidRPr="00B044A9" w:rsidRDefault="0044082D" w:rsidP="00A46436">
      <w:pPr>
        <w:ind w:firstLineChars="83" w:firstLine="174"/>
        <w:jc w:val="center"/>
        <w:rPr>
          <w:rFonts w:eastAsiaTheme="minorEastAsia"/>
          <w:sz w:val="21"/>
          <w:szCs w:val="20"/>
        </w:rPr>
      </w:pPr>
      <w:r w:rsidRPr="003536A6">
        <w:rPr>
          <w:sz w:val="21"/>
          <w:szCs w:val="20"/>
        </w:rPr>
        <w:t>Z</w:t>
      </w:r>
      <w:r w:rsidRPr="003536A6">
        <w:rPr>
          <w:rFonts w:hint="eastAsia"/>
          <w:sz w:val="21"/>
          <w:szCs w:val="20"/>
        </w:rPr>
        <w:t>hiyuan</w:t>
      </w:r>
      <w:r w:rsidRPr="003536A6">
        <w:rPr>
          <w:sz w:val="21"/>
          <w:szCs w:val="20"/>
        </w:rPr>
        <w:t xml:space="preserve"> </w:t>
      </w:r>
      <w:r w:rsidRPr="003536A6">
        <w:rPr>
          <w:rFonts w:hint="eastAsia"/>
          <w:sz w:val="21"/>
          <w:szCs w:val="20"/>
        </w:rPr>
        <w:t>Xie</w:t>
      </w:r>
      <w:r w:rsidR="0095186B" w:rsidRPr="003536A6">
        <w:rPr>
          <w:rFonts w:eastAsiaTheme="minorEastAsia" w:hint="eastAsia"/>
          <w:sz w:val="20"/>
          <w:szCs w:val="20"/>
          <w:vertAlign w:val="superscript"/>
        </w:rPr>
        <w:t>1, 2</w:t>
      </w:r>
      <w:r w:rsidRPr="003536A6">
        <w:rPr>
          <w:sz w:val="21"/>
          <w:szCs w:val="20"/>
        </w:rPr>
        <w:t xml:space="preserve">, </w:t>
      </w:r>
      <w:r w:rsidR="00C60BA8" w:rsidRPr="003536A6">
        <w:rPr>
          <w:rFonts w:eastAsiaTheme="minorEastAsia" w:hint="eastAsia"/>
          <w:sz w:val="21"/>
          <w:szCs w:val="20"/>
        </w:rPr>
        <w:t>Borui Yang</w:t>
      </w:r>
      <w:r w:rsidR="00B2538C" w:rsidRPr="003536A6">
        <w:rPr>
          <w:rFonts w:eastAsiaTheme="minorEastAsia" w:hint="eastAsia"/>
          <w:sz w:val="20"/>
          <w:szCs w:val="20"/>
          <w:vertAlign w:val="superscript"/>
        </w:rPr>
        <w:t>1, 2</w:t>
      </w:r>
      <w:r w:rsidR="00D5632E" w:rsidRPr="003536A6">
        <w:rPr>
          <w:rFonts w:eastAsiaTheme="minorEastAsia" w:hint="eastAsia"/>
          <w:sz w:val="21"/>
          <w:szCs w:val="20"/>
        </w:rPr>
        <w:t xml:space="preserve">, </w:t>
      </w:r>
      <w:r w:rsidRPr="003536A6">
        <w:rPr>
          <w:rFonts w:hint="eastAsia"/>
          <w:sz w:val="21"/>
          <w:szCs w:val="20"/>
        </w:rPr>
        <w:t>Jinsong Zhao</w:t>
      </w:r>
      <w:r w:rsidR="002919C7" w:rsidRPr="003536A6">
        <w:rPr>
          <w:rFonts w:eastAsiaTheme="minorEastAsia" w:hint="eastAsia"/>
          <w:sz w:val="21"/>
          <w:szCs w:val="20"/>
          <w:vertAlign w:val="superscript"/>
        </w:rPr>
        <w:t xml:space="preserve">1, 2, </w:t>
      </w:r>
      <w:r w:rsidR="009E7EC7" w:rsidRPr="003536A6">
        <w:rPr>
          <w:rFonts w:eastAsiaTheme="minorEastAsia" w:hint="eastAsia"/>
          <w:sz w:val="21"/>
          <w:szCs w:val="20"/>
          <w:vertAlign w:val="superscript"/>
        </w:rPr>
        <w:t xml:space="preserve">3, </w:t>
      </w:r>
      <w:r w:rsidR="002919C7" w:rsidRPr="003536A6">
        <w:rPr>
          <w:rFonts w:eastAsiaTheme="minorEastAsia" w:hint="eastAsia"/>
          <w:sz w:val="21"/>
          <w:szCs w:val="20"/>
          <w:vertAlign w:val="superscript"/>
        </w:rPr>
        <w:t>*</w:t>
      </w:r>
      <w:r w:rsidR="00BC3B76">
        <w:rPr>
          <w:rFonts w:eastAsiaTheme="minorEastAsia" w:hint="eastAsia"/>
          <w:sz w:val="21"/>
          <w:szCs w:val="20"/>
          <w:vertAlign w:val="superscript"/>
        </w:rPr>
        <w:t xml:space="preserve"> </w:t>
      </w:r>
    </w:p>
    <w:p w14:paraId="0CD4D523" w14:textId="77777777" w:rsidR="00AF7345" w:rsidRPr="001C6770" w:rsidRDefault="00AF7345" w:rsidP="00B610F9">
      <w:pPr>
        <w:ind w:firstLineChars="0" w:firstLine="0"/>
        <w:rPr>
          <w:rFonts w:eastAsiaTheme="minorEastAsia"/>
          <w:sz w:val="18"/>
          <w:szCs w:val="16"/>
        </w:rPr>
      </w:pPr>
      <w:r w:rsidRPr="001C6770">
        <w:rPr>
          <w:sz w:val="18"/>
          <w:szCs w:val="16"/>
        </w:rPr>
        <w:t>¹</w:t>
      </w:r>
      <w:r w:rsidRPr="001C6770">
        <w:rPr>
          <w:rFonts w:hint="eastAsia"/>
          <w:sz w:val="18"/>
          <w:szCs w:val="16"/>
        </w:rPr>
        <w:t>Department</w:t>
      </w:r>
      <w:r w:rsidRPr="001C6770">
        <w:rPr>
          <w:sz w:val="18"/>
          <w:szCs w:val="16"/>
        </w:rPr>
        <w:t xml:space="preserve"> of Chemical Engineering, </w:t>
      </w:r>
      <w:r w:rsidRPr="001C6770">
        <w:rPr>
          <w:rFonts w:hint="eastAsia"/>
          <w:sz w:val="18"/>
          <w:szCs w:val="16"/>
        </w:rPr>
        <w:t>Tsinghua University</w:t>
      </w:r>
      <w:r w:rsidRPr="001C6770">
        <w:rPr>
          <w:sz w:val="18"/>
          <w:szCs w:val="16"/>
        </w:rPr>
        <w:t xml:space="preserve">, </w:t>
      </w:r>
      <w:r w:rsidRPr="001C6770">
        <w:rPr>
          <w:rFonts w:hint="eastAsia"/>
          <w:sz w:val="18"/>
          <w:szCs w:val="16"/>
        </w:rPr>
        <w:t xml:space="preserve">Beijing, </w:t>
      </w:r>
      <w:r w:rsidRPr="001C6770">
        <w:rPr>
          <w:sz w:val="18"/>
          <w:szCs w:val="16"/>
        </w:rPr>
        <w:t>1</w:t>
      </w:r>
      <w:r w:rsidRPr="001C6770">
        <w:rPr>
          <w:rFonts w:hint="eastAsia"/>
          <w:sz w:val="18"/>
          <w:szCs w:val="16"/>
        </w:rPr>
        <w:t>00084</w:t>
      </w:r>
      <w:r w:rsidRPr="001C6770">
        <w:rPr>
          <w:sz w:val="18"/>
          <w:szCs w:val="16"/>
        </w:rPr>
        <w:t xml:space="preserve">, China </w:t>
      </w:r>
    </w:p>
    <w:p w14:paraId="5C0166F8" w14:textId="77777777" w:rsidR="00AF7345" w:rsidRPr="001C6770" w:rsidRDefault="00AF7345" w:rsidP="00B610F9">
      <w:pPr>
        <w:ind w:firstLineChars="0" w:firstLine="0"/>
        <w:rPr>
          <w:rFonts w:eastAsiaTheme="minorEastAsia"/>
          <w:sz w:val="18"/>
          <w:szCs w:val="16"/>
        </w:rPr>
      </w:pPr>
      <w:r w:rsidRPr="001C6770">
        <w:rPr>
          <w:rFonts w:eastAsiaTheme="minorEastAsia" w:hint="eastAsia"/>
          <w:sz w:val="18"/>
          <w:szCs w:val="16"/>
          <w:vertAlign w:val="superscript"/>
        </w:rPr>
        <w:t>2</w:t>
      </w:r>
      <w:r w:rsidRPr="001C6770">
        <w:rPr>
          <w:rFonts w:eastAsiaTheme="minorEastAsia"/>
          <w:sz w:val="18"/>
          <w:szCs w:val="16"/>
        </w:rPr>
        <w:t>State Key Laboratory of Chemical Engineering and Low-carbon Technology, Beijing 100084, China</w:t>
      </w:r>
    </w:p>
    <w:p w14:paraId="2B287391" w14:textId="3DDF7FDA" w:rsidR="00267E1D" w:rsidRPr="001C6770" w:rsidRDefault="00FF7B38" w:rsidP="00B610F9">
      <w:pPr>
        <w:ind w:firstLineChars="0" w:firstLine="0"/>
        <w:rPr>
          <w:rFonts w:eastAsiaTheme="minorEastAsia"/>
          <w:sz w:val="18"/>
          <w:szCs w:val="16"/>
        </w:rPr>
      </w:pPr>
      <w:r w:rsidRPr="001C6770">
        <w:rPr>
          <w:rFonts w:eastAsiaTheme="minorEastAsia" w:hint="eastAsia"/>
          <w:sz w:val="18"/>
          <w:szCs w:val="16"/>
          <w:vertAlign w:val="superscript"/>
        </w:rPr>
        <w:t>3</w:t>
      </w:r>
      <w:r w:rsidR="0042352A" w:rsidRPr="001C6770">
        <w:rPr>
          <w:rFonts w:eastAsiaTheme="minorEastAsia"/>
          <w:sz w:val="18"/>
          <w:szCs w:val="16"/>
        </w:rPr>
        <w:t>School of Education, Tsinghua University</w:t>
      </w:r>
      <w:r w:rsidR="00267E1D" w:rsidRPr="001C6770">
        <w:rPr>
          <w:rFonts w:eastAsiaTheme="minorEastAsia"/>
          <w:sz w:val="18"/>
          <w:szCs w:val="16"/>
        </w:rPr>
        <w:t>, Beijing 100084, China</w:t>
      </w:r>
    </w:p>
    <w:p w14:paraId="12614A3E" w14:textId="51F36A67" w:rsidR="0044082D" w:rsidRPr="001C6770" w:rsidRDefault="00AF7345" w:rsidP="00B610F9">
      <w:pPr>
        <w:ind w:firstLineChars="0" w:firstLine="0"/>
        <w:rPr>
          <w:rFonts w:eastAsiaTheme="minorEastAsia"/>
          <w:sz w:val="18"/>
          <w:szCs w:val="16"/>
        </w:rPr>
      </w:pPr>
      <w:r w:rsidRPr="001C6770">
        <w:rPr>
          <w:sz w:val="18"/>
          <w:szCs w:val="16"/>
        </w:rPr>
        <w:t xml:space="preserve">Corresponding author. Tel: 010-62783109; E-mail: </w:t>
      </w:r>
      <w:r w:rsidR="007E3960" w:rsidRPr="001C6770">
        <w:rPr>
          <w:sz w:val="18"/>
          <w:szCs w:val="16"/>
        </w:rPr>
        <w:t>jinsongzhao@tsinghua.edu.cn</w:t>
      </w:r>
    </w:p>
    <w:p w14:paraId="3969EEE9" w14:textId="77777777" w:rsidR="0044082D" w:rsidRDefault="0044082D" w:rsidP="00F42A0D">
      <w:pPr>
        <w:pStyle w:val="1"/>
        <w:rPr>
          <w:rFonts w:eastAsiaTheme="minorEastAsia"/>
        </w:rPr>
      </w:pPr>
      <w:bookmarkStart w:id="0" w:name="_Toc220180359"/>
      <w:r w:rsidRPr="00F42A0D">
        <w:t>Abstract</w:t>
      </w:r>
      <w:bookmarkEnd w:id="0"/>
    </w:p>
    <w:p w14:paraId="10F3BB65" w14:textId="041FC835" w:rsidR="007E5DAD" w:rsidRDefault="0018563B" w:rsidP="0069470F">
      <w:pPr>
        <w:ind w:firstLine="480"/>
        <w:rPr>
          <w:rFonts w:eastAsiaTheme="minorEastAsia"/>
        </w:rPr>
      </w:pPr>
      <w:r w:rsidRPr="0018563B">
        <w:rPr>
          <w:rFonts w:eastAsiaTheme="minorEastAsia"/>
        </w:rPr>
        <w:t>Early prognosis of abnormal situations is crucial for operational safety in chemical processes. However, the deployment of data-driven prognostic models is often restricted by the cold-start problem, where newly commissioned equipment or transitions to novel operating conditions leave extremely limited fault data. Under such few-shot conditions, conventional deep-learning forecasters overfit and lose the ability to anticipate an incipient alarm. Time series foundation models (TSFMs) mitigate this scarcity through cross-domain pretraining, yet a single foundation model still degrades as the adaptation data shrink. To close this gap, this study proposes an operator-augmented ensemble of time series foundation models for few-shot fault prognosis. The framework exposes the adapted backbone through a pool of differencing operators, a level view, a velocity view, and an acceleration view, which transform the non-stationary target into a near-stationary forecasting problem and thereby remove the model's dependence on the amount of adaptation data. A direction-aware union rule then fuses the velocity and acceleration decisions into the earliest reliable early warning. The proposed method is validated on the Tennessee Eastman process under a slow incipient disturbance. The operator-augmented ensemble sustains near-full-data prognostic recall, lead time, and forecasting accuracy down to a tiny fraction of the fault data, where every supervised baseline collapses. It thereby provides a reliable and proactive abnormal situation management strategy for process safety in large-scale chemical plants.</w:t>
      </w:r>
    </w:p>
    <w:p w14:paraId="1087A83E" w14:textId="66448D57" w:rsidR="005507E1" w:rsidRDefault="00235032" w:rsidP="00760C00">
      <w:pPr>
        <w:pStyle w:val="1"/>
        <w:rPr>
          <w:rFonts w:eastAsiaTheme="minorEastAsia"/>
        </w:rPr>
      </w:pPr>
      <w:r>
        <w:rPr>
          <w:rFonts w:eastAsiaTheme="minorEastAsia" w:hint="eastAsia"/>
        </w:rPr>
        <w:t>1.</w:t>
      </w:r>
      <w:r>
        <w:rPr>
          <w:rFonts w:eastAsiaTheme="minorEastAsia"/>
        </w:rPr>
        <w:tab/>
      </w:r>
      <w:r w:rsidR="00760C00">
        <w:rPr>
          <w:rFonts w:eastAsiaTheme="minorEastAsia" w:hint="eastAsia"/>
        </w:rPr>
        <w:t>Introduction</w:t>
      </w:r>
    </w:p>
    <w:p w14:paraId="715704FC" w14:textId="1B9B1273" w:rsidR="00FF65E5" w:rsidRDefault="00FF65E5" w:rsidP="00F26ED0">
      <w:pPr>
        <w:ind w:firstLine="480"/>
        <w:rPr>
          <w:rFonts w:eastAsiaTheme="minorEastAsia"/>
        </w:rPr>
      </w:pPr>
      <w:r w:rsidRPr="00FF65E5">
        <w:rPr>
          <w:rFonts w:eastAsiaTheme="minorEastAsia"/>
        </w:rPr>
        <w:t>Abnormal Situation Management (ASM) is an indispensable core component for ensuring process safety in chemical operations</w:t>
      </w:r>
      <w:r w:rsidR="00460FA5">
        <w:rPr>
          <w:rFonts w:eastAsiaTheme="minorEastAsia" w:hint="eastAsia"/>
        </w:rPr>
        <w:t xml:space="preserve"> </w:t>
      </w:r>
      <w:r w:rsidR="00CE73FC">
        <w:rPr>
          <w:rFonts w:eastAsiaTheme="minorEastAsia"/>
        </w:rPr>
        <w:fldChar w:fldCharType="begin"/>
      </w:r>
      <w:r w:rsidR="00A47A6F">
        <w:rPr>
          <w:rFonts w:eastAsiaTheme="minorEastAsia"/>
        </w:rPr>
        <w:instrText xml:space="preserve"> ADDIN ZOTERO_ITEM CSL_CITATION {"citationID":"snH6elrM","properties":{"unsorted":false,"formattedCitation":"[1\\uc0\\u8211{}3]","plainCitation":"[1–3]","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schema":"https://github.com/citation-style-language/schema/raw/master/csl-citation.json"} </w:instrText>
      </w:r>
      <w:r w:rsidR="00CE73FC">
        <w:rPr>
          <w:rFonts w:eastAsiaTheme="minorEastAsia"/>
        </w:rPr>
        <w:fldChar w:fldCharType="separate"/>
      </w:r>
      <w:r w:rsidR="00A94BF8" w:rsidRPr="00A94BF8">
        <w:rPr>
          <w:kern w:val="0"/>
        </w:rPr>
        <w:t>[1–3]</w:t>
      </w:r>
      <w:r w:rsidR="00CE73FC">
        <w:rPr>
          <w:rFonts w:eastAsiaTheme="minorEastAsia"/>
        </w:rPr>
        <w:fldChar w:fldCharType="end"/>
      </w:r>
      <w:r w:rsidRPr="00FF65E5">
        <w:rPr>
          <w:rFonts w:eastAsiaTheme="minorEastAsia"/>
        </w:rPr>
        <w:t>.</w:t>
      </w:r>
      <w:r w:rsidR="00226B3D">
        <w:rPr>
          <w:rFonts w:eastAsiaTheme="minorEastAsia" w:hint="eastAsia"/>
        </w:rPr>
        <w:t xml:space="preserve"> </w:t>
      </w:r>
      <w:r w:rsidR="00183E53" w:rsidRPr="00183E53">
        <w:rPr>
          <w:rFonts w:eastAsiaTheme="minorEastAsia"/>
        </w:rPr>
        <w:t xml:space="preserve">According to the leading and </w:t>
      </w:r>
      <w:r w:rsidR="00183E53" w:rsidRPr="00183E53">
        <w:rPr>
          <w:rFonts w:eastAsiaTheme="minorEastAsia"/>
        </w:rPr>
        <w:lastRenderedPageBreak/>
        <w:t>lagging metrics of the AIChE Center for Chemical Process Safety (CCPS), almost every major incident is caused by an abnormal situation</w:t>
      </w:r>
      <w:r w:rsidR="004D2D4F">
        <w:rPr>
          <w:rFonts w:eastAsiaTheme="minorEastAsia" w:hint="eastAsia"/>
        </w:rPr>
        <w:t xml:space="preserve"> </w:t>
      </w:r>
      <w:r w:rsidR="00104D3D">
        <w:rPr>
          <w:rFonts w:eastAsiaTheme="minorEastAsia"/>
        </w:rPr>
        <w:fldChar w:fldCharType="begin"/>
      </w:r>
      <w:r w:rsidR="00A94BF8">
        <w:rPr>
          <w:rFonts w:eastAsiaTheme="minorEastAsia"/>
        </w:rPr>
        <w:instrText xml:space="preserve"> ADDIN ZOTERO_ITEM CSL_CITATION {"citationID":"4e8K8KXQ","properties":{"unsorted":false,"formattedCitation":"[4]","plainCitation":"[4]","noteIndex":0},"citationItems":[{"id":733,"uris":["http://zotero.org/users/16374009/items/7HNCEMGG"],"itemData":{"id":733,"type":"article-journal","abstract":"This article provides an update on the Chemical Industries use, direction, and effectiveness of leading indicators and provides recommended leading indicators to help drive performance in a common direction. As the use of leading indicators is in its nascent stages, it is anticipated that additional surveys and updates will be published on a biannual basis. © 2014 American Institute of Chemical Engineers Process Saf Prog 33: 247–258, 2014","container-title":"Process Safety Progress","DOI":"10.1002/prs.11654","ISSN":"1066-8527, 1547-5913","issue":"3","journalAbbreviation":"Process Safety Progress","language":"en","license":"http://onlinelibrary.wiley.com/termsAndConditions#vor","page":"247-258","source":"DOI.org (Crossref)","title":"Process safety leading indicators survey–February 2013: Center for chemical process safety–white paper","title-short":"Process safety leading indicators survey–February 2013","volume":"33","author":[{"family":"Kenan","given":"Stevick"},{"family":"Kadri","given":"Shakeel"}],"issued":{"date-parts":[["2014",9]]}}}],"schema":"https://github.com/citation-style-language/schema/raw/master/csl-citation.json"} </w:instrText>
      </w:r>
      <w:r w:rsidR="00104D3D">
        <w:rPr>
          <w:rFonts w:eastAsiaTheme="minorEastAsia"/>
        </w:rPr>
        <w:fldChar w:fldCharType="separate"/>
      </w:r>
      <w:r w:rsidR="00A94BF8" w:rsidRPr="00A94BF8">
        <w:rPr>
          <w:rFonts w:eastAsiaTheme="minorEastAsia"/>
        </w:rPr>
        <w:t>[4]</w:t>
      </w:r>
      <w:r w:rsidR="00104D3D">
        <w:rPr>
          <w:rFonts w:eastAsiaTheme="minorEastAsia"/>
        </w:rPr>
        <w:fldChar w:fldCharType="end"/>
      </w:r>
      <w:r w:rsidR="00183E53" w:rsidRPr="00183E53">
        <w:rPr>
          <w:rFonts w:eastAsiaTheme="minorEastAsia"/>
        </w:rPr>
        <w:t>.</w:t>
      </w:r>
      <w:r w:rsidR="00A17EAE" w:rsidRPr="00A17EAE">
        <w:rPr>
          <w:rFonts w:eastAsiaTheme="minorEastAsia"/>
        </w:rPr>
        <w:t xml:space="preserve"> These major accidents </w:t>
      </w:r>
      <w:r w:rsidR="002C27B0" w:rsidRPr="00054B6E">
        <w:rPr>
          <w:rFonts w:eastAsiaTheme="minorEastAsia"/>
        </w:rPr>
        <w:t>pose severe threats to human safety, economic stability, and environmental sustainability</w:t>
      </w:r>
      <w:r w:rsidR="002C27B0">
        <w:rPr>
          <w:rFonts w:eastAsiaTheme="minorEastAsia" w:hint="eastAsia"/>
        </w:rPr>
        <w:t xml:space="preserve"> </w:t>
      </w:r>
      <w:r w:rsidR="002C27B0">
        <w:rPr>
          <w:rFonts w:eastAsiaTheme="minorEastAsia"/>
        </w:rPr>
        <w:fldChar w:fldCharType="begin"/>
      </w:r>
      <w:r w:rsidR="00A94BF8">
        <w:rPr>
          <w:rFonts w:eastAsiaTheme="minorEastAsia"/>
        </w:rPr>
        <w:instrText xml:space="preserve"> ADDIN ZOTERO_ITEM CSL_CITATION {"citationID":"HuB0FRg0","properties":{"unsorted":false,"formattedCitation":"[5\\uc0\\u8211{}12]","plainCitation":"[5–12]","noteIndex":0},"citationItems":[{"id":726,"uris":["http://zotero.org/users/16374009/items/JJBLJ6TG"],"itemData":{"id":726,"type":"book","ISBN":"0-12-397782-7","publisher":"Butterworth-Heinemann","title":"Lees' Loss prevention in the process industries: Hazard identification, assessment and control","author":[{"family":"Lees","given":"Frank"}],"issued":{"date-parts":[["2012"]]}}},{"id":125,"uris":["http://zotero.org/users/16374009/items/D2SME3PG"],"itemData":{"id":125,"type":"report","number":"2005-04-I-TX","page":"17","publisher":"U.S. Chemical Safety Board","title":"Investigation Report: Refinery Explosion and Fire (March 23, 2005, Texas City, Texas)","URL":"https://www.csb.gov/file.aspx?DocumentId=5596","author":[{"literal":"U.S. CHEMICAL SAFETY AND HAZARD INVESTIGATION BOARD"}],"issued":{"date-parts":[["2007"]]}}},{"id":727,"uris":["http://zotero.org/users/16374009/items/YDPXT723"],"itemData":{"id":727,"type":"book","note":"page: 102\ncontainer-title: Global Chemicals Outlook","publisher":"UNEP Geneva, Switzerland","title":"Global chemicals outlook II: From legacies to innovative solutions","author":[{"family":"UNEP","given":""}],"issued":{"date-parts":[["2019"]]}}},{"id":728,"uris":["http://zotero.org/users/16374009/items/Q8G5NBFE"],"itemData":{"id":728,"type":"report","genre":"Research Report","publisher":"Marsh","title":"The 100 Largest Losses 1974-2013: Large property damage losses in the Hydrocarbon Industry","author":[{"literal":"Marsh"}],"issued":{"date-parts":[["2014"]]}}},{"id":729,"uris":["http://zotero.org/users/16374009/items/IJ3TI3N3"],"itemData":{"id":729,"type":"article-journal","container-title":"Journal of Loss Prevention in the Process Industries","issue":"5","note":"ISBN: 0950-4230","page":"780-787","publisher":"Elsevier","title":"Case study analysis of the financial impact of catastrophic safety events","volume":"25","author":[{"family":"Kim","given":"Byung Kyu"},{"family":"Krams","given":"Jamie"},{"family":"Krug","given":"Erin"},{"family":"Leaseburge","given":"Mark"},{"family":"Lemley","given":"Justin"},{"family":"Alkhawaldeh","given":"Ammar"},{"family":"Mentzer","given":"Ray A."},{"family":"Mannan","given":"M. Sam"}],"issued":{"date-parts":[["2012"]]}}},{"id":735,"uris":["http://zotero.org/users/16374009/items/AHK8R7BY"],"itemData":{"id":735,"type":"report","genre":"Government Investigation Report","title":"Investigation Report of the “3·21” Particularly Major Explosion Accident at Jiangsu Xiangshui Tenjia Yi Chemical Co., Ltd.","URL":"https://www.mem.gov.cn/gk/sgcc/tbzdsgdcbg/2019tbzdsgcc/201911/P020191115565111829069.pdf","author":[{"literal":"State Council Investigation Team of the Jiangsu Xiangshui “3·21” Particularly Major Explosion Accident"}],"issued":{"date-parts":[["2019",11,15]]}}},{"id":126,"uris":["http://zotero.org/users/16374009/items/SABV2KR7"],"itemData":{"id":126,"type":"report","page":"7","publisher":"Ministry of Emergency Management of the People's Republic of China","title":"Investigation Report on the Tianjin Port “8·12” Ruihai Company Hazardous Materials Fire and Explosion Accident","URL":"https://www.mem.gov.cn/gk/sgcc/tbzdsgdcbg/2016/201602/P020190415543917598002.pdf","author":[{"literal":"Ministry of Emergency Management of the People's Republic of China"}],"issued":{"date-parts":[["2016"]]}}},{"id":355,"uris":["http://zotero.org/users/16374009/items/W4JL6LV5"],"itemData":{"id":355,"type":"article-journal","container-title":"Chemical engineering progress","issue":"9","title":"Adequately address abnormal operations","volume":"91","author":[{"family":"Nimmo","given":"Ian"}],"issued":{"date-parts":[["1995"]]}}}],"schema":"https://github.com/citation-style-language/schema/raw/master/csl-citation.json"} </w:instrText>
      </w:r>
      <w:r w:rsidR="002C27B0">
        <w:rPr>
          <w:rFonts w:eastAsiaTheme="minorEastAsia"/>
        </w:rPr>
        <w:fldChar w:fldCharType="separate"/>
      </w:r>
      <w:r w:rsidR="00A94BF8" w:rsidRPr="00A94BF8">
        <w:rPr>
          <w:kern w:val="0"/>
        </w:rPr>
        <w:t>[5–12]</w:t>
      </w:r>
      <w:r w:rsidR="002C27B0">
        <w:rPr>
          <w:rFonts w:eastAsiaTheme="minorEastAsia"/>
        </w:rPr>
        <w:fldChar w:fldCharType="end"/>
      </w:r>
      <w:r w:rsidR="002C27B0" w:rsidRPr="00632AD9">
        <w:rPr>
          <w:rFonts w:eastAsiaTheme="minorEastAsia"/>
        </w:rPr>
        <w:t>.</w:t>
      </w:r>
      <w:r w:rsidR="00C06C05">
        <w:rPr>
          <w:rFonts w:eastAsiaTheme="minorEastAsia" w:hint="eastAsia"/>
        </w:rPr>
        <w:t xml:space="preserve"> </w:t>
      </w:r>
      <w:r w:rsidR="00CA41F8" w:rsidRPr="00632AD9">
        <w:rPr>
          <w:rFonts w:eastAsiaTheme="minorEastAsia"/>
        </w:rPr>
        <w:t xml:space="preserve">Over the past two decades, chemical process accidents in China have led to 4,088 fatalities, </w:t>
      </w:r>
      <w:r w:rsidR="00CA41F8" w:rsidRPr="00054B6E">
        <w:rPr>
          <w:rFonts w:eastAsiaTheme="minorEastAsia"/>
        </w:rPr>
        <w:t xml:space="preserve">with the worst single </w:t>
      </w:r>
      <w:r w:rsidR="00CA41F8">
        <w:rPr>
          <w:rFonts w:eastAsiaTheme="minorEastAsia" w:hint="eastAsia"/>
        </w:rPr>
        <w:t>accident</w:t>
      </w:r>
      <w:r w:rsidR="00CA41F8" w:rsidRPr="00054B6E">
        <w:rPr>
          <w:rFonts w:eastAsiaTheme="minorEastAsia"/>
        </w:rPr>
        <w:t xml:space="preserve"> claiming </w:t>
      </w:r>
      <w:r w:rsidR="00CA41F8" w:rsidRPr="00E84315">
        <w:rPr>
          <w:rFonts w:eastAsiaTheme="minorEastAsia"/>
        </w:rPr>
        <w:t>62</w:t>
      </w:r>
      <w:r w:rsidR="00CA41F8">
        <w:rPr>
          <w:rFonts w:eastAsiaTheme="minorEastAsia" w:hint="eastAsia"/>
        </w:rPr>
        <w:t xml:space="preserve"> </w:t>
      </w:r>
      <w:r w:rsidR="00CA41F8" w:rsidRPr="00054B6E">
        <w:rPr>
          <w:rFonts w:eastAsiaTheme="minorEastAsia"/>
        </w:rPr>
        <w:t xml:space="preserve">lives and </w:t>
      </w:r>
      <w:r w:rsidR="00CA41F8" w:rsidRPr="00626420">
        <w:rPr>
          <w:rFonts w:eastAsiaTheme="minorEastAsia"/>
        </w:rPr>
        <w:t>causing</w:t>
      </w:r>
      <w:r w:rsidR="00CA41F8" w:rsidRPr="00626420" w:rsidDel="00626420">
        <w:rPr>
          <w:rFonts w:eastAsiaTheme="minorEastAsia"/>
        </w:rPr>
        <w:t xml:space="preserve"> </w:t>
      </w:r>
      <w:r w:rsidR="00CA41F8" w:rsidRPr="00054B6E">
        <w:rPr>
          <w:rFonts w:eastAsiaTheme="minorEastAsia"/>
        </w:rPr>
        <w:t>USD 1</w:t>
      </w:r>
      <w:r w:rsidR="00CA41F8">
        <w:rPr>
          <w:rFonts w:eastAsiaTheme="minorEastAsia" w:hint="eastAsia"/>
        </w:rPr>
        <w:t>00</w:t>
      </w:r>
      <w:r w:rsidR="00CA41F8" w:rsidRPr="00054B6E">
        <w:rPr>
          <w:rFonts w:eastAsiaTheme="minorEastAsia"/>
        </w:rPr>
        <w:t xml:space="preserve"> </w:t>
      </w:r>
      <w:r w:rsidR="00CA41F8">
        <w:rPr>
          <w:rFonts w:eastAsiaTheme="minorEastAsia" w:hint="eastAsia"/>
        </w:rPr>
        <w:t>mi</w:t>
      </w:r>
      <w:r w:rsidR="00CA41F8" w:rsidRPr="00054B6E">
        <w:rPr>
          <w:rFonts w:eastAsiaTheme="minorEastAsia"/>
        </w:rPr>
        <w:t>llion in direct losses</w:t>
      </w:r>
      <w:r w:rsidR="00CA41F8">
        <w:rPr>
          <w:rFonts w:eastAsiaTheme="minorEastAsia" w:hint="eastAsia"/>
        </w:rPr>
        <w:t xml:space="preserve"> </w:t>
      </w:r>
      <w:r w:rsidR="00CA41F8">
        <w:rPr>
          <w:rFonts w:eastAsiaTheme="minorEastAsia"/>
        </w:rPr>
        <w:fldChar w:fldCharType="begin"/>
      </w:r>
      <w:r w:rsidR="00A94BF8">
        <w:rPr>
          <w:rFonts w:eastAsiaTheme="minorEastAsia"/>
        </w:rPr>
        <w:instrText xml:space="preserve"> ADDIN ZOTERO_ITEM CSL_CITATION {"citationID":"NXmZdug6","properties":{"unsorted":false,"formattedCitation":"[13\\uc0\\u8211{}15]","plainCitation":"[13–15]","noteIndex":0},"citationItems":[{"id":736,"uris":["http://zotero.org/users/16374009/items/JEI8LMCC"],"itemData":{"id":736,"type":"article-journal","container-title":"Journal of Loss Prevention in the Process Industries","note":"ISBN: 0950-4230","page":"289-303","publisher":"Elsevier","title":"Analysis and assessment of the Qingdao crude oil vapor explosion accident: Lessons learnt","volume":"33","author":[{"family":"Zhu","given":"Yi"},{"family":"Qian","given":"Xin-ming"},{"family":"Liu","given":"Zhen-yi"},{"family":"Huang","given":"Ping"},{"family":"Yuan","given":"Meng-qi"}],"issued":{"date-parts":[["2015"]]}}},{"id":737,"uris":["http://zotero.org/users/16374009/items/NHGNY7BV"],"itemData":{"id":737,"type":"article-journal","container-title":"Journal of Loss Prevention in the Process Industries","note":"ISBN: 0950-4230","page":"402-413","publisher":"Elsevier","title":"STAMP-based causal analysis of China-Donghuang oil transportation pipeline leakage and explosion accident","volume":"56","author":[{"family":"Gong","given":"Yunhua"},{"family":"Li","given":"Yuntao"}],"issued":{"date-parts":[["2018"]]}}},{"id":738,"uris":["http://zotero.org/users/16374009/items/A4YPW4AR"],"itemData":{"id":738,"type":"article-journal","container-title":"Journal of Loss Prevention in the Process Industries","note":"ISBN: 0950-4230","page":"104062","publisher":"Elsevier","title":"An urban pipeline accident model based on system engineering and game theory","volume":"64","author":[{"family":"Xing","given":"Jinduo"},{"family":"Meng","given":"Huixing"},{"family":"Meng","given":"Xiangkun"}],"issued":{"date-parts":[["2020"]]}}}],"schema":"https://github.com/citation-style-language/schema/raw/master/csl-citation.json"} </w:instrText>
      </w:r>
      <w:r w:rsidR="00CA41F8">
        <w:rPr>
          <w:rFonts w:eastAsiaTheme="minorEastAsia"/>
        </w:rPr>
        <w:fldChar w:fldCharType="separate"/>
      </w:r>
      <w:r w:rsidR="00A94BF8" w:rsidRPr="00A94BF8">
        <w:rPr>
          <w:kern w:val="0"/>
        </w:rPr>
        <w:t>[13–15]</w:t>
      </w:r>
      <w:r w:rsidR="00CA41F8">
        <w:rPr>
          <w:rFonts w:eastAsiaTheme="minorEastAsia"/>
        </w:rPr>
        <w:fldChar w:fldCharType="end"/>
      </w:r>
      <w:r w:rsidR="00CA41F8" w:rsidRPr="00632AD9">
        <w:rPr>
          <w:rFonts w:eastAsiaTheme="minorEastAsia"/>
        </w:rPr>
        <w:t>.</w:t>
      </w:r>
      <w:r w:rsidR="00A17EAE" w:rsidRPr="00A17EAE">
        <w:rPr>
          <w:rFonts w:eastAsiaTheme="minorEastAsia"/>
        </w:rPr>
        <w:t xml:space="preserve"> </w:t>
      </w:r>
      <w:r w:rsidR="001C1718" w:rsidRPr="001C1718">
        <w:rPr>
          <w:rFonts w:eastAsiaTheme="minorEastAsia"/>
        </w:rPr>
        <w:t xml:space="preserve">In addition to triggering major accidents, abnormal </w:t>
      </w:r>
      <w:r w:rsidR="00CA443C">
        <w:rPr>
          <w:rFonts w:eastAsiaTheme="minorEastAsia" w:hint="eastAsia"/>
        </w:rPr>
        <w:t>situations</w:t>
      </w:r>
      <w:r w:rsidR="001C1718" w:rsidRPr="001C1718">
        <w:rPr>
          <w:rFonts w:eastAsiaTheme="minorEastAsia"/>
        </w:rPr>
        <w:t xml:space="preserve"> cause minor incidents worldwide</w:t>
      </w:r>
      <w:r w:rsidR="00057384">
        <w:rPr>
          <w:rFonts w:eastAsiaTheme="minorEastAsia" w:hint="eastAsia"/>
        </w:rPr>
        <w:t xml:space="preserve"> </w:t>
      </w:r>
      <w:r w:rsidR="007B369A">
        <w:rPr>
          <w:rFonts w:eastAsiaTheme="minorEastAsia"/>
        </w:rPr>
        <w:fldChar w:fldCharType="begin"/>
      </w:r>
      <w:r w:rsidR="007B369A">
        <w:rPr>
          <w:rFonts w:eastAsiaTheme="minorEastAsia"/>
        </w:rPr>
        <w:instrText xml:space="preserve"> ADDIN ZOTERO_ITEM CSL_CITATION {"citationID":"Ayv5TyYg","properties":{"unsorted":false,"formattedCitation":"[1]","plainCitation":"[1]","noteIndex":0},"citationItems":[{"id":739,"uris":["http://zotero.org/users/16374009/items/QUFFPWDG"],"itemData":{"id":739,"type":"article-journal","container-title":"Current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7B369A">
        <w:rPr>
          <w:rFonts w:eastAsiaTheme="minorEastAsia"/>
        </w:rPr>
        <w:fldChar w:fldCharType="separate"/>
      </w:r>
      <w:r w:rsidR="007B369A" w:rsidRPr="007B369A">
        <w:rPr>
          <w:rFonts w:eastAsiaTheme="minorEastAsia"/>
        </w:rPr>
        <w:t>[1]</w:t>
      </w:r>
      <w:r w:rsidR="007B369A">
        <w:rPr>
          <w:rFonts w:eastAsiaTheme="minorEastAsia"/>
        </w:rPr>
        <w:fldChar w:fldCharType="end"/>
      </w:r>
      <w:r w:rsidR="001C1718" w:rsidRPr="001C1718">
        <w:rPr>
          <w:rFonts w:eastAsiaTheme="minorEastAsia"/>
        </w:rPr>
        <w:t>, such as off-specification products, unplanned shutdowns, equipment damage, and environmental emission violations</w:t>
      </w:r>
      <w:r w:rsidR="00F3770E">
        <w:rPr>
          <w:rFonts w:eastAsiaTheme="minorEastAsia" w:hint="eastAsia"/>
        </w:rPr>
        <w:t xml:space="preserve"> </w:t>
      </w:r>
      <w:r w:rsidR="00151625">
        <w:rPr>
          <w:rFonts w:eastAsiaTheme="minorEastAsia"/>
        </w:rPr>
        <w:fldChar w:fldCharType="begin"/>
      </w:r>
      <w:r w:rsidR="00A94BF8">
        <w:rPr>
          <w:rFonts w:eastAsiaTheme="minorEastAsia"/>
        </w:rPr>
        <w:instrText xml:space="preserve"> ADDIN ZOTERO_ITEM CSL_CITATION {"citationID":"rh5RKuhn","properties":{"unsorted":false,"formattedCitation":"[16\\uc0\\u8211{}18]","plainCitation":"[16–18]","noteIndex":0},"citationItems":[{"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741,"uris":["http://zotero.org/users/16374009/items/BXA5TCRL"],"itemData":{"id":741,"type":"article-journal","container-title":"Computers &amp; Chemical Engineering","DOI":"10.1016/S0098-1354(99)80142-2","ISSN":"00981354","journalAbbreviation":"Computers &amp; Chemical Engineering","language":"en","license":"https://www.elsevier.com/tdm/userlicense/1.0/","page":"S577-S580","source":"DOI.org (Crossref)","title":"An intelligent operator decision support system for abnormal situation management","volume":"23","author":[{"family":"Vedam","given":"Hiranmayee"},{"family":"Dash","given":"Sourabh"},{"family":"Venkatasubramanian","given":"Venkat"}],"issued":{"date-parts":[["1999",6]]}}},{"id":742,"uris":["http://zotero.org/users/16374009/items/MCGWGZHD"],"itemData":{"id":742,"type":"article-journal","container-title":"Computers &amp; Chemical Engineering","DOI":"10.1016/j.compchemeng.2015.02.012","ISSN":"00981354","journalAbbreviation":"Computers &amp; Chemical Engineering","language":"en","page":"76-86","source":"DOI.org (Crossref)","title":"Multi-objective optimization methodology to size cogeneration systems for managing flares from uncertain sources during abnormal process operations","volume":"76","author":[{"family":"Kazi","given":"Monzure-Khoda"},{"family":"Mohammed","given":"Fahd"},{"family":"AlNouss","given":"Ahmed Mhd Nabil"},{"family":"Eljack","given":"Fadwa"}],"issued":{"date-parts":[["2015",5]]}}}],"schema":"https://github.com/citation-style-language/schema/raw/master/csl-citation.json"} </w:instrText>
      </w:r>
      <w:r w:rsidR="00151625">
        <w:rPr>
          <w:rFonts w:eastAsiaTheme="minorEastAsia"/>
        </w:rPr>
        <w:fldChar w:fldCharType="separate"/>
      </w:r>
      <w:r w:rsidR="00A94BF8" w:rsidRPr="00A94BF8">
        <w:rPr>
          <w:kern w:val="0"/>
        </w:rPr>
        <w:t>[16–18]</w:t>
      </w:r>
      <w:r w:rsidR="00151625">
        <w:rPr>
          <w:rFonts w:eastAsiaTheme="minorEastAsia"/>
        </w:rPr>
        <w:fldChar w:fldCharType="end"/>
      </w:r>
      <w:r w:rsidR="001C1718" w:rsidRPr="001C1718">
        <w:rPr>
          <w:rFonts w:eastAsiaTheme="minorEastAsia"/>
        </w:rPr>
        <w:t>.</w:t>
      </w:r>
      <w:r w:rsidR="00A17EAE" w:rsidRPr="00A17EAE">
        <w:rPr>
          <w:rFonts w:eastAsiaTheme="minorEastAsia"/>
        </w:rPr>
        <w:t xml:space="preserve"> </w:t>
      </w:r>
      <w:r w:rsidR="0055212F" w:rsidRPr="0055212F">
        <w:rPr>
          <w:rFonts w:eastAsiaTheme="minorEastAsia"/>
        </w:rPr>
        <w:t>Statistics indicate that abnormal situations cost the petroleum and chemical industries in the United States 20 billion US dollars per year and those in the United Kingdom 27 billion US dollars per year</w:t>
      </w:r>
      <w:r w:rsidR="003652C8">
        <w:rPr>
          <w:rFonts w:eastAsiaTheme="minorEastAsia" w:hint="eastAsia"/>
        </w:rPr>
        <w:t xml:space="preserve"> </w:t>
      </w:r>
      <w:r w:rsidR="00CE4FEC">
        <w:rPr>
          <w:rFonts w:eastAsiaTheme="minorEastAsia"/>
        </w:rPr>
        <w:fldChar w:fldCharType="begin"/>
      </w:r>
      <w:r w:rsidR="00A94BF8">
        <w:rPr>
          <w:rFonts w:eastAsiaTheme="minorEastAsia"/>
        </w:rPr>
        <w:instrText xml:space="preserve"> ADDIN ZOTERO_ITEM CSL_CITATION {"citationID":"dC49gHkW","properties":{"unsorted":false,"formattedCitation":"[12,19]","plainCitation":"[12,19]","noteIndex":0},"citationItems":[{"id":355,"uris":["http://zotero.org/users/16374009/items/W4JL6LV5"],"itemData":{"id":355,"type":"article-journal","container-title":"Chemical engineering progress","issue":"9","title":"Adequately address abnormal operations","volume":"91","author":[{"family":"Nimmo","given":"Ian"}],"issued":{"date-parts":[["1995"]]}}},{"id":743,"uris":["http://zotero.org/users/16374009/items/E8UJ64E4"],"itemData":{"id":743,"type":"article-journal","container-title":"Computers &amp; Chemical Engineering","DOI":"10.1016/j.compchemeng.2005.02.026","ISSN":"00981354","issue":"6","journalAbbreviation":"Computers &amp; Chemical Engineering","language":"en","license":"https://www.elsevier.com/tdm/userlicense/1.0/","page":"1253-1263","source":"DOI.org (Crossref)","title":"Prognostic and diagnostic monitoring of complex systems for product lifecycle management: Challenges and opportunities","title-short":"Prognostic and diagnostic monitoring of complex systems for product lifecycle management","volume":"29","author":[{"family":"Venkatasubramanian","given":"Venkat"}],"issued":{"date-parts":[["2005",5]]}}}],"schema":"https://github.com/citation-style-language/schema/raw/master/csl-citation.json"} </w:instrText>
      </w:r>
      <w:r w:rsidR="00CE4FEC">
        <w:rPr>
          <w:rFonts w:eastAsiaTheme="minorEastAsia"/>
        </w:rPr>
        <w:fldChar w:fldCharType="separate"/>
      </w:r>
      <w:r w:rsidR="00A94BF8" w:rsidRPr="00A94BF8">
        <w:rPr>
          <w:rFonts w:eastAsiaTheme="minorEastAsia"/>
        </w:rPr>
        <w:t>[12,19]</w:t>
      </w:r>
      <w:r w:rsidR="00CE4FEC">
        <w:rPr>
          <w:rFonts w:eastAsiaTheme="minorEastAsia"/>
        </w:rPr>
        <w:fldChar w:fldCharType="end"/>
      </w:r>
      <w:r w:rsidR="0055212F" w:rsidRPr="0055212F">
        <w:rPr>
          <w:rFonts w:eastAsiaTheme="minorEastAsia"/>
        </w:rPr>
        <w:t>.</w:t>
      </w:r>
      <w:r w:rsidR="00A17EAE" w:rsidRPr="00A17EAE">
        <w:rPr>
          <w:rFonts w:eastAsiaTheme="minorEastAsia"/>
        </w:rPr>
        <w:t xml:space="preserve"> </w:t>
      </w:r>
      <w:r w:rsidR="007868D3" w:rsidRPr="007868D3">
        <w:rPr>
          <w:rFonts w:eastAsiaTheme="minorEastAsia"/>
        </w:rPr>
        <w:t>The cost is much more when similar situations in other industries such as pharmaceutical, desalination, power, specialty chemicals etc. are included</w:t>
      </w:r>
      <w:r w:rsidR="00CC2391">
        <w:rPr>
          <w:rFonts w:eastAsiaTheme="minorEastAsia" w:hint="eastAsia"/>
        </w:rPr>
        <w:t xml:space="preserve"> </w:t>
      </w:r>
      <w:r w:rsidR="00A257A4">
        <w:rPr>
          <w:rFonts w:eastAsiaTheme="minorEastAsia"/>
        </w:rPr>
        <w:fldChar w:fldCharType="begin"/>
      </w:r>
      <w:r w:rsidR="00A257A4">
        <w:rPr>
          <w:rFonts w:eastAsiaTheme="minorEastAsia"/>
        </w:rPr>
        <w:instrText xml:space="preserve"> ADDIN ZOTERO_ITEM CSL_CITATION {"citationID":"us411dm4","properties":{"unsorted":false,"formattedCitation":"[1]","plainCitation":"[1]","noteIndex":0},"citationItems":[{"id":739,"uris":["http://zotero.org/users/16374009/items/QUFFPWDG"],"itemData":{"id":739,"type":"article-journal","container-title":"Current Opinion in Chemical Engineering","DOI":"10.1016/j.coche.2016.07.004","ISSN":"22113398","journalAbbreviation":"Current Opinion in Chemical Engineering","language":"en","page":"35-41","source":"DOI.org (Crossref)","title":"Process safety and abnormal situation management","volume":"14","author":[{"family":"Eljack","given":"Fadwa"},{"family":"Kazi","given":"Monzure-Khoda"}],"issued":{"date-parts":[["2016",11]]}}}],"schema":"https://github.com/citation-style-language/schema/raw/master/csl-citation.json"} </w:instrText>
      </w:r>
      <w:r w:rsidR="00A257A4">
        <w:rPr>
          <w:rFonts w:eastAsiaTheme="minorEastAsia"/>
        </w:rPr>
        <w:fldChar w:fldCharType="separate"/>
      </w:r>
      <w:r w:rsidR="00A257A4" w:rsidRPr="00A257A4">
        <w:rPr>
          <w:rFonts w:eastAsiaTheme="minorEastAsia"/>
        </w:rPr>
        <w:t>[1]</w:t>
      </w:r>
      <w:r w:rsidR="00A257A4">
        <w:rPr>
          <w:rFonts w:eastAsiaTheme="minorEastAsia"/>
        </w:rPr>
        <w:fldChar w:fldCharType="end"/>
      </w:r>
      <w:r w:rsidR="00A17EAE" w:rsidRPr="00A17EAE">
        <w:rPr>
          <w:rFonts w:eastAsiaTheme="minorEastAsia"/>
        </w:rPr>
        <w:t>.</w:t>
      </w:r>
    </w:p>
    <w:p w14:paraId="0850AB05" w14:textId="75D0A079" w:rsidR="00F24B55" w:rsidRDefault="00865FB2" w:rsidP="00C02A2B">
      <w:pPr>
        <w:ind w:firstLine="480"/>
        <w:rPr>
          <w:rFonts w:eastAsiaTheme="minorEastAsia"/>
        </w:rPr>
      </w:pPr>
      <w:r w:rsidRPr="00865FB2">
        <w:rPr>
          <w:rFonts w:eastAsiaTheme="minorEastAsia"/>
        </w:rPr>
        <w:t xml:space="preserve">To manage abnormal situations, industrial </w:t>
      </w:r>
      <w:r w:rsidRPr="000E6E3A">
        <w:rPr>
          <w:rFonts w:eastAsiaTheme="minorEastAsia"/>
        </w:rPr>
        <w:t>practice</w:t>
      </w:r>
      <w:r w:rsidRPr="00865FB2">
        <w:rPr>
          <w:rFonts w:eastAsiaTheme="minorEastAsia"/>
        </w:rPr>
        <w:t xml:space="preserve"> has long relied on fault detection and diagnosis (FDD) as a core analytical component of </w:t>
      </w:r>
      <w:r w:rsidR="00B600B4">
        <w:rPr>
          <w:rFonts w:eastAsiaTheme="minorEastAsia" w:hint="eastAsia"/>
        </w:rPr>
        <w:t>ASM</w:t>
      </w:r>
      <w:r w:rsidR="007E78E5">
        <w:rPr>
          <w:rFonts w:eastAsiaTheme="minorEastAsia" w:hint="eastAsia"/>
        </w:rPr>
        <w:t xml:space="preserve"> </w:t>
      </w:r>
      <w:r w:rsidR="00A45518">
        <w:rPr>
          <w:rFonts w:eastAsiaTheme="minorEastAsia"/>
        </w:rPr>
        <w:fldChar w:fldCharType="begin"/>
      </w:r>
      <w:r w:rsidR="00A47A6F">
        <w:rPr>
          <w:rFonts w:eastAsiaTheme="minorEastAsia"/>
        </w:rPr>
        <w:instrText xml:space="preserve"> ADDIN ZOTERO_ITEM CSL_CITATION {"citationID":"hN57AOYW","properties":{"unsorted":false,"formattedCitation":"[2,16,20]","plainCitation":"[2,16,20]","noteIndex":0},"citationItems":[{"id":"LYyuEYEE/SSD5FEmT","uris":["http://zotero.org/users/16374009/items/EBF6K636"],"itemData":{"id":693,"type":"article-journal","container-title":"Processes","issue":"6","note":"ISBN: 2227-9717","page":"1608","publisher":"MDPI","title":"Abnormal Situation Management in Chemical Processes: Recent Research Progress and Future Prospects","volume":"11","author":[{"family":"Liu","given":"Shangzhi"},{"family":"Lei","given":"Fangyi"},{"family":"Zhao","given":"Dongfeng"},{"family":"Liu","given":"Qinglong"}],"issued":{"date-parts":[["2023"]]}}},{"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A45518">
        <w:rPr>
          <w:rFonts w:eastAsiaTheme="minorEastAsia"/>
        </w:rPr>
        <w:fldChar w:fldCharType="separate"/>
      </w:r>
      <w:r w:rsidR="008C162D" w:rsidRPr="008C162D">
        <w:t>[2,16,20]</w:t>
      </w:r>
      <w:r w:rsidR="00A45518">
        <w:rPr>
          <w:rFonts w:eastAsiaTheme="minorEastAsia"/>
        </w:rPr>
        <w:fldChar w:fldCharType="end"/>
      </w:r>
      <w:r w:rsidRPr="00865FB2">
        <w:rPr>
          <w:rFonts w:eastAsiaTheme="minorEastAsia"/>
        </w:rPr>
        <w:t xml:space="preserve">. In chemical processes, FDD is primarily concerned with identifying whether the current process state has departed from normal operation and, if so, determining the likely cause or fault class responsible for that deviation </w:t>
      </w:r>
      <w:r w:rsidR="007861D7">
        <w:rPr>
          <w:rFonts w:eastAsiaTheme="minorEastAsia"/>
        </w:rPr>
        <w:fldChar w:fldCharType="begin"/>
      </w:r>
      <w:r w:rsidR="008C162D">
        <w:rPr>
          <w:rFonts w:eastAsiaTheme="minorEastAsia"/>
        </w:rPr>
        <w:instrText xml:space="preserve"> ADDIN ZOTERO_ITEM CSL_CITATION {"citationID":"C1rPBxgb","properties":{"unsorted":false,"formattedCitation":"[20,21]","plainCitation":"[20,21]","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N."}],"issued":{"date-parts":[["2003",3]]}}},{"id":305,"uris":["http://zotero.org/users/16374009/items/Y8AWYDWK"],"itemData":{"id":305,"type":"article-journal","abstract":"Abstract\n            Fault detection and diagnosis (FDD) systems are developed to characterize normal variations and detect abnormal changes in a process plant. It is always important for early detection and diagnosis, especially in chemical process systems to prevent process disruptions, shutdowns, or even process failures. However, there have been only limited reviews of data-driven FDD methods published in the literature. Therefore, the aim of this review is to provide the state-of-the-art reference for chemical engineers and to promote the application of data-driven FDD methods in chemical process systems. In general, there are two different groups of data-driven FDD methods: the multivariate statistical analysis and the machine learning approaches, which are widely accepted and applied in various industrial processes, including chemicals, pharmaceuticals, and polymers. Many different multivariate statistical analysis methods have been proposed in the literature, such as principal component analysis, partial least squares, independent component analysis, and Fisher discriminant analysis, while the machine learning approaches include artificial neural networks, neuro-fuzzy methods, support vector machine, Gaussian mixture model, K-nearest neighbor, and Bayesian network. In the first part, this review intends to provide a comprehensive literature review on applications of data-driven methods in FDD systems for chemical process systems. In addition, the hybrid FDD frameworks have also been reviewed by discussing the distinct advantages and various constraints, with some applications as examples. However, the choice for the data-driven FDD methods is not a straightforward issue. Thus, in the second part, this paper provides a guideline for selecting the best possible data-driven method for FDD systems based on their faults. Finally, future directions of data-driven FDD methods are summarized with the intent to expand the use for the process monitoring community.","container-title":"Reviews in Chemical Engineering","DOI":"10.1515/revce-2017-0069","ISSN":"2191-0235, 0167-8299","issue":"4","language":"en","page":"513-553","source":"DOI.org (Crossref)","title":"A review of data-driven fault detection and diagnosis methods: applications in chemical process systems","title-short":"A review of data-driven fault detection and diagnosis methods","volume":"36","author":[{"family":"Md Nor","given":"Norazwan"},{"family":"Che Hassan","given":"Che Rosmani"},{"family":"Hussain","given":"Mohd Azlan"}],"issued":{"date-parts":[["2020",5,26]]}}}],"schema":"https://github.com/citation-style-language/schema/raw/master/csl-citation.json"} </w:instrText>
      </w:r>
      <w:r w:rsidR="007861D7">
        <w:rPr>
          <w:rFonts w:eastAsiaTheme="minorEastAsia"/>
        </w:rPr>
        <w:fldChar w:fldCharType="separate"/>
      </w:r>
      <w:r w:rsidR="008C162D" w:rsidRPr="008C162D">
        <w:rPr>
          <w:rFonts w:eastAsiaTheme="minorEastAsia"/>
        </w:rPr>
        <w:t>[20,21]</w:t>
      </w:r>
      <w:r w:rsidR="007861D7">
        <w:rPr>
          <w:rFonts w:eastAsiaTheme="minorEastAsia"/>
        </w:rPr>
        <w:fldChar w:fldCharType="end"/>
      </w:r>
      <w:r w:rsidRPr="00865FB2">
        <w:rPr>
          <w:rFonts w:eastAsiaTheme="minorEastAsia"/>
        </w:rPr>
        <w:t>. This capability is indispensable for process monitoring, but its decision point is typically tied to abnormalities that have already become observable in the measured process state</w:t>
      </w:r>
      <w:r w:rsidR="00C03BBB">
        <w:rPr>
          <w:rFonts w:eastAsiaTheme="minorEastAsia" w:hint="eastAsia"/>
        </w:rPr>
        <w:t xml:space="preserve"> </w:t>
      </w:r>
      <w:r w:rsidR="006B24C1">
        <w:rPr>
          <w:rFonts w:eastAsiaTheme="minorEastAsia"/>
        </w:rPr>
        <w:fldChar w:fldCharType="begin"/>
      </w:r>
      <w:r w:rsidR="008C162D">
        <w:rPr>
          <w:rFonts w:eastAsiaTheme="minorEastAsia"/>
        </w:rPr>
        <w:instrText xml:space="preserve"> ADDIN ZOTERO_ITEM CSL_CITATION {"citationID":"smv0JE1S","properties":{"unsorted":false,"formattedCitation":"[20,22]","plainCitation":"[20,22]","noteIndex":0},"citationItems":[{"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prognosis","volume":"169","author":[{"family":"Bai","given":"Yiming"},{"family":"Zhao","given":"Jinsong"}],"issued":{"date-parts":[["2023",1]]}}}],"schema":"https://github.com/citation-style-language/schema/raw/master/csl-citation.json"} </w:instrText>
      </w:r>
      <w:r w:rsidR="006B24C1">
        <w:rPr>
          <w:rFonts w:eastAsiaTheme="minorEastAsia"/>
        </w:rPr>
        <w:fldChar w:fldCharType="separate"/>
      </w:r>
      <w:r w:rsidR="008C162D" w:rsidRPr="008C162D">
        <w:rPr>
          <w:rFonts w:eastAsiaTheme="minorEastAsia"/>
        </w:rPr>
        <w:t>[20,22]</w:t>
      </w:r>
      <w:r w:rsidR="006B24C1">
        <w:rPr>
          <w:rFonts w:eastAsiaTheme="minorEastAsia"/>
        </w:rPr>
        <w:fldChar w:fldCharType="end"/>
      </w:r>
      <w:r w:rsidRPr="00865FB2">
        <w:rPr>
          <w:rFonts w:eastAsiaTheme="minorEastAsia"/>
        </w:rPr>
        <w:t xml:space="preserve">. </w:t>
      </w:r>
      <w:r w:rsidR="003432E2" w:rsidRPr="003432E2">
        <w:rPr>
          <w:rFonts w:eastAsiaTheme="minorEastAsia"/>
        </w:rPr>
        <w:t>By this stage, these abnormalities often generate alarm floods that overwhelm operators, heighten cognitive load, and delay critical interventions</w:t>
      </w:r>
      <w:r w:rsidR="00125D8D">
        <w:rPr>
          <w:rFonts w:eastAsiaTheme="minorEastAsia" w:hint="eastAsia"/>
        </w:rPr>
        <w:t xml:space="preserve"> </w:t>
      </w:r>
      <w:r w:rsidR="008C162D">
        <w:rPr>
          <w:rFonts w:eastAsiaTheme="minorEastAsia"/>
        </w:rPr>
        <w:fldChar w:fldCharType="begin"/>
      </w:r>
      <w:r w:rsidR="008C162D">
        <w:rPr>
          <w:rFonts w:eastAsiaTheme="minorEastAsia"/>
        </w:rPr>
        <w:instrText xml:space="preserve"> ADDIN ZOTERO_ITEM CSL_CITATION {"citationID":"zOBK2MrM","properties":{"unsorted":false,"formattedCitation":"[23,24]","plainCitation":"[23,24]","noteIndex":0},"citationItems":[{"id":685,"uris":["http://zotero.org/users/16374009/items/WCIQFMYC"],"itemData":{"id":685,"type":"article-journal","abstract":"Industrial alarm systems are very critical for the efﬁcient and safe operation and control of plants. Alarms are used to inform the operator about possible process deviations from the normal so that the operator can take appropriate corrective action. Alarm activation and the corresponding response from the operator together serve as one of the critical layers of protection during the occurrence of a process fault. With the rapid advancement in control systems technology over the past few decades, the number of process sensors deployed for a particular plant has dramatically increased. In addition, due to the ease in conﬁguring the alarms in control systems, the number of alarms in a plant has also gone up. This has led to poor system performance, increase in the operator workload due to alarm overload, and catastrophic incidents in some cases. This review paper discusses such issues, provides details about the existing regulations, standards and guidelines, and challenges related to alarm management. In addition, it summarizes some of the open research problems in the area of effective alarm management.","container-title":"Journal of Loss Prevention in the Process Industries","DOI":"10.1016/j.jlp.2017.09.001","ISSN":"09504230","journalAbbreviation":"Journal of Loss Prevention in the Process Industries","language":"en","page":"23-36","source":"DOI.org (Crossref)","title":"Industrial alarm systems: Challenges and opportunities","title-short":"Industrial alarm systems","volume":"50","author":[{"family":"Goel","given":"Pankaj"},{"family":"Datta","given":"Aniruddha"},{"family":"Mannan","given":"M. Sam"}],"issued":{"date-parts":[["2017",11]]}}},{"id":683,"uris":["http://zotero.org/users/16374009/items/HIW4IJVW"],"itemData":{"id":683,"type":"article-journal","abstract":"The effective robust management of plant requires the implementation of industrial alarm systems in a very significant capacity. The core objective of alarms is to warn the operator of critical operational deviations and these operational anomalies can sometimes result in operators receiving significantly more alarms in a short period of time than they can manage, which is known as alarm flooding. In the case of any system malfunction, the alarms triggering and operators performance measure together important levels of security. Over the course of the last few decades, there has been a significant acceleration in the development of industrial automation technology, which has resulted in an increase in the total number of process sensors deployed within a specific plant. Moreover, the extensive integration of automation and security-based sensors has increased the system’s complexity and introduced a variety of operational challenges in industrial facilities. Consequently, this extensive integration has led to ineffectual system reliability, which further raised operator load volume and increased the chances of fatal conditions in certain situations. This review paper addresses the history of alarm management including major incidents that occurred in the last five decades, the development of the life cycle of alarm management, standards, and principles adopted for alarm management, techniques and methodologies developed for managing alarms, and current challenges that arise from modern control system integration.","container-title":"International Journal of Critical Infrastructure Protection","DOI":"10.1016/j.ijcip.2023.100599","ISSN":"18745482","journalAbbreviation":"International Journal of Critical Infrastructure Protection","language":"en","page":"100599","source":"DOI.org (Crossref)","title":"A review on effective alarm management systems for industrial process control: Barriers and opportunities","title-short":"A review on effective alarm management systems for industrial process control","volume":"41","author":[{"family":"Mustafa","given":"Faizan E"},{"family":"Ahmed","given":"Ijaz"},{"family":"Basit","given":"Abdul"},{"family":"Alvi","given":"Um-E-Habiba"},{"family":"Malik","given":"Saddam Hussain"},{"family":"Mahmood","given":"Atif"},{"family":"Ali","given":"Paghunda Roheela"}],"issued":{"date-parts":[["2023",7]]}}}],"schema":"https://github.com/citation-style-language/schema/raw/master/csl-citation.json"} </w:instrText>
      </w:r>
      <w:r w:rsidR="008C162D">
        <w:rPr>
          <w:rFonts w:eastAsiaTheme="minorEastAsia"/>
        </w:rPr>
        <w:fldChar w:fldCharType="separate"/>
      </w:r>
      <w:r w:rsidR="008C162D" w:rsidRPr="008C162D">
        <w:rPr>
          <w:rFonts w:eastAsiaTheme="minorEastAsia"/>
        </w:rPr>
        <w:t>[23,24]</w:t>
      </w:r>
      <w:r w:rsidR="008C162D">
        <w:rPr>
          <w:rFonts w:eastAsiaTheme="minorEastAsia"/>
        </w:rPr>
        <w:fldChar w:fldCharType="end"/>
      </w:r>
      <w:r w:rsidR="008273E0">
        <w:rPr>
          <w:rFonts w:eastAsiaTheme="minorEastAsia" w:hint="eastAsia"/>
        </w:rPr>
        <w:t>.</w:t>
      </w:r>
      <w:r w:rsidR="00582E5A">
        <w:rPr>
          <w:rFonts w:eastAsiaTheme="minorEastAsia" w:hint="eastAsia"/>
        </w:rPr>
        <w:t xml:space="preserve"> </w:t>
      </w:r>
      <w:r w:rsidRPr="00865FB2">
        <w:rPr>
          <w:rFonts w:eastAsiaTheme="minorEastAsia"/>
        </w:rPr>
        <w:t xml:space="preserve">As a result, although FDD can support timely response once a </w:t>
      </w:r>
      <w:r w:rsidR="00CA5654">
        <w:rPr>
          <w:rFonts w:eastAsiaTheme="minorEastAsia" w:hint="eastAsia"/>
        </w:rPr>
        <w:t>fault</w:t>
      </w:r>
      <w:r w:rsidR="00CA5654" w:rsidRPr="00865FB2">
        <w:rPr>
          <w:rFonts w:eastAsiaTheme="minorEastAsia"/>
        </w:rPr>
        <w:t xml:space="preserve"> </w:t>
      </w:r>
      <w:r w:rsidRPr="00865FB2">
        <w:rPr>
          <w:rFonts w:eastAsiaTheme="minorEastAsia"/>
        </w:rPr>
        <w:t xml:space="preserve">is detected, the prevailing </w:t>
      </w:r>
      <w:r w:rsidR="00F2395C">
        <w:rPr>
          <w:rFonts w:eastAsiaTheme="minorEastAsia" w:hint="eastAsia"/>
        </w:rPr>
        <w:t>ASM</w:t>
      </w:r>
      <w:r w:rsidRPr="00865FB2">
        <w:rPr>
          <w:rFonts w:eastAsiaTheme="minorEastAsia"/>
        </w:rPr>
        <w:t xml:space="preserve"> workflow remains largely reactive, in the sense that corrective action is usually initiated only after the process has entered an abnormal </w:t>
      </w:r>
      <w:r w:rsidR="005370C2">
        <w:rPr>
          <w:rFonts w:eastAsiaTheme="minorEastAsia" w:hint="eastAsia"/>
        </w:rPr>
        <w:t>situation</w:t>
      </w:r>
      <w:r w:rsidR="00A66734">
        <w:rPr>
          <w:rFonts w:eastAsiaTheme="minorEastAsia" w:hint="eastAsia"/>
        </w:rPr>
        <w:t xml:space="preserve"> </w:t>
      </w:r>
      <w:r w:rsidR="00463148">
        <w:rPr>
          <w:rFonts w:eastAsiaTheme="minorEastAsia"/>
        </w:rPr>
        <w:fldChar w:fldCharType="begin"/>
      </w:r>
      <w:r w:rsidR="008C162D">
        <w:rPr>
          <w:rFonts w:eastAsiaTheme="minorEastAsia"/>
        </w:rPr>
        <w:instrText xml:space="preserve"> ADDIN ZOTERO_ITEM CSL_CITATION {"citationID":"RdBL98Hr","properties":{"unsorted":false,"formattedCitation":"[3,16,20]","plainCitation":"[3,16,20]","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243,"uris":["http://zotero.org/users/16374009/items/AB48Q23U"],"itemData":{"id":243,"type":"article-journal","container-title":"Computers &amp; Chemical Engineering","DOI":"10.1016/S0098-1354(02)00160-6","ISSN":"00981354","issue":"3","journalAbbreviation":"Computers &amp; Chemical Engineering","language":"en","license":"https://www.elsevier.com/tdm/userlicense/1.0/","page":"293-311","source":"DOI.org (Crossref)","title":"A review of process fault detection and diagnosis","volume":"27","author":[{"family":"Venkatasubramanian","given":"Venkat"},{"family":"Rengaswamy","given":"Raghunathan"},{"family":"Yin","given":"Kewen"},{"family":"Kavuri","given":"Surya N."}],"issued":{"date-parts":[["2003",3]]}}}],"schema":"https://github.com/citation-style-language/schema/raw/master/csl-citation.json"} </w:instrText>
      </w:r>
      <w:r w:rsidR="00463148">
        <w:rPr>
          <w:rFonts w:eastAsiaTheme="minorEastAsia"/>
        </w:rPr>
        <w:fldChar w:fldCharType="separate"/>
      </w:r>
      <w:r w:rsidR="008C162D" w:rsidRPr="008C162D">
        <w:rPr>
          <w:rFonts w:eastAsiaTheme="minorEastAsia"/>
        </w:rPr>
        <w:t>[3,16,20]</w:t>
      </w:r>
      <w:r w:rsidR="00463148">
        <w:rPr>
          <w:rFonts w:eastAsiaTheme="minorEastAsia"/>
        </w:rPr>
        <w:fldChar w:fldCharType="end"/>
      </w:r>
      <w:r w:rsidRPr="00865FB2">
        <w:rPr>
          <w:rFonts w:eastAsiaTheme="minorEastAsia"/>
        </w:rPr>
        <w:t xml:space="preserve">. </w:t>
      </w:r>
      <w:r w:rsidR="007505F8" w:rsidRPr="007505F8">
        <w:rPr>
          <w:rFonts w:eastAsiaTheme="minorEastAsia"/>
        </w:rPr>
        <w:t>In contrast, abnormal situation prognosis predicts future trends of process variables to determine whether an abnormal situation is developing before an alarm trigger</w:t>
      </w:r>
      <w:r w:rsidR="00EC7227">
        <w:rPr>
          <w:rFonts w:eastAsiaTheme="minorEastAsia" w:hint="eastAsia"/>
        </w:rPr>
        <w:t>s</w:t>
      </w:r>
      <w:r w:rsidR="00C75360">
        <w:rPr>
          <w:rFonts w:eastAsiaTheme="minorEastAsia" w:hint="eastAsia"/>
        </w:rPr>
        <w:t xml:space="preserve"> </w:t>
      </w:r>
      <w:r w:rsidR="00C3107B">
        <w:rPr>
          <w:rFonts w:eastAsiaTheme="minorEastAsia"/>
        </w:rPr>
        <w:fldChar w:fldCharType="begin"/>
      </w:r>
      <w:r w:rsidR="008C162D">
        <w:rPr>
          <w:rFonts w:eastAsiaTheme="minorEastAsia"/>
        </w:rPr>
        <w:instrText xml:space="preserve"> ADDIN ZOTERO_ITEM CSL_CITATION {"citationID":"GYdh1tQp","properties":{"unsorted":false,"formattedCitation":"[22,25\\uc0\\u8211{}27]","plainCitation":"[22,25–27]","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250,"uris":["http://zotero.org/users/16374009/items/P75U94R6"],"itemData":{"id":250,"type":"article-journal","container-title":"Process Safety and Environmental Protection","DOI":"10.1016/j.psep.2021.08.022","ISSN":"09575820","journalAbbreviation":"Process Safety and Environmental Protection","language":"en","page":"467-479","source":"DOI.org (Crossref)","title":"A deep learning model for process fault prognosis","volume":"154","author":[{"family":"Arunthavanathan","given":"Rajeevan"},{"family":"Khan","given":"Faisal"},{"family":"Ahmed","given":"Salim"},{"family":"Imtiaz","given":"Syed"}],"issued":{"date-parts":[["2021",10]]}}},{"id":575,"uris":["http://zotero.org/users/16374009/items/UV66QAR8"],"itemData":{"id":575,"type":"article-journal","container-title":"Computers &amp; Chemical Engineering","DOI":"10.1016/j.compchemeng.2024.108855","ISSN":"00981354","journalAbbreviation":"Computers &amp; Chemical Engineering","language":"en","page":"108855","source":"DOI.org (Crossref)","title":"EPMITS: An efficient prediction method incorporating trends and shapes features for chemical process variables","title-short":"EPMITS","volume":"191","author":[{"family":"Bai","given":"Yiming"},{"family":"Ye","given":"Huawei"},{"family":"Zhao","given":"Jinsong"}],"issued":{"date-parts":[["2024",12]]}}}],"schema":"https://github.com/citation-style-language/schema/raw/master/csl-citation.json"} </w:instrText>
      </w:r>
      <w:r w:rsidR="00C3107B">
        <w:rPr>
          <w:rFonts w:eastAsiaTheme="minorEastAsia"/>
        </w:rPr>
        <w:fldChar w:fldCharType="separate"/>
      </w:r>
      <w:r w:rsidR="008C162D" w:rsidRPr="008C162D">
        <w:rPr>
          <w:kern w:val="0"/>
        </w:rPr>
        <w:t>[22,25–27]</w:t>
      </w:r>
      <w:r w:rsidR="00C3107B">
        <w:rPr>
          <w:rFonts w:eastAsiaTheme="minorEastAsia"/>
        </w:rPr>
        <w:fldChar w:fldCharType="end"/>
      </w:r>
      <w:r w:rsidRPr="00865FB2">
        <w:rPr>
          <w:rFonts w:eastAsiaTheme="minorEastAsia"/>
        </w:rPr>
        <w:t xml:space="preserve">. In this sense, </w:t>
      </w:r>
      <w:r w:rsidR="00073AD3">
        <w:rPr>
          <w:rFonts w:eastAsiaTheme="minorEastAsia" w:hint="eastAsia"/>
        </w:rPr>
        <w:t xml:space="preserve">abnormal situation </w:t>
      </w:r>
      <w:r w:rsidRPr="00865FB2">
        <w:rPr>
          <w:rFonts w:eastAsiaTheme="minorEastAsia"/>
        </w:rPr>
        <w:t xml:space="preserve">prognosis can be regarded as a forward extension of the </w:t>
      </w:r>
      <w:r w:rsidRPr="00865FB2">
        <w:rPr>
          <w:rFonts w:eastAsiaTheme="minorEastAsia"/>
        </w:rPr>
        <w:lastRenderedPageBreak/>
        <w:t xml:space="preserve">conventional FDD framework, shifting </w:t>
      </w:r>
      <w:r w:rsidR="000D3429">
        <w:rPr>
          <w:rFonts w:eastAsiaTheme="minorEastAsia" w:hint="eastAsia"/>
        </w:rPr>
        <w:t>ASM</w:t>
      </w:r>
      <w:r w:rsidRPr="00865FB2">
        <w:rPr>
          <w:rFonts w:eastAsiaTheme="minorEastAsia"/>
        </w:rPr>
        <w:t xml:space="preserve"> from response after </w:t>
      </w:r>
      <w:r w:rsidR="00A90C7B">
        <w:rPr>
          <w:rFonts w:eastAsiaTheme="minorEastAsia" w:hint="eastAsia"/>
        </w:rPr>
        <w:t xml:space="preserve">fault </w:t>
      </w:r>
      <w:r w:rsidR="00592F5A" w:rsidRPr="00592F5A">
        <w:rPr>
          <w:rFonts w:eastAsiaTheme="minorEastAsia"/>
        </w:rPr>
        <w:t>occurrence</w:t>
      </w:r>
      <w:r w:rsidR="00592F5A">
        <w:rPr>
          <w:rFonts w:eastAsiaTheme="minorEastAsia" w:hint="eastAsia"/>
        </w:rPr>
        <w:t xml:space="preserve"> </w:t>
      </w:r>
      <w:r w:rsidRPr="00865FB2">
        <w:rPr>
          <w:rFonts w:eastAsiaTheme="minorEastAsia"/>
        </w:rPr>
        <w:t xml:space="preserve">toward </w:t>
      </w:r>
      <w:r w:rsidR="00CF59E0">
        <w:rPr>
          <w:rFonts w:eastAsiaTheme="minorEastAsia" w:hint="eastAsia"/>
        </w:rPr>
        <w:t>proact</w:t>
      </w:r>
      <w:r w:rsidR="00A23866">
        <w:rPr>
          <w:rFonts w:eastAsiaTheme="minorEastAsia" w:hint="eastAsia"/>
        </w:rPr>
        <w:t>ive</w:t>
      </w:r>
      <w:r w:rsidR="00CF59E0">
        <w:rPr>
          <w:rFonts w:eastAsiaTheme="minorEastAsia" w:hint="eastAsia"/>
        </w:rPr>
        <w:t xml:space="preserve"> </w:t>
      </w:r>
      <w:r w:rsidRPr="00865FB2">
        <w:rPr>
          <w:rFonts w:eastAsiaTheme="minorEastAsia"/>
        </w:rPr>
        <w:t xml:space="preserve">intervention during the early evolution of abnormal </w:t>
      </w:r>
      <w:r w:rsidR="00861B7C">
        <w:rPr>
          <w:rFonts w:eastAsiaTheme="minorEastAsia" w:hint="eastAsia"/>
        </w:rPr>
        <w:t xml:space="preserve">situations </w:t>
      </w:r>
      <w:r w:rsidR="00EB7E1E">
        <w:rPr>
          <w:rFonts w:eastAsiaTheme="minorEastAsia"/>
        </w:rPr>
        <w:fldChar w:fldCharType="begin"/>
      </w:r>
      <w:r w:rsidR="008C162D">
        <w:rPr>
          <w:rFonts w:eastAsiaTheme="minorEastAsia"/>
        </w:rPr>
        <w:instrText xml:space="preserve"> ADDIN ZOTERO_ITEM CSL_CITATION {"citationID":"yRUtHlBs","properties":{"unsorted":false,"formattedCitation":"[22,25,28,29]","plainCitation":"[22,25,28,29]","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695,"uris":["http://zotero.org/users/16374009/items/W2HIJ3D9"],"itemData":{"id":695,"type":"article-journal","container-title":"Computers &amp; Chemical Engineering","note":"ISBN: 0098-1354","page":"107197","publisher":"Elsevier","title":"An analysis of process fault diagnosis methods from safety perspectives","volume":"145","author":[{"family":"Arunthavanathan","given":"Rajeevan"},{"family":"Khan","given":"Faisal"},{"family":"Ahmed","given":"Salim"},{"family":"Imtiaz","given":"Syed"}],"issued":{"date-parts":[["2021"]]}}}],"schema":"https://github.com/citation-style-language/schema/raw/master/csl-citation.json"} </w:instrText>
      </w:r>
      <w:r w:rsidR="00EB7E1E">
        <w:rPr>
          <w:rFonts w:eastAsiaTheme="minorEastAsia"/>
        </w:rPr>
        <w:fldChar w:fldCharType="separate"/>
      </w:r>
      <w:r w:rsidR="008C162D" w:rsidRPr="008C162D">
        <w:t>[22,25,28,29]</w:t>
      </w:r>
      <w:r w:rsidR="00EB7E1E">
        <w:rPr>
          <w:rFonts w:eastAsiaTheme="minorEastAsia"/>
        </w:rPr>
        <w:fldChar w:fldCharType="end"/>
      </w:r>
      <w:r w:rsidRPr="00865FB2">
        <w:rPr>
          <w:rFonts w:eastAsiaTheme="minorEastAsia"/>
        </w:rPr>
        <w:t>.</w:t>
      </w:r>
    </w:p>
    <w:p w14:paraId="2CB1EDF5" w14:textId="4DF9A564" w:rsidR="00A66815" w:rsidRDefault="00CF5EB0" w:rsidP="00C02A2B">
      <w:pPr>
        <w:ind w:firstLine="480"/>
        <w:rPr>
          <w:rFonts w:eastAsiaTheme="minorEastAsia"/>
        </w:rPr>
      </w:pPr>
      <w:r>
        <w:rPr>
          <w:rFonts w:eastAsiaTheme="minorEastAsia" w:hint="eastAsia"/>
        </w:rPr>
        <w:t>T</w:t>
      </w:r>
      <w:r w:rsidR="006C251C" w:rsidRPr="00F512E2">
        <w:rPr>
          <w:rFonts w:eastAsiaTheme="minorEastAsia"/>
        </w:rPr>
        <w:t xml:space="preserve">he core </w:t>
      </w:r>
      <w:r w:rsidR="00FC1473">
        <w:rPr>
          <w:rFonts w:eastAsiaTheme="minorEastAsia" w:hint="eastAsia"/>
        </w:rPr>
        <w:t>target</w:t>
      </w:r>
      <w:r w:rsidR="006C251C" w:rsidRPr="00F512E2">
        <w:rPr>
          <w:rFonts w:eastAsiaTheme="minorEastAsia"/>
        </w:rPr>
        <w:t xml:space="preserve"> is to reliably prognose these abnormal situations, securing a critical intervention window before </w:t>
      </w:r>
      <w:r w:rsidR="006C251C">
        <w:rPr>
          <w:rFonts w:eastAsiaTheme="minorEastAsia" w:hint="eastAsia"/>
        </w:rPr>
        <w:t>abnormal situation</w:t>
      </w:r>
      <w:r w:rsidR="006C251C" w:rsidRPr="00F512E2">
        <w:rPr>
          <w:rFonts w:eastAsiaTheme="minorEastAsia"/>
        </w:rPr>
        <w:t>s fully manifest</w:t>
      </w:r>
      <w:r w:rsidR="003D40E2">
        <w:rPr>
          <w:rFonts w:eastAsiaTheme="minorEastAsia" w:hint="eastAsia"/>
        </w:rPr>
        <w:t xml:space="preserve"> </w:t>
      </w:r>
      <w:r w:rsidR="00112D4C">
        <w:rPr>
          <w:rFonts w:eastAsiaTheme="minorEastAsia"/>
        </w:rPr>
        <w:fldChar w:fldCharType="begin"/>
      </w:r>
      <w:r w:rsidR="008C162D">
        <w:rPr>
          <w:rFonts w:eastAsiaTheme="minorEastAsia"/>
        </w:rPr>
        <w:instrText xml:space="preserve"> ADDIN ZOTERO_ITEM CSL_CITATION {"citationID":"5h8VOxhW","properties":{"unsorted":false,"formattedCitation":"[3,16,22,28]","plainCitation":"[3,16,22,28]","noteIndex":0},"citationItems":[{"id":134,"uris":["http://zotero.org/users/16374009/items/FLPMHSQA"],"itemData":{"id":134,"type":"article-journal","container-title":"Current Opinion in Chemical Engineering","DOI":"10.1016/j.coche.2016.07.009","ISSN":"22113398","journalAbbreviation":"Current Opinion in Chemical Engineering","language":"en","page":"49-55","source":"DOI.org (Crossref)","title":"Abnormal situation management for smart chemical process operation","volume":"14","author":[{"family":"Dai","given":"Yiyang"},{"family":"Wang","given":"Hangzhou"},{"family":"Khan","given":"Faisal"},{"family":"Zhao","given":"Jinsong"}],"issued":{"date-parts":[["2016",11]]}}},{"id":131,"uris":["http://zotero.org/users/16374009/items/CR9NSTU5"],"itemData":{"id":131,"type":"article-journal","abstract":"Although modern chemical processes are highly automatic, abnormal situation management (ASM) still heavily relies on human operators. Process fault detection and diagnosis (FDD) are one of the most important issues of ASM but few FDD systems have been satisfactorily applied in real chemical processes since the concept of FDD was proposed about 40 years ago. In this paper, developments of chemical process FDD are brieﬂy reviewed. The reason why FDD has not been widely implemented in the chemical process industry is discussed. One of the insights gained is that some basic problems in FDD such as how to deﬁne faults and how many faults to diagnose have not even been addressed well while researchers tirelessly try to invent new methods to diagnose fault. A new framework is proposed based on the big data in a cloud computing environment of a big chemical corporation for addressing the challenging issues in ASM.","container-title":"Computers &amp; Chemical Engineering","DOI":"10.1016/j.compchemeng.2016.04.011","ISSN":"00981354","journalAbbreviation":"Computers &amp; Chemical Engineering","language":"en","page":"104-113","source":"DOI.org (Crossref)","title":"Abnormal situation management: Challenges and opportunities in the big data era","title-short":"Abnormal situation management","volume":"91","author":[{"family":"Shu","given":"Yidan"},{"family":"Ming","given":"Liang"},{"family":"Cheng","given":"Feifan"},{"family":"Zhang","given":"Zhanpeng"},{"family":"Zhao","given":"Jinsong"}],"issued":{"date-parts":[["2016",8]]}}},{"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schema":"https://github.com/citation-style-language/schema/raw/master/csl-citation.json"} </w:instrText>
      </w:r>
      <w:r w:rsidR="00112D4C">
        <w:rPr>
          <w:rFonts w:eastAsiaTheme="minorEastAsia"/>
        </w:rPr>
        <w:fldChar w:fldCharType="separate"/>
      </w:r>
      <w:r w:rsidR="008C162D" w:rsidRPr="008C162D">
        <w:rPr>
          <w:rFonts w:eastAsiaTheme="minorEastAsia"/>
        </w:rPr>
        <w:t>[3,16,22,28]</w:t>
      </w:r>
      <w:r w:rsidR="00112D4C">
        <w:rPr>
          <w:rFonts w:eastAsiaTheme="minorEastAsia"/>
        </w:rPr>
        <w:fldChar w:fldCharType="end"/>
      </w:r>
      <w:r w:rsidR="006C251C" w:rsidRPr="00D23927">
        <w:rPr>
          <w:rFonts w:eastAsiaTheme="minorEastAsia"/>
        </w:rPr>
        <w:t>.</w:t>
      </w:r>
      <w:r w:rsidR="006C251C">
        <w:rPr>
          <w:rFonts w:eastAsiaTheme="minorEastAsia" w:hint="eastAsia"/>
        </w:rPr>
        <w:t xml:space="preserve"> </w:t>
      </w:r>
      <w:r w:rsidR="00BB7582" w:rsidRPr="00BB7582">
        <w:rPr>
          <w:rFonts w:eastAsiaTheme="minorEastAsia"/>
        </w:rPr>
        <w:t>In practical industrial chemical processes, however, the deployment of data-driven prognostic models is frequently restricted by the cold-start problem. This typically occurs when newly commissioned equipment or transitions to novel operating conditions yield extremely limited or entirely absent fault data</w:t>
      </w:r>
      <w:r w:rsidR="006B120A">
        <w:rPr>
          <w:rFonts w:eastAsiaTheme="minorEastAsia" w:hint="eastAsia"/>
        </w:rPr>
        <w:t xml:space="preserve"> </w:t>
      </w:r>
      <w:r w:rsidR="00A47A6F">
        <w:rPr>
          <w:rFonts w:eastAsiaTheme="minorEastAsia"/>
        </w:rPr>
        <w:fldChar w:fldCharType="begin"/>
      </w:r>
      <w:r w:rsidR="008958AA">
        <w:rPr>
          <w:rFonts w:eastAsiaTheme="minorEastAsia"/>
        </w:rPr>
        <w:instrText xml:space="preserve"> ADDIN ZOTERO_ITEM CSL_CITATION {"citationID":"4GCHWBYq","properties":{"unsorted":false,"formattedCitation":"[30,31]","plainCitation":"[30,31]","noteIndex":0},"citationItems":[{"id":753,"uris":["http://zotero.org/users/16374009/items/QZDNYEET"],"itemData":{"id":753,"type":"article-journal","container-title":"Neurocomputing","DOI":"10.1016/j.neucom.2023.126656","ISSN":"09252312","journalAbbreviation":"Neurocomputing","language":"en","page":"126656","source":"DOI.org (Crossref)","title":"A novel momentum prototypical neural network to cross-domain fault diagnosis for rotating machinery subject to cold-start","volume":"555","author":[{"family":"Chen","given":"Xiaohan"},{"family":"Yang","given":"Rui"},{"family":"Xue","given":"Yihao"},{"family":"Yang","given":"Chao"},{"family":"Song","given":"Baoye"},{"family":"Zhong","given":"Maiying"}],"issued":{"date-parts":[["2023",10]]}}},{"id":754,"uris":["http://zotero.org/users/16374009/items/ZZKWZRTS"],"itemData":{"id":754,"type":"article-journal","container-title":"IEEE Transactions on Industrial Informatics","DOI":"10.1109/TII.2012.2231870","ISSN":"1551-3203, 1941-0050","issue":"4","journalAbbreviation":"IEEE Trans. Ind. Inf.","license":"https://ieeexplore.ieee.org/Xplorehelp/downloads/license-information/IEEE.html","page":"2264-2273","source":"DOI.org (Crossref)","title":"Cold Start Approach for Data-Driven Fault Detection","volume":"9","author":[{"family":"Grbovic","given":"Mihajlo"},{"family":"Li","given":"Weichang"},{"family":"Subrahmanya","given":"Niranjan A"},{"literal":"Usadi"},{"family":"Vucetic","given":"Slobodan"}],"issued":{"date-parts":[["2013",11]]}}}],"schema":"https://github.com/citation-style-language/schema/raw/master/csl-citation.json"} </w:instrText>
      </w:r>
      <w:r w:rsidR="00A47A6F">
        <w:rPr>
          <w:rFonts w:eastAsiaTheme="minorEastAsia"/>
        </w:rPr>
        <w:fldChar w:fldCharType="separate"/>
      </w:r>
      <w:r w:rsidR="008958AA" w:rsidRPr="008958AA">
        <w:t>[30,31]</w:t>
      </w:r>
      <w:r w:rsidR="00A47A6F">
        <w:rPr>
          <w:rFonts w:eastAsiaTheme="minorEastAsia"/>
        </w:rPr>
        <w:fldChar w:fldCharType="end"/>
      </w:r>
      <w:r w:rsidR="00BB7582" w:rsidRPr="00BB7582">
        <w:rPr>
          <w:rFonts w:eastAsiaTheme="minorEastAsia"/>
        </w:rPr>
        <w:t xml:space="preserve">. </w:t>
      </w:r>
      <w:r w:rsidR="00091A43">
        <w:rPr>
          <w:rFonts w:eastAsiaTheme="minorEastAsia" w:hint="eastAsia"/>
        </w:rPr>
        <w:t>M</w:t>
      </w:r>
      <w:r w:rsidR="00A4019B" w:rsidRPr="00A4019B">
        <w:rPr>
          <w:rFonts w:eastAsiaTheme="minorEastAsia"/>
        </w:rPr>
        <w:t>ost existing studies formulate prognosis as a conventional time-series forecasting task, relying on deep learning architectures that require massive amounts of target-domain data for training</w:t>
      </w:r>
      <w:r w:rsidR="00853F74">
        <w:rPr>
          <w:rFonts w:eastAsiaTheme="minorEastAsia" w:hint="eastAsia"/>
        </w:rPr>
        <w:t xml:space="preserve"> </w:t>
      </w:r>
      <w:r w:rsidR="00A67F1E">
        <w:rPr>
          <w:rFonts w:eastAsiaTheme="minorEastAsia"/>
        </w:rPr>
        <w:fldChar w:fldCharType="begin"/>
      </w:r>
      <w:r w:rsidR="00A67F1E">
        <w:rPr>
          <w:rFonts w:eastAsiaTheme="minorEastAsia"/>
        </w:rPr>
        <w:instrText xml:space="preserve"> ADDIN ZOTERO_ITEM CSL_CITATION {"citationID":"yNuiK6N1","properties":{"unsorted":false,"formattedCitation":"[22,25,28,32]","plainCitation":"[22,25,28,32]","noteIndex":0},"citationItems":[{"id":124,"uris":["http://zotero.org/users/16374009/items/H4RQWBQ5"],"itemData":{"id":124,"type":"article-journal","abstract":"As the digitalization of process industry deepens, process fault detection and diagnosis (FDD) is an essential tool to ensure safe production in chemical industries. However, FDD may have a long detection delay for some chemical faults. Process fault prognosis methods could predict the occurrence of faults in advance, which would give operators more time and reduce the impact of faults. Nevertheless, many fault prognosis methods still suffer from fixed or insufficient prediction time ahead, which greatly confines their usage in critical scenarios. In this paper, we propose a novel Transformer-based multi-variable multi-step (TMM) prediction method for chemical process fault prognosis. Specifically, Transformer models are trained to predict the change of process variables at the next step, and iterative forecasting is used to predict multi-step changes of process variables. Finally, extensive evaluation of applications in a continuous stirred tank heater (CSTH) system and the Tennessee Eastman process (TEP) demonstrates that the proposed TMM prediction method shows high prediction accuracy and early fault prognosis, compared with representative statistical methods and other advanced deep learning methods.","container-title":"Process Safety and Environmental Protection","DOI":"10.1016/j.psep.2022.11.062","ISSN":"09575820","journalAbbreviation":"Process Safety and Environmental Protection","language":"en","page":"937-947","source":"DOI.org (Crossref)","title":"A novel transformer-based multi-variable multi-step prediction method for chemical process fault prognosis","volume":"169","author":[{"family":"Bai","given":"Yiming"},{"family":"Zhao","given":"Jinsong"}],"issued":{"date-parts":[["2023",1]]}}},{"id":534,"uris":["http://zotero.org/users/16374009/items/CT55XKS4"],"itemData":{"id":534,"type":"article-journal","container-title":"Chinese Journal of Chemical Engineering","DOI":"10.1016/j.cjche.2022.08.024","journalAbbreviation":"Chinese Journal of Chemical Engineering","title":"A dynamic-inner LSTM prediction method for key alarm variables forecasting in chemical process","author":[{"family":"Bai","given":"Yiming"},{"family":"Xiang","given":"Shuai"},{"family":"Cheng","given":"Feifan"},{"family":"Zhao","given":"Jinsong"}],"issued":{"date-parts":[["2022",10,1]]}}},{"id":572,"uris":["http://zotero.org/users/16374009/items/3MG8BEJ6"],"itemData":{"id":572,"type":"article-journal","container-title":"Process Safety and Environmental Protection","DOI":"10.1016/j.psep.2025.108203","ISSN":"09575820","journalAbbreviation":"Process Safety and Environmental Protection","language":"en","page":"108203","source":"DOI.org (Crossref)","title":"A process pretrained transformer model for cross-unit fault prognosis in chemical process","volume":"208","author":[{"family":"Yang","given":"Borui"},{"family":"Bai","given":"Yiming"},{"family":"Lv","given":"Feiya"},{"family":"Zheng","given":"Jinghe"},{"family":"Qin","given":"Shui"},{"family":"Zhao","given":"Jinsong"}],"issued":{"date-parts":[["2026",3]]}}},{"id":752,"uris":["http://zotero.org/users/16374009/items/M9RSBYS6"],"itemData":{"id":752,"type":"article-journal","abstract":"Fault prognosis—predicting impending process abnormalities before they trigger alarms—is critical for proactive safety management in chemical plants, yet remains considerably more challenging than conventional fault detection and diagnosis. In practice, chemical processes frequently operate under multiple steady-state modes, which introduces pronounced distribution shifts in process variables and undermines the reliability of prognosis models trained on a limited set of operating conditions. When a previously unseen mode is encountered during deployment, the absence of historical data renders conventional retraining infeasible, demanding models that can generalize across modes in a zero-shot manner. To address this challenge, we formulate multi-mode fault prognosis as a multi-source domain generalization problem and propose Hierarchical domainInvariant Alignment Networks (HIAN), a framework that learns mode-agnostic dynamic representations by hierarchically aligning feature distributions across source operating modes. Systematic evaluation on both the multi-mode Tennessee Eastman Process (TEP) benchmark and an industrial fluid catalytic cracking (FCC) dataset demonstrates that HIAN consistently achieves superior cross-mode generalization over representative baselines, confirming its effectiveness and practical applicability for fault prognosis under complex and time-varying operating conditions.","container-title":"Process Safety and Environmental Protection","DOI":"10.1016/j.psep.2026.108931","ISSN":"09575820","journalAbbreviation":"Process Safety and Environmental Protection","language":"en","page":"108931","source":"DOI.org (Crossref)","title":"Hierarchical domain-Invariant Alignment Networks for zero-shot cross-mode fault prognosis in chemical processes","volume":"213","author":[{"family":"Yang","given":"Borui"},{"family":"Xie","given":"Zhiyuan"},{"family":"Tian","given":"Haibo"},{"family":"Chen","given":"Yuping"},{"family":"Lv","given":"Feiya"},{"family":"Zhao","given":"Jinsong"}],"issued":{"date-parts":[["2026",6]]}}}],"schema":"https://github.com/citation-style-language/schema/raw/master/csl-citation.json"} </w:instrText>
      </w:r>
      <w:r w:rsidR="00A67F1E">
        <w:rPr>
          <w:rFonts w:eastAsiaTheme="minorEastAsia"/>
        </w:rPr>
        <w:fldChar w:fldCharType="separate"/>
      </w:r>
      <w:r w:rsidR="00A67F1E" w:rsidRPr="00A67F1E">
        <w:t>[22,25,28,32]</w:t>
      </w:r>
      <w:r w:rsidR="00A67F1E">
        <w:rPr>
          <w:rFonts w:eastAsiaTheme="minorEastAsia"/>
        </w:rPr>
        <w:fldChar w:fldCharType="end"/>
      </w:r>
      <w:r w:rsidR="00A4019B">
        <w:rPr>
          <w:rFonts w:eastAsiaTheme="minorEastAsia" w:hint="eastAsia"/>
        </w:rPr>
        <w:t xml:space="preserve">. </w:t>
      </w:r>
      <w:r w:rsidR="00A66815" w:rsidRPr="00A66815">
        <w:rPr>
          <w:rFonts w:eastAsiaTheme="minorEastAsia"/>
        </w:rPr>
        <w:t xml:space="preserve">Under such few-shot cold-start </w:t>
      </w:r>
      <w:r w:rsidR="00E43503">
        <w:rPr>
          <w:rFonts w:eastAsiaTheme="minorEastAsia" w:hint="eastAsia"/>
        </w:rPr>
        <w:t>scenario</w:t>
      </w:r>
      <w:r w:rsidR="00A66815" w:rsidRPr="00A66815">
        <w:rPr>
          <w:rFonts w:eastAsiaTheme="minorEastAsia"/>
        </w:rPr>
        <w:t>s, these conventional models inherently suffer from severe overfitting and poor generalization.</w:t>
      </w:r>
    </w:p>
    <w:p w14:paraId="1AB3733D" w14:textId="007A1A49" w:rsidR="00564957" w:rsidRDefault="00201A9B" w:rsidP="00C02A2B">
      <w:pPr>
        <w:ind w:firstLine="480"/>
        <w:rPr>
          <w:rFonts w:eastAsiaTheme="minorEastAsia"/>
        </w:rPr>
      </w:pPr>
      <w:r w:rsidRPr="00201A9B">
        <w:rPr>
          <w:rFonts w:eastAsiaTheme="minorEastAsia"/>
        </w:rPr>
        <w:t xml:space="preserve">To mitigate </w:t>
      </w:r>
      <w:r w:rsidR="00C03905">
        <w:rPr>
          <w:rFonts w:eastAsiaTheme="minorEastAsia" w:hint="eastAsia"/>
        </w:rPr>
        <w:t>cold-start scenarios</w:t>
      </w:r>
      <w:r w:rsidRPr="00201A9B">
        <w:rPr>
          <w:rFonts w:eastAsiaTheme="minorEastAsia"/>
        </w:rPr>
        <w:t xml:space="preserve">, few-shot learning paradigms, particularly meta-learning, have been explored in various domains. However, their practical deployment in industrial abnormal situation </w:t>
      </w:r>
      <w:r w:rsidR="00514C86">
        <w:rPr>
          <w:rFonts w:eastAsiaTheme="minorEastAsia" w:hint="eastAsia"/>
        </w:rPr>
        <w:t>prognosis</w:t>
      </w:r>
      <w:r w:rsidRPr="00201A9B">
        <w:rPr>
          <w:rFonts w:eastAsiaTheme="minorEastAsia"/>
        </w:rPr>
        <w:t xml:space="preserve"> is fundamentally constrained.</w:t>
      </w:r>
      <w:r w:rsidR="00D9261C">
        <w:rPr>
          <w:rFonts w:eastAsiaTheme="minorEastAsia" w:hint="eastAsia"/>
        </w:rPr>
        <w:t xml:space="preserve"> </w:t>
      </w:r>
      <w:r w:rsidR="008E24C5" w:rsidRPr="008E24C5">
        <w:rPr>
          <w:rFonts w:eastAsiaTheme="minorEastAsia"/>
        </w:rPr>
        <w:t>Meta-learning inherently requires a meta-training set comprising abundant historical data from multiple similar operating units or diverse operating regimes to extract transferable meta-knowledge</w:t>
      </w:r>
      <w:r w:rsidR="00BB469C">
        <w:rPr>
          <w:rFonts w:eastAsiaTheme="minorEastAsia" w:hint="eastAsia"/>
        </w:rPr>
        <w:t xml:space="preserve"> </w:t>
      </w:r>
      <w:r w:rsidR="004376E3">
        <w:rPr>
          <w:rFonts w:eastAsiaTheme="minorEastAsia"/>
        </w:rPr>
        <w:fldChar w:fldCharType="begin"/>
      </w:r>
      <w:r w:rsidR="004376E3">
        <w:rPr>
          <w:rFonts w:eastAsiaTheme="minorEastAsia"/>
        </w:rPr>
        <w:instrText xml:space="preserve"> ADDIN ZOTERO_ITEM CSL_CITATION {"citationID":"gZ4f6lr3","properties":{"unsorted":false,"formattedCitation":"[33\\uc0\\u8211{}37]","plainCitation":"[33–37]","noteIndex":0},"citationItems":[{"id":755,"uris":["http://zotero.org/users/16374009/items/NJEA9RCR"],"itemData":{"id":755,"type":"article-journal","container-title":"Computers in Industry","note":"ISBN: 0166-3615","page":"104396","publisher":"Elsevier","title":"A cross-domain few-shot remaining useful life estimation framework based on model-agnostic meta-learning with task embeddings","volume":"173","author":[{"family":"Shang","given":"Xinyu"},{"family":"Shang","given":"Jie"},{"family":"Li","given":"Mingyu"},{"family":"Qiu","given":"Haobo"},{"family":"Gao","given":"Liang"},{"family":"Xu","given":"Danyang"}],"issued":{"date-parts":[["2025"]]}}},{"id":756,"uris":["http://zotero.org/users/16374009/items/LZQGLXTI"],"itemData":{"id":756,"type":"article-journal","container-title":"Neurocomputing","note":"ISBN: 0925-2312","page":"127879","publisher":"Elsevier","title":"Successive model-agnostic meta-learning for few-shot fault time series prognosis","volume":"595","author":[{"family":"Su","given":"Hai"},{"family":"Hu","given":"Jiajun"},{"family":"Yu","given":"Songsen"},{"family":"Liu","given":"Juhua"},{"family":"Qin","given":"Xiangyang"}],"issued":{"date-parts":[["2024"]]}}},{"id":554,"uris":["http://zotero.org/users/16374009/items/EZ5XXKQL"],"itemData":{"id":554,"type":"article-journal","container-title":"Mechanical Systems and Signal Processing","DOI":"10.1016/j.ymssp.2020.107510","journalAbbreviation":"Mechanical Systems and Signal Processing","title":"Metric-based meta-learning model for few-shot fault diagnosis under multiple limited data conditions","URL":"https://consensus.app/papers/metricbased-metalearning-model-for-fewshot-fault-wang-zhang/c1aa1401d3775044ae51a98448ad1215/","author":[{"family":"Wang","given":"Duo"},{"family":"Zhang","given":"M."},{"family":"Xu","given":"Yuchun"},{"family":"Lu","given":"Weining"},{"family":"Yang","given":"Jun"},{"family":"Zhang","given":"Tao"}],"issued":{"date-parts":[["2021",6,1]]}}},{"id":445,"uris":["http://zotero.org/users/16374009/items/28NE6NKD"],"itemData":{"id":445,"type":"article-journal","abstract":"Accurate prediction of crude petroleum production in oil fields plays a crucial role in analyzing reservoir dynamics, formulating measures to increase production, and selecting ways to improve recovery factors. Current prediction methods mainly include reservoir engineering methods, numerical simulation methods, and deep learning methods, and the required prerequisite is a large amount of historical data. However, when the data used to train the model are insufficient, the prediction effect will be reduced dramatically. In this paper, a time series-related meta-learning (TsrML) method is proposed that can be applied to the prediction of petroleum time series containing small samples and can address the limitations of traditional deep learning methods for the few-shot problem, thereby supporting the development of production measures. The approach involves an architecture divided into meta-learner and base-learner, which learns initialization parameters from 89 time series datasets. It can be quickly adapted to achieve excellent and accurate predictions with small samples in the oil field. Three case studies were performed using time series from two actual oil fields. For objective evaluation, the proposed method is compared with several traditional methods. Compared to traditional deep learning methods, RMSE is decreased by 0.1766 on average, and MAPE is decreased by 4.8013 on average. The empirical results show that the proposed method outperforms the traditional deep learning methods.","container-title":"Energies","DOI":"10.3390/en17081947","ISSN":"1996-1073","issue":"8","journalAbbreviation":"Energies","language":"en","page":"1947","source":"DOI.org (Crossref)","title":"A Time Series Forecasting Approach Based on Meta-Learning for Petroleum Production under Few-Shot Samples","volume":"17","author":[{"family":"Xu","given":"Zhichao"},{"family":"Yu","given":"Gaoming"}],"issued":{"date-parts":[["2024",4,19]]}}},{"id":100,"uris":["http://zotero.org/users/16374009/items/6VPXJWVG"],"itemData":{"id":100,"type":"article-journal","abstract":"Developing accurate models for chemical reactors is often challenging due to the complexity of reaction kinetics and process dynamics. Traditional approaches require retraining models for each new system, limiting generalizability and efficiency. In this work, we take a step toward foundation models for chemical reactor modeling by introducing a neural network framework that generalizes across diverse reactor types and rapidly adapts to new chemical processes. Our approach leverages meta-learning to pretrain the model on a broad set of reactor dynamics, enabling efficient adaptation to unseen reactions with minimal data. To further enhance generalizability, we incorporate physicsinformed fine-tuning, ensuring physically consistent adaptation to new reactor conditions. Our framework is evaluated across three integer-order fundamental reactor types - continuous stirred tank reactors, batch reactors, and plug flow reactors - demonstrating superior few-shot adaptation compared to conventional data-driven, physics-informed, and transfer learning approaches. By combining meta-learning with physics-informed adaptation, this work lays the foundation for a generalizable modeling framework, advancing the development of foundation models for chemical engineering applications.","container-title":"Chemical Engineering Research and Design","DOI":"10.1016/j.cherd.2025.05.015","ISSN":"02638762","journalAbbreviation":"Chemical Engineering Research and Design","language":"en","note":"arXiv:2405.11752 [cs]","page":"839-853","source":"arXiv.org","title":"Towards Foundation Model for Chemical Reactor Modeling: Meta-Learning with Physics-Informed Adaptation","title-short":"Towards Foundation Model for Chemical Reactor Modeling","volume":"218","author":[{"family":"Wang","given":"Zihao"},{"family":"Wu","given":"Zhe"}],"issued":{"date-parts":[["2025",6]]}}}],"schema":"https://github.com/citation-style-language/schema/raw/master/csl-citation.json"} </w:instrText>
      </w:r>
      <w:r w:rsidR="004376E3">
        <w:rPr>
          <w:rFonts w:eastAsiaTheme="minorEastAsia"/>
        </w:rPr>
        <w:fldChar w:fldCharType="separate"/>
      </w:r>
      <w:r w:rsidR="004376E3" w:rsidRPr="004376E3">
        <w:rPr>
          <w:kern w:val="0"/>
        </w:rPr>
        <w:t>[33–37]</w:t>
      </w:r>
      <w:r w:rsidR="004376E3">
        <w:rPr>
          <w:rFonts w:eastAsiaTheme="minorEastAsia"/>
        </w:rPr>
        <w:fldChar w:fldCharType="end"/>
      </w:r>
      <w:r w:rsidR="008E24C5" w:rsidRPr="008E24C5">
        <w:rPr>
          <w:rFonts w:eastAsiaTheme="minorEastAsia"/>
        </w:rPr>
        <w:t>.</w:t>
      </w:r>
      <w:r w:rsidR="009B68F1">
        <w:rPr>
          <w:rFonts w:eastAsiaTheme="minorEastAsia" w:hint="eastAsia"/>
        </w:rPr>
        <w:t xml:space="preserve"> </w:t>
      </w:r>
      <w:r w:rsidR="005A6FA7" w:rsidRPr="005A6FA7">
        <w:rPr>
          <w:rFonts w:eastAsiaTheme="minorEastAsia"/>
        </w:rPr>
        <w:t>In a strict cold-start scenario—where historical data from similar equipment is entirely absent—this prerequisite is unmet, rendering meta-learning inapplicable.</w:t>
      </w:r>
      <w:r w:rsidR="004650DC">
        <w:rPr>
          <w:rFonts w:eastAsiaTheme="minorEastAsia" w:hint="eastAsia"/>
        </w:rPr>
        <w:t xml:space="preserve"> </w:t>
      </w:r>
      <w:r w:rsidR="002911BA" w:rsidRPr="002911BA">
        <w:rPr>
          <w:rFonts w:eastAsiaTheme="minorEastAsia"/>
        </w:rPr>
        <w:t xml:space="preserve">In contrast, the emergence of Time Series Foundation Models (TSFMs) provides a novel paradigm for such extreme data-scarce scenarios. By leveraging generalized dynamic priors acquired from massive, cross-domain pre-training, TSFMs bypass the reliance on multiple local source tasks, offering a robust foundation for capturing fundamental temporal dependencies. Nevertheless, directly deploying a single TSFM under few-shot conditions still struggles to fully capture the complex, unit-specific nonlinear </w:t>
      </w:r>
      <w:r w:rsidR="002911BA" w:rsidRPr="002911BA">
        <w:rPr>
          <w:rFonts w:eastAsiaTheme="minorEastAsia"/>
        </w:rPr>
        <w:lastRenderedPageBreak/>
        <w:t>dynamics of the target chemical process, often yielding suboptimal prognostic performance.</w:t>
      </w:r>
    </w:p>
    <w:p w14:paraId="04451399" w14:textId="6D16B1E4" w:rsidR="008149DF" w:rsidRDefault="002B6229" w:rsidP="00C02A2B">
      <w:pPr>
        <w:ind w:firstLine="480"/>
        <w:rPr>
          <w:rFonts w:eastAsiaTheme="minorEastAsia"/>
        </w:rPr>
      </w:pPr>
      <w:r>
        <w:t>To address this limitation, we propose an operator-augmented ensemble of time series foundation models for few-shot fault prognosis. Rather than adapt a single backbone in isolation, the framework few-shot aligns a pretrained TSFM and then exposes it through a pool of differencing operators. The raw operator forecasts the level, the difference operator forecasts the velocity, and a second-difference operator forecasts the acceleration that precedes an alarm. Differencing removes the non-stationary operating level from the forecasting target, leaving a near-stationary residual that the backbone can fit from very few fault windows. This is the property that makes the framework data-efficient, because its prognostic performance barely changes as the adaptation data shrink toward the cold-start limit. A direction-aware union rule finally combines the velocity and acceleration decisions, firing an early warning whenever either operator anticipates a limit crossing. Consequently, the framework is designed not to minimize average prediction error, but to preserve early-warning reliability precisely where operational data are scarcest.</w:t>
      </w:r>
    </w:p>
    <w:p w14:paraId="585C89A2" w14:textId="77777777" w:rsidR="00E60AAC" w:rsidRDefault="00E60AAC" w:rsidP="00E60AAC">
      <w:pPr>
        <w:pStyle w:val="1"/>
      </w:pPr>
      <w:r>
        <w:t>2.</w:t>
      </w:r>
      <w:r>
        <w:tab/>
        <w:t>Methodology</w:t>
      </w:r>
    </w:p>
    <w:p w14:paraId="7118E577" w14:textId="77777777" w:rsidR="00E60AAC" w:rsidRDefault="00E60AAC" w:rsidP="00E60AAC">
      <w:pPr>
        <w:pStyle w:val="2"/>
      </w:pPr>
      <w:r>
        <w:t>2.1</w:t>
      </w:r>
      <w:r>
        <w:tab/>
        <w:t>Problem definition of fault prognosis</w:t>
      </w:r>
    </w:p>
    <w:p w14:paraId="6327E95C" w14:textId="77777777" w:rsidR="00E60AAC" w:rsidRDefault="00E60AAC" w:rsidP="00E60AAC">
      <w:pPr>
        <w:ind w:firstLine="480"/>
      </w:pPr>
      <w:r>
        <w:t>In a continuously operated chemical process, a safety-critical variable stays within a narrow band under normal control, yet once an incipient fault develops it drifts and, eventually, crosses an alarm limit. Fault prognosis is the task of forecasting this trajectory early enough to expose the impending crossing before the alarm actually fires, thereby securing an intervention window while the abnormal situation is still developing.</w:t>
      </w:r>
    </w:p>
    <w:p w14:paraId="0D305441" w14:textId="77777777" w:rsidR="00E60AAC" w:rsidRDefault="00E60AAC" w:rsidP="00E60AAC">
      <w:pPr>
        <w:ind w:firstLine="480"/>
      </w:pPr>
      <w:r>
        <w:t>We formalize the setting as follows. The process exposes C measured variables sampled at a fixed interval Δt. At a decision time t, the model observes a look-back window of length L,</w:t>
      </w:r>
    </w:p>
    <w:p w14:paraId="121CEF53"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L</m:t>
            </m:r>
            <m:r>
              <m:rPr>
                <m:sty m:val="p"/>
              </m:rPr>
              <w:rPr>
                <w:rFonts w:ascii="Cambria Math" w:hAnsi="Cambria Math"/>
              </w:rPr>
              <m:t>×</m:t>
            </m:r>
            <m:r>
              <w:rPr>
                <w:rFonts w:ascii="Cambria Math" w:hAnsi="Cambria Math"/>
              </w:rPr>
              <m:t>C</m:t>
            </m:r>
          </m:sup>
        </m:sSup>
      </m:oMath>
      <w:r>
        <w:tab/>
        <w:t>(1)</w:t>
      </w:r>
    </w:p>
    <w:p w14:paraId="7B15EEFB" w14:textId="77777777" w:rsidR="00E60AAC" w:rsidRDefault="00E60AAC" w:rsidP="00E60AAC">
      <w:pPr>
        <w:ind w:firstLine="480"/>
      </w:pPr>
      <w:r>
        <w:lastRenderedPageBreak/>
        <w:t>in which one channel is the target variable y whose future is operationally critical and the remaining channels act as informative covariates. A forecasting operator F_θ maps this window to an H-step forecast of the target,</w:t>
      </w:r>
    </w:p>
    <w:p w14:paraId="137E1D5B"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H</m:t>
            </m:r>
          </m:sup>
        </m:sSup>
      </m:oMath>
      <w:r>
        <w:tab/>
        <w:t>(2)</w:t>
      </w:r>
    </w:p>
    <w:p w14:paraId="6838DD6F" w14:textId="77777777" w:rsidR="00E60AAC" w:rsidRDefault="00E60AAC" w:rsidP="00E60AAC">
      <w:pPr>
        <w:ind w:firstLine="480"/>
      </w:pPr>
      <w:r>
        <w:t>so that the model commits to a full future trajectory rather than a single next value, which is precisely what a prognostic decision requires. Crucially, prognosis is defined against the same limits the plant uses. From healthy operating data 𝒟_h, collected before any fault onset, a three-sigma band is fixed,</w:t>
      </w:r>
    </w:p>
    <w:p w14:paraId="6893E00F" w14:textId="77777777" w:rsidR="00E60AAC" w:rsidRDefault="00E60AAC" w:rsidP="00E60AAC">
      <w:pPr>
        <w:tabs>
          <w:tab w:val="center" w:pos="4110"/>
          <w:tab w:val="right" w:pos="8220"/>
        </w:tabs>
        <w:ind w:firstLine="480"/>
      </w:pPr>
      <w:r>
        <w:tab/>
      </w:r>
      <m:oMath>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r>
          <m:rPr>
            <m:sty m:val="p"/>
          </m:rPr>
          <w:rPr>
            <w:rFonts w:ascii="Cambria Math" w:hAnsi="Cambria Math"/>
          </w:rPr>
          <m:t>,</m:t>
        </m:r>
        <m:r>
          <w:rPr>
            <w:rFonts w:ascii="Cambria Math" w:hAnsi="Cambria Math"/>
          </w:rPr>
          <m:t>  u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σ</m:t>
            </m:r>
          </m:e>
          <m:sub>
            <m:r>
              <w:rPr>
                <w:rFonts w:ascii="Cambria Math" w:hAnsi="Cambria Math"/>
              </w:rPr>
              <m:t>y</m:t>
            </m:r>
          </m:sub>
        </m:sSub>
      </m:oMath>
      <w:r>
        <w:tab/>
        <w:t>(3)</w:t>
      </w:r>
    </w:p>
    <w:p w14:paraId="0C079F81" w14:textId="77777777" w:rsidR="00E60AAC" w:rsidRDefault="00E60AAC" w:rsidP="00E60AAC">
      <w:pPr>
        <w:ind w:firstLine="480"/>
      </w:pPr>
      <w:r>
        <w:t>with μ_y and σ_y the healthy mean and standard deviation of the target. The alarm geometry is therefore anchored to normal operation and is never informed by the test fault, which keeps the evaluation honest. Prognosis then asks whether the forecast trajectory will leave this band ahead of the true crossing: an anticipated alarm is meaningful only when it is issued before the actual onset and still points to that onset, and its value grows with the lead time it provides. Because the deployed decision operates on the fused forecast produced by the proposed model, we defer its precise formalization, together with the lead-time and false-alarm definitions, to the prognosis decision rule of Section 3.3.</w:t>
      </w:r>
    </w:p>
    <w:p w14:paraId="1B7EDB9A" w14:textId="77777777" w:rsidR="00E60AAC" w:rsidRDefault="00E60AAC" w:rsidP="00E60AAC">
      <w:pPr>
        <w:ind w:firstLine="480"/>
      </w:pPr>
      <w:r>
        <w:t xml:space="preserve">Two properties make this problem distinctive, and together they define its few-shot character. First, industrial process data are overwhelmingly dominated by normal operation, whereas the observations that capture an incipient fault are exceedingly scarce. We model this scarcity explicitly as a few-shot constraint, in which only a subset 𝒮 ⊂ 𝒟_fault of size ⌊ρN⌋, with ρ ≪ 1, of fault-region windows is available for adaptation, whereas the full normal record remains available for scaling and for setting the limits in Eq. (3). Second, the prognostic value of a forecast is concentrated near the alarm limits rather than spread evenly across the operating range, so a model tuned </w:t>
      </w:r>
      <w:r>
        <w:lastRenderedPageBreak/>
        <w:t>only for average accuracy on the dominant normal data is not necessarily the one that best anticipates a crossing.</w:t>
      </w:r>
    </w:p>
    <w:p w14:paraId="6CBB5E36" w14:textId="77777777" w:rsidR="00E60AAC" w:rsidRDefault="00E60AAC" w:rsidP="00E60AAC">
      <w:pPr>
        <w:pStyle w:val="2"/>
      </w:pPr>
      <w:r>
        <w:t>2.2</w:t>
      </w:r>
      <w:r>
        <w:tab/>
        <w:t>Attention mechanisms</w:t>
      </w:r>
    </w:p>
    <w:p w14:paraId="6B1A3174" w14:textId="77777777" w:rsidR="00E60AAC" w:rsidRDefault="00E60AAC" w:rsidP="00E60AAC">
      <w:pPr>
        <w:ind w:firstLine="480"/>
      </w:pPr>
      <w:r>
        <w:t>Chemical process signals carry temporal dependence that can span an entire window: the earliest signature of a slow drift may sit many steps before the present. Models with fixed-lag or convolutional receptive fields must commit in advance to which lags matter, and they weight distant informative steps only weakly. Self-attention removes this constraint by letting every step attend to every other step through a data-dependent weighting. Given queries, keys and values projected from the input, scaled dot-product attention computes</w:t>
      </w:r>
    </w:p>
    <w:p w14:paraId="66E82873" w14:textId="77777777" w:rsidR="00E60AAC" w:rsidRDefault="00E60AAC" w:rsidP="00E60AAC">
      <w:pPr>
        <w:tabs>
          <w:tab w:val="center" w:pos="4110"/>
          <w:tab w:val="right" w:pos="8220"/>
        </w:tabs>
        <w:ind w:firstLine="480"/>
      </w:pPr>
      <w:r>
        <w:tab/>
      </w:r>
      <m:oMath>
        <m:r>
          <m:rPr>
            <m:sty m:val="p"/>
          </m:rPr>
          <w:rPr>
            <w:rFonts w:ascii="Cambria Math" w:hAnsi="Cambria Math"/>
          </w:rPr>
          <m:t>Attention(</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)=softmax</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m:rPr>
                        <m:sty m:val="p"/>
                      </m:rP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r>
          <w:rPr>
            <w:rFonts w:ascii="Cambria Math" w:hAnsi="Cambria Math"/>
          </w:rPr>
          <m:t>V</m:t>
        </m:r>
      </m:oMath>
      <w:r>
        <w:tab/>
        <w:t>(4)</w:t>
      </w:r>
    </w:p>
    <w:p w14:paraId="7364A09C" w14:textId="77777777" w:rsidR="00E60AAC" w:rsidRDefault="00E60AAC" w:rsidP="00E60AAC">
      <w:pPr>
        <w:ind w:firstLine="480"/>
      </w:pPr>
      <w:r>
        <w:t>where the softmax assigns each step a learned weight over all others, so the receptive field is the whole sequence and is inferred from the data rather than fixed by architecture. To represent several dependency patterns at once, the operation is replicated across h parallel heads and recombined,</w:t>
      </w:r>
    </w:p>
    <w:p w14:paraId="767282E5" w14:textId="77777777" w:rsidR="00E60AAC" w:rsidRDefault="00E60AAC" w:rsidP="00E60AAC">
      <w:pPr>
        <w:tabs>
          <w:tab w:val="center" w:pos="4110"/>
          <w:tab w:val="right" w:pos="8220"/>
        </w:tabs>
        <w:ind w:firstLine="480"/>
      </w:pPr>
      <w:r>
        <w:tab/>
      </w:r>
      <m:oMath>
        <m:r>
          <m:rPr>
            <m:sty m:val="p"/>
          </m:rPr>
          <w:rPr>
            <w:rFonts w:ascii="Cambria Math" w:hAnsi="Cambria Math"/>
          </w:rPr>
          <m:t>MultiHead(</m:t>
        </m:r>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head</m:t>
            </m:r>
          </m:e>
          <m:sub>
            <m:r>
              <w:rPr>
                <w:rFonts w:ascii="Cambria Math" w:hAnsi="Cambria Math"/>
              </w:rPr>
              <m:t>h</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O</m:t>
            </m:r>
          </m:sub>
        </m:sSub>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head</m:t>
            </m:r>
          </m:e>
          <m:sub>
            <m:r>
              <w:rPr>
                <w:rFonts w:ascii="Cambria Math" w:hAnsi="Cambria Math"/>
              </w:rPr>
              <m:t>i</m:t>
            </m:r>
          </m:sub>
        </m:sSub>
        <m:r>
          <m:rPr>
            <m:sty m:val="p"/>
          </m:rPr>
          <w:rPr>
            <w:rFonts w:ascii="Cambria Math" w:hAnsi="Cambria Math"/>
          </w:rPr>
          <m:t>=Attention(</m:t>
        </m:r>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oMath>
      <w:r>
        <w:tab/>
        <w:t>(5)</w:t>
      </w:r>
    </w:p>
    <w:p w14:paraId="22147FB5" w14:textId="77777777" w:rsidR="00E60AAC" w:rsidRDefault="00E60AAC" w:rsidP="00E60AAC">
      <w:pPr>
        <w:ind w:firstLine="480"/>
      </w:pPr>
      <w:r>
        <w:t>which lets one head track slow, low-frequency drift while another tracks fast transients. This division of labor is exactly what prognosis needs, because the steady regime and the pre-alarm regime are governed by different temporal scales. Notably, the foundation backbone adopted in this work applies attention over patch tokens under a causal mask with explicit cross-covariate coupling, so exogenous variables inform the target token without leaking future information.</w:t>
      </w:r>
    </w:p>
    <w:p w14:paraId="0774079E" w14:textId="77777777" w:rsidR="00E60AAC" w:rsidRDefault="00E60AAC" w:rsidP="00E60AAC">
      <w:pPr>
        <w:pStyle w:val="2"/>
      </w:pPr>
      <w:r>
        <w:t>2.3</w:t>
      </w:r>
      <w:r>
        <w:tab/>
        <w:t>Time Series Foundation Models</w:t>
      </w:r>
    </w:p>
    <w:p w14:paraId="0954E91B" w14:textId="77777777" w:rsidR="00E60AAC" w:rsidRDefault="00E60AAC" w:rsidP="00E60AAC">
      <w:pPr>
        <w:ind w:firstLine="480"/>
      </w:pPr>
      <w:r>
        <w:t xml:space="preserve">Training a bespoke forecaster from scratch on a handful of fault windows overfits: the model memorizes the few available trajectories and generalizes poorly to an unseen </w:t>
      </w:r>
      <w:r>
        <w:lastRenderedPageBreak/>
        <w:t>crossing. Time Series Foundation Models (TSFMs) offer an alternative. A TSFM is a large Transformer pretrained on a massive, heterogeneous corpus of time series, which endows it with a broad prior over temporal dynamics that transfers with little target data. Concretely, a series is partitioned into non-overlapping patches, and each patch p_i is embedded into a token,</w:t>
      </w:r>
    </w:p>
    <w:p w14:paraId="197F66D6"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e</m:t>
            </m:r>
          </m:sub>
        </m:sSub>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i</m:t>
            </m:r>
          </m:sub>
        </m:sSub>
      </m:oMath>
      <w:r>
        <w:tab/>
        <w:t>(6)</w:t>
      </w:r>
    </w:p>
    <w:p w14:paraId="4798D1CB" w14:textId="77777777" w:rsidR="00E60AAC" w:rsidRDefault="00E60AAC" w:rsidP="00E60AAC">
      <w:pPr>
        <w:ind w:firstLine="480"/>
      </w:pPr>
      <w:r>
        <w:t>after which the model is pretrained to forecast the next patch autoregressively. This next-token objective produces reusable representations of trend, seasonality and transient structure that a downstream fault-prognosis task can inherit rather than relearn. We adopt Timer-XL as the backbone and additionally consider two architecturally distinct TSFMs, Time-MoE, a decoder-only mixture-of-experts, and Sundial, a generative flow-matching forecaster, as zero-shot references. Despite their shared promise, a single TSFM is not uniformly reliable under few-shot adaptation, because its forecasting target still carries the non-stationary operating level that scarce fault data cannot pin down. This limitation is not removed by averaging backbones; it is removed by transforming the target itself. The next section develops an operator-augmented framework that does exactly this.</w:t>
      </w:r>
    </w:p>
    <w:p w14:paraId="4CB53F79" w14:textId="77777777" w:rsidR="00E60AAC" w:rsidRDefault="00E60AAC" w:rsidP="00E60AAC">
      <w:pPr>
        <w:pStyle w:val="1"/>
      </w:pPr>
      <w:r>
        <w:t>3.</w:t>
      </w:r>
      <w:r>
        <w:tab/>
        <w:t>The proposed method</w:t>
      </w:r>
    </w:p>
    <w:p w14:paraId="6050DFEB" w14:textId="77777777" w:rsidR="00E60AAC" w:rsidRDefault="00E60AAC" w:rsidP="00E60AAC">
      <w:pPr>
        <w:pStyle w:val="2"/>
      </w:pPr>
      <w:r>
        <w:t>3.1</w:t>
      </w:r>
      <w:r>
        <w:tab/>
        <w:t>Few-Shot Alignment of TSFMs</w:t>
      </w:r>
    </w:p>
    <w:p w14:paraId="19AB27D8" w14:textId="77777777" w:rsidR="00E60AAC" w:rsidRDefault="00E60AAC" w:rsidP="00E60AAC">
      <w:pPr>
        <w:ind w:firstLine="480"/>
      </w:pPr>
      <w:r>
        <w:t>The proposed framework, illustrated in Fig. 1, adapts a pretrained TSFM to the target fault and then combines complementary differencing operators through a decision-level union rule. This subsection concerns the first stage, in which the backbone is aligned to the target unit. A pretrained TSFM encodes generic dynamics but has never seen the specific unit or the specific fault. Full retraining on scarce fault data would destroy the prior, whereas pure zero-shot inference ignores unit-specific behaviour. We therefore align the backbone by lightweight supervised fine-tuning initialized from its pretrained weights θ₀,</w:t>
      </w:r>
    </w:p>
    <w:p>
      <w:pPr>
        <w:ind w:firstLine="480"/>
      </w:pPr>
      <w:r>
        <w:t xml:space="preserve">[[ FIGURE 1 PLACEHOLDER — insert image here ]]</w:t>
      </w:r>
    </w:p>
    <w:p>
      <w:pPr>
        <w:ind w:firstLine="480"/>
      </w:pPr>
      <w:r>
        <w:t xml:space="preserve">Fig. 1. Overview of the operator-augmented ensemble. A pretrained TSFM is few-shot aligned to the target unit, exposed through the raw, difference, and second-difference operators; the difference and second-difference alarm decisions are then fused by the direction-aware union rule into the early-warning decision.</w:t>
      </w:r>
    </w:p>
    <w:p w14:paraId="56244B68" w14:textId="77777777" w:rsidR="00E60AAC" w:rsidRDefault="00E60AAC" w:rsidP="00E60AAC">
      <w:pPr>
        <w:tabs>
          <w:tab w:val="center" w:pos="4110"/>
          <w:tab w:val="right" w:pos="8220"/>
        </w:tabs>
        <w:ind w:firstLine="480"/>
      </w:pPr>
      <w:r>
        <w:lastRenderedPageBreak/>
        <w:tab/>
      </w:r>
      <m:oMath>
        <m:sSup>
          <m:sSupPr>
            <m:ctrlPr>
              <w:rPr>
                <w:rFonts w:ascii="Cambria Math" w:hAnsi="Cambria Math"/>
              </w:rPr>
            </m:ctrlPr>
          </m:sSupPr>
          <m:e>
            <m:r>
              <w:rPr>
                <w:rFonts w:ascii="Cambria Math" w:hAnsi="Cambria Math"/>
              </w:rPr>
              <m:t>θ</m:t>
            </m:r>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r>
              <w:rPr>
                <w:rFonts w:ascii="Cambria Math" w:hAnsi="Cambria Math"/>
              </w:rPr>
              <m:t>θ</m:t>
            </m:r>
          </m:sub>
        </m:sSub>
        <m:r>
          <w:rPr>
            <w:rFonts w:ascii="Cambria Math" w:hAnsi="Cambria Math"/>
          </w:rPr>
          <m:t> </m:t>
        </m:r>
        <m:f>
          <m:fPr>
            <m:ctrlPr>
              <w:rPr>
                <w:rFonts w:ascii="Cambria Math" w:hAnsi="Cambria Math"/>
              </w:rPr>
            </m:ctrlPr>
          </m:fPr>
          <m:num>
            <m:r>
              <w:rPr>
                <w:rFonts w:ascii="Cambria Math" w:hAnsi="Cambria Math"/>
              </w:rPr>
              <m:t>1</m:t>
            </m:r>
          </m:num>
          <m:den>
            <m:r>
              <m:rPr>
                <m:scr m:val="script"/>
                <m:sty m:val="p"/>
              </m:rPr>
              <w:rPr>
                <w:rFonts w:ascii="Cambria Math" w:hAnsi="Cambria Math"/>
              </w:rPr>
              <m:t>|S|</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t</m:t>
                </m:r>
              </m:sub>
            </m:sSub>
            <m:r>
              <m:rPr>
                <m:scr m:val="script"/>
                <m:sty m:val="p"/>
              </m:rPr>
              <w:rPr>
                <w:rFonts w:ascii="Cambria Math" w:hAnsi="Cambria Math"/>
              </w:rPr>
              <m:t>∈S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 θ</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0</m:t>
            </m:r>
          </m:sub>
        </m:sSub>
      </m:oMath>
      <w:r>
        <w:tab/>
        <w:t>(7)</w:t>
      </w:r>
    </w:p>
    <w:p w14:paraId="496DA8A0" w14:textId="77777777" w:rsidR="00E60AAC" w:rsidRDefault="00E60AAC" w:rsidP="00E60AAC">
      <w:pPr>
        <w:ind w:firstLine="480"/>
      </w:pPr>
      <w:r>
        <w:t>A deliberately small learning rate (5×10⁻⁶) with a cosine schedule keeps the adaptation in the neighbourhood of the prior, so the backbone specializes to the fault without catastrophic forgetting of what pretraining taught it. The few-shot subset itself is constructed to make the data-scaling study rigorous. It is drawn once by a seeded permutation and reused in a nested fashion across ratios,</w:t>
      </w:r>
    </w:p>
    <w:p w14:paraId="0EEAE5C8" w14:textId="77777777" w:rsidR="00E60AAC" w:rsidRDefault="00E60AAC" w:rsidP="00E60AAC">
      <w:pPr>
        <w:tabs>
          <w:tab w:val="center" w:pos="4110"/>
          <w:tab w:val="right" w:pos="8220"/>
        </w:tabs>
        <w:ind w:firstLine="480"/>
      </w:pPr>
      <w:r>
        <w:tab/>
      </w:r>
      <m:oMath>
        <m:sSub>
          <m:sSubPr>
            <m:ctrlPr>
              <w:rPr>
                <w:rFonts w:ascii="Cambria Math" w:hAnsi="Cambria Math"/>
              </w:rPr>
            </m:ctrlPr>
          </m:sSubPr>
          <m:e>
            <m:r>
              <m:rPr>
                <m:scr m:val="script"/>
                <m:sty m:val="p"/>
              </m:rPr>
              <w:rPr>
                <w:rFonts w:ascii="Cambria Math" w:hAnsi="Cambria Math"/>
              </w:rPr>
              <m:t>S</m:t>
            </m:r>
          </m:e>
          <m:sub>
            <m:r>
              <w:rPr>
                <w:rFonts w:ascii="Cambria Math" w:hAnsi="Cambria Math"/>
              </w:rPr>
              <m:t>ρ</m:t>
            </m:r>
          </m:sub>
        </m:sSub>
        <m:r>
          <m:rPr>
            <m:sty m:val="p"/>
          </m:rPr>
          <w:rPr>
            <w:rFonts w:ascii="Cambria Math" w:hAnsi="Cambria Math"/>
          </w:rPr>
          <m:t>=sort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π</m:t>
                </m:r>
              </m:e>
              <m:sub>
                <m:r>
                  <w:rPr>
                    <w:rFonts w:ascii="Cambria Math" w:hAnsi="Cambria Math"/>
                  </w:rPr>
                  <m:t>2021</m:t>
                </m:r>
              </m:sub>
            </m:sSub>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ρN</m:t>
            </m:r>
            <m:r>
              <m:rPr>
                <m:sty m:val="p"/>
              </m:rPr>
              <w:rPr>
                <w:rFonts w:ascii="Cambria Math" w:hAnsi="Cambria Math"/>
              </w:rPr>
              <m:t>⌋</m:t>
            </m:r>
            <m:r>
              <w:rPr>
                <w:rFonts w:ascii="Cambria Math" w:hAnsi="Cambria Math"/>
              </w:rPr>
              <m:t> </m:t>
            </m:r>
            <m:r>
              <m:rPr>
                <m:sty m:val="p"/>
              </m:rPr>
              <w:rPr>
                <w:rFonts w:ascii="Cambria Math" w:hAnsi="Cambria Math"/>
              </w:rPr>
              <m:t>]</m:t>
            </m:r>
          </m:e>
        </m:d>
        <m:r>
          <m:rPr>
            <m:sty m:val="p"/>
          </m:rPr>
          <w:rPr>
            <w:rFonts w:ascii="Cambria Math" w:hAnsi="Cambria Math"/>
          </w:rPr>
          <m:t>,</m:t>
        </m:r>
        <m:r>
          <w:rPr>
            <w:rFonts w:ascii="Cambria Math" w:hAnsi="Cambria Math"/>
          </w:rPr>
          <m:t>  </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1</m:t>
                </m:r>
              </m:sub>
            </m:sSub>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S</m:t>
            </m:r>
          </m:e>
          <m:sub>
            <m:sSub>
              <m:sSubPr>
                <m:ctrlPr>
                  <w:rPr>
                    <w:rFonts w:ascii="Cambria Math" w:hAnsi="Cambria Math"/>
                  </w:rPr>
                </m:ctrlPr>
              </m:sSubPr>
              <m:e>
                <m:r>
                  <w:rPr>
                    <w:rFonts w:ascii="Cambria Math" w:hAnsi="Cambria Math"/>
                  </w:rPr>
                  <m:t>ρ</m:t>
                </m:r>
              </m:e>
              <m:sub>
                <m:r>
                  <w:rPr>
                    <w:rFonts w:ascii="Cambria Math" w:hAnsi="Cambria Math"/>
                  </w:rPr>
                  <m:t>2</m:t>
                </m:r>
              </m:sub>
            </m:sSub>
          </m:sub>
        </m:sSub>
        <m:r>
          <w:rPr>
            <w:rFonts w:ascii="Cambria Math" w:hAnsi="Cambria Math"/>
          </w:rPr>
          <m:t>  </m:t>
        </m:r>
        <m:r>
          <m:rPr>
            <m:nor/>
          </m:rPr>
          <m:t>for</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2</m:t>
            </m:r>
          </m:sub>
        </m:sSub>
      </m:oMath>
      <w:r>
        <w:tab/>
        <w:t>(8)</w:t>
      </w:r>
    </w:p>
    <w:p w14:paraId="647DF375" w14:textId="77777777" w:rsidR="00E60AAC" w:rsidRDefault="00E60AAC" w:rsidP="00E60AAC">
      <w:pPr>
        <w:ind w:firstLine="480"/>
      </w:pPr>
      <w:r>
        <w:t>Notably, windows are sampled uniformly across all training runs rather than taken as an early prefix, so fault-region windows are represented even at tiny ρ, and the strict nesting guarantees that the amount of data is the only variable changing along the few-shot curve. Before entering the backbone, each window is instance-normalized,</w:t>
      </w:r>
    </w:p>
    <w:p w14:paraId="4EF1CC7C" w14:textId="77777777" w:rsidR="00E60AAC" w:rsidRDefault="00E60AAC" w:rsidP="00E60AAC">
      <w:pPr>
        <w:tabs>
          <w:tab w:val="center" w:pos="4110"/>
          <w:tab w:val="right" w:pos="8220"/>
        </w:tabs>
        <w:ind w:firstLine="480"/>
      </w:pPr>
      <w:r>
        <w:tab/>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-mean(</m:t>
            </m:r>
            <m:r>
              <w:rPr>
                <w:rFonts w:ascii="Cambria Math" w:hAnsi="Cambria Math"/>
              </w:rPr>
              <m:t>x</m:t>
            </m:r>
            <m:r>
              <m:rPr>
                <m:sty m:val="p"/>
              </m:rPr>
              <w:rPr>
                <w:rFonts w:ascii="Cambria Math" w:hAnsi="Cambria Math"/>
              </w:rPr>
              <m:t>)</m:t>
            </m:r>
          </m:num>
          <m:den>
            <m:rad>
              <m:radPr>
                <m:degHide m:val="1"/>
                <m:ctrlPr>
                  <w:rPr>
                    <w:rFonts w:ascii="Cambria Math" w:hAnsi="Cambria Math"/>
                  </w:rPr>
                </m:ctrlPr>
              </m:radPr>
              <m:deg/>
              <m:e>
                <m:r>
                  <m:rPr>
                    <m:sty m:val="p"/>
                  </m:rPr>
                  <w:rPr>
                    <w:rFonts w:ascii="Cambria Math" w:hAnsi="Cambria Math"/>
                  </w:rPr>
                  <m:t>var(</m:t>
                </m:r>
                <m:r>
                  <w:rPr>
                    <w:rFonts w:ascii="Cambria Math" w:hAnsi="Cambria Math"/>
                  </w:rPr>
                  <m:t>x</m:t>
                </m:r>
                <m:r>
                  <m:rPr>
                    <m:sty m:val="p"/>
                  </m:rPr>
                  <w:rPr>
                    <w:rFonts w:ascii="Cambria Math" w:hAnsi="Cambria Math"/>
                  </w:rPr>
                  <m:t>)+</m:t>
                </m:r>
                <m:r>
                  <w:rPr>
                    <w:rFonts w:ascii="Cambria Math" w:hAnsi="Cambria Math"/>
                  </w:rPr>
                  <m:t>ϵ</m:t>
                </m:r>
              </m:e>
            </m:rad>
          </m:den>
        </m:f>
      </m:oMath>
      <w:r>
        <w:tab/>
        <w:t>(9)</w:t>
      </w:r>
    </w:p>
    <w:p w14:paraId="2D3E89FD" w14:textId="77777777" w:rsidR="00E60AAC" w:rsidRDefault="00E60AAC" w:rsidP="00E60AAC">
      <w:pPr>
        <w:ind w:firstLine="480"/>
      </w:pPr>
      <w:r>
        <w:t>which normalizes away the window-specific level and scale that would otherwise dominate the input. Importantly, the standardiser and the control limits of Eq. (3) are fit on the full normal record, not on the few-shot subset, reflecting the physical reality that normal-operation data are abundant while fault-adaptation data are scarce. Because the permutation depends only on the seed and the shared window count, every backbone and every view is aligned on identical windows, which turns the downstream fusion into a strictly controlled comparison.</w:t>
      </w:r>
    </w:p>
    <w:p w14:paraId="534079B0" w14:textId="77777777" w:rsidR="00E60AAC" w:rsidRDefault="00E60AAC" w:rsidP="00E60AAC">
      <w:pPr>
        <w:pStyle w:val="2"/>
      </w:pPr>
      <w:r>
        <w:t>3.2</w:t>
        <w:tab/>
        <w:t>Operator Pool</w:t>
      </w:r>
    </w:p>
    <w:p w14:paraId="6B89396A" w14:textId="77777777" w:rsidR="00E60AAC" w:rsidRDefault="00E60AAC" w:rsidP="00E60AAC">
      <w:pPr>
        <w:ind w:firstLine="480"/>
      </w:pPr>
      <w:r>
        <w:t>A single aligned backbone, however well adapted, still commits to one view of the dynamics and inherits its bias. Instead of forecasting the raw series alone, we expose the backbone through a small pool of differencing operators, each a distinct view of the same dynamics.</w:t>
      </w:r>
    </w:p>
    <w:p w14:paraId="009AEE99" w14:textId="77777777" w:rsidR="00E60AAC" w:rsidRDefault="00E60AAC" w:rsidP="00E60AAC">
      <w:pPr>
        <w:ind w:firstLine="480"/>
      </w:pPr>
      <w:r>
        <w:t>These views are exposed behind a uniform prediction contract, a forecast of identical shape and scale, so the fusion that follows never needs to know which view produced a trajectory. The views form a kinematic ladder. The raw operator sees position, the difference operator sees velocity, and the second-difference operator sees the acceleration that marks a fault onset. Because they disagree exactly where prognosis is decided, near the onset, their combination is informative.</w:t>
      </w:r>
    </w:p>
    <w:p w14:paraId="52C01A47" w14:textId="77777777" w:rsidR="00E60AAC" w:rsidRDefault="00E60AAC" w:rsidP="00E60AAC">
      <w:pPr>
        <w:ind w:firstLine="480"/>
      </w:pPr>
      <w:r>
        <w:t>The target drifts smoothly during normal operation but accelerates as the fault matures. A forecaster fitted to the raw series captures the level and the slow structure faithfully, yet it reacts sluggishly at the onset of rapid change, because a small early deviation is dwarfed by the standing level. The raw operator forecasts the series as observed,</w:t>
      </w:r>
    </w:p>
    <w:p w14:paraId="2EBD0690" w14:textId="77777777" w:rsidR="00E60AAC" w:rsidRDefault="00E60AAC" w:rsidP="00E60AAC">
      <w:pPr>
        <w:tabs>
          <w:tab w:val="center" w:pos="4110"/>
          <w:tab w:val="right" w:pos="8220"/>
        </w:tabs>
        <w:ind w:firstLine="480"/>
      </w:pPr>
      <w:r>
        <w:tab/>
      </w:r>
      <m:oMath>
        <m:sSup>
          <m:sSupPr>
            <m:ctrlPr>
              <w:rPr>
                <w:rFonts w:ascii="Cambria Math" w:hAnsi="Cambria Math"/>
              </w:rPr>
            </m:ctrlPr>
          </m:sSupPr>
          <m:e>
            <m:acc>
              <m:accPr>
                <m:ctrlPr>
                  <w:rPr>
                    <w:rFonts w:ascii="Cambria Math" w:hAnsi="Cambria Math"/>
                  </w:rPr>
                </m:ctrlPr>
              </m:accPr>
              <m:e>
                <m:r>
                  <w:rPr>
                    <w:rFonts w:ascii="Cambria Math" w:hAnsi="Cambria Math"/>
                  </w:rPr>
                  <m:t>y</m:t>
                </m:r>
              </m:e>
            </m:acc>
          </m:e>
          <m:sup>
            <m:r>
              <w:rPr>
                <w:rFonts w:ascii="Cambria Math" w:hAnsi="Cambria Math"/>
              </w:rPr>
              <m:t> </m:t>
            </m:r>
            <m:r>
              <m:rPr>
                <m:sty m:val="p"/>
              </m:rPr>
              <w:rPr>
                <w:rFonts w:ascii="Cambria Math" w:hAnsi="Cambria Math"/>
              </w:rPr>
              <m:t>raw</m:t>
            </m:r>
          </m:sup>
        </m:sSup>
        <m:r>
          <m:rPr>
            <m:sty m:val="p"/>
          </m:rPr>
          <w:rPr>
            <w:rFonts w:ascii="Cambria Math" w:hAnsi="Cambria Math"/>
          </w:rPr>
          <m:t>=</m:t>
        </m:r>
        <m:sSub>
          <m:sSubPr>
            <m:ctrlPr>
              <w:rPr>
                <w:rFonts w:ascii="Cambria Math" w:hAnsi="Cambria Math"/>
              </w:rPr>
            </m:ctrlPr>
          </m:sSubPr>
          <m:e>
            <m:r>
              <w:rPr>
                <w:rFonts w:ascii="Cambria Math" w:hAnsi="Cambria Math"/>
              </w:rPr>
              <m:t>F</m:t>
            </m:r>
          </m:e>
          <m:sub>
            <m:sSub>
              <m:sSubPr>
                <m:ctrlPr>
                  <w:rPr>
                    <w:rFonts w:ascii="Cambria Math" w:hAnsi="Cambria Math"/>
                  </w:rPr>
                </m:ctrlPr>
              </m:sSubPr>
              <m:e>
                <m:r>
                  <w:rPr>
                    <w:rFonts w:ascii="Cambria Math" w:hAnsi="Cambria Math"/>
                  </w:rPr>
                  <m:t>θ</m:t>
                </m:r>
              </m:e>
              <m:sub>
                <m:r>
                  <m:rPr>
                    <m:sty m:val="p"/>
                  </m:rPr>
                  <w:rPr>
                    <w:rFonts w:ascii="Cambria Math" w:hAnsi="Cambria Math"/>
                  </w:rPr>
                  <m:t>raw</m:t>
                </m:r>
              </m:sub>
            </m:sSub>
          </m:sub>
        </m:sSub>
        <m:r>
          <m:rPr>
            <m:sty m:val="p"/>
          </m:rPr>
          <w:rPr>
            <w:rFonts w:ascii="Cambria Math" w:hAnsi="Cambria Math"/>
          </w:rPr>
          <m:t>(</m:t>
        </m:r>
        <m:r>
          <w:rPr>
            <w:rFonts w:ascii="Cambria Math" w:hAnsi="Cambria Math"/>
          </w:rPr>
          <m:t>X</m:t>
        </m:r>
        <m:r>
          <m:rPr>
            <m:sty m:val="p"/>
          </m:rPr>
          <w:rPr>
            <w:rFonts w:ascii="Cambria Math" w:hAnsi="Cambria Math"/>
          </w:rPr>
          <m:t>)</m:t>
        </m:r>
      </m:oMath>
      <w:r>
        <w:tab/>
        <w:t>(10)</w:t>
      </w:r>
    </w:p>
    <w:p w14:paraId="24B18F6A" w14:textId="77777777" w:rsidR="00E60AAC" w:rsidRDefault="00E60AAC" w:rsidP="00E60AAC">
      <w:pPr>
        <w:ind w:firstLine="480"/>
      </w:pPr>
      <w:r>
        <w:t>providing the level view. The difference operator instead forecasts the first difference dₜ = xₜ − xₜ₋₁ and reconstructs the target trajectory by anchored cumulative summation from the last observed value,</w:t>
      </w:r>
    </w:p>
    <w:p w14:paraId="4AD7ABD3" w14:textId="77777777" w:rsidR="00E60AAC" w:rsidRDefault="00E60AAC" w:rsidP="00E60AAC">
      <w:pPr>
        <w:tabs>
          <w:tab w:val="center" w:pos="4110"/>
          <w:tab w:val="right" w:pos="8220"/>
        </w:tabs>
        <w:ind w:firstLine="480"/>
      </w:pPr>
      <w:r>
        <w:tab/>
      </w:r>
      <m:oMath>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diff</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h</m:t>
            </m:r>
          </m:sup>
          <m:e>
            <m:sSub>
              <m:sSubPr>
                <m:ctrlPr>
                  <w:rPr>
                    <w:rFonts w:ascii="Cambria Math" w:hAnsi="Cambria Math"/>
                  </w:rPr>
                </m:ctrlPr>
              </m:sSubPr>
              <m:e>
                <m:acc>
                  <m:accPr>
                    <m:ctrlPr>
                      <w:rPr>
                        <w:rFonts w:ascii="Cambria Math" w:hAnsi="Cambria Math"/>
                      </w:rPr>
                    </m:ctrlPr>
                  </m:accPr>
                  <m:e>
                    <m:r>
                      <w:rPr>
                        <w:rFonts w:ascii="Cambria Math" w:hAnsi="Cambria Math"/>
                      </w:rPr>
                      <m:t>d</m:t>
                    </m:r>
                  </m:e>
                </m:acc>
              </m:e>
              <m:sub>
                <m:r>
                  <w:rPr>
                    <w:rFonts w:ascii="Cambria Math" w:hAnsi="Cambria Math"/>
                  </w:rPr>
                  <m:t>t</m:t>
                </m:r>
                <m:r>
                  <m:rPr>
                    <m:sty m:val="p"/>
                  </m:rPr>
                  <w:rPr>
                    <w:rFonts w:ascii="Cambria Math" w:hAnsi="Cambria Math"/>
                  </w:rPr>
                  <m:t>+</m:t>
                </m:r>
                <m:r>
                  <w:rPr>
                    <w:rFonts w:ascii="Cambria Math" w:hAnsi="Cambria Math"/>
                  </w:rPr>
                  <m:t>j</m:t>
                </m:r>
              </m:sub>
            </m:sSub>
          </m:e>
        </m:nary>
      </m:oMath>
      <w:r>
        <w:tab/>
        <w:t>(11)</w:t>
      </w:r>
    </w:p>
    <w:p w14:paraId="4EE7A115" w14:textId="77777777" w:rsidR="00E60AAC" w:rsidRDefault="00E60AAC" w:rsidP="00E60AAC">
      <w:pPr>
        <w:ind w:firstLine="480"/>
      </w:pPr>
      <w:r>
        <w:t>so that the operator becomes sensitive to incipient drift, the velocity view that the raw operator tends to smooth away. Velocity alone, however, still lags a curving onset, because the bend that precedes an alarm is a change in the rate itself.</w:t>
      </w:r>
    </w:p>
    <w:p>
      <w:r>
        <w:t xml:space="preserve">The acceleration operator therefore forecasts the second difference,</w:t>
      </w:r>
    </w:p>
    <w:p>
      <w:pPr>
        <w:tabs>
          <w:tab w:val="center" w:pos="4110"/>
          <w:tab w:val="right" w:pos="8220"/>
        </w:tabs>
        <w:ind w:firstLine="480"/>
      </w:pPr>
      <w:r>
        <w:tab/>
      </w:r>
      <m:oMath>
        <m:sSup>
          <m:e>
            <m:r>
              <m:rPr>
                <m:sty m:val="p"/>
              </m:rPr>
              <m:t>∇</m:t>
            </m:r>
          </m:e>
          <m:sup>
            <m:r>
              <m:t>2</m:t>
            </m:r>
          </m:sup>
        </m:sSup>
        <m:sSub>
          <m:e>
            <m:r>
              <m:t>y</m:t>
            </m:r>
          </m:e>
          <m:sub>
            <m:r>
              <m:t>t</m:t>
            </m:r>
          </m:sub>
        </m:sSub>
        <m:r>
          <m:rPr>
            <m:sty m:val="p"/>
          </m:rPr>
          <m:t>=</m:t>
        </m:r>
        <m:sSub>
          <m:e>
            <m:r>
              <m:t>y</m:t>
            </m:r>
          </m:e>
          <m:sub>
            <m:r>
              <m:t>t</m:t>
            </m:r>
          </m:sub>
        </m:sSub>
        <m:r>
          <m:rPr>
            <m:sty m:val="p"/>
          </m:rPr>
          <m:t>−</m:t>
        </m:r>
        <m:r>
          <m:t>2</m:t>
        </m:r>
        <m:sSub>
          <m:e>
            <m:r>
              <m:t>y</m:t>
            </m:r>
          </m:e>
          <m:sub>
            <m:r>
              <m:t>t</m:t>
            </m:r>
            <m:r>
              <m:rPr>
                <m:sty m:val="p"/>
              </m:rPr>
              <m:t>−</m:t>
            </m:r>
            <m:r>
              <m:t>1</m:t>
            </m:r>
          </m:sub>
        </m:sSub>
        <m:r>
          <m:rPr>
            <m:sty m:val="p"/>
          </m:rPr>
          <m:t>+</m:t>
        </m:r>
        <m:sSub>
          <m:e>
            <m:r>
              <m:t>y</m:t>
            </m:r>
          </m:e>
          <m:sub>
            <m:r>
              <m:t>t</m:t>
            </m:r>
            <m:r>
              <m:rPr>
                <m:sty m:val="p"/>
              </m:rPr>
              <m:t>−</m:t>
            </m:r>
            <m:r>
              <m:t>2</m:t>
            </m:r>
          </m:sub>
        </m:sSub>
      </m:oMath>
      <w:r>
        <w:tab/>
        <w:t xml:space="preserve">(12)</w:t>
      </w:r>
    </w:p>
    <w:p>
      <w:r>
        <w:t xml:space="preserve">and restores the target by anchored double summation from the last observed value y_t and the last observed first difference d_t,</w:t>
      </w:r>
    </w:p>
    <w:p>
      <w:pPr>
        <w:tabs>
          <w:tab w:val="center" w:pos="4110"/>
          <w:tab w:val="right" w:pos="8220"/>
        </w:tabs>
        <w:ind w:firstLine="480"/>
      </w:pPr>
      <w:r>
        <w:tab/>
      </w:r>
      <m:oMath>
        <m:sSub>
          <m:e>
            <m:acc>
              <m:accPr>
                <m:chr m:val="̂"/>
              </m:accPr>
              <m:e>
                <m:r>
                  <m:t>y</m:t>
                </m:r>
              </m:e>
            </m:acc>
          </m:e>
          <m:sub>
            <m:r>
              <m:t>t</m:t>
            </m:r>
            <m:r>
              <m:rPr>
                <m:sty m:val="p"/>
              </m:rPr>
              <m:t>+</m:t>
            </m:r>
            <m:r>
              <m:t>h</m:t>
            </m:r>
          </m:sub>
        </m:sSub>
        <m:r>
          <m:rPr>
            <m:sty m:val="p"/>
          </m:rPr>
          <m:t>=</m:t>
        </m:r>
        <m:sSub>
          <m:e>
            <m:r>
              <m:t>y</m:t>
            </m:r>
          </m:e>
          <m:sub>
            <m:r>
              <m:t>t</m:t>
            </m:r>
          </m:sub>
        </m:sSub>
        <m:r>
          <m:rPr>
            <m:sty m:val="p"/>
          </m:rPr>
          <m:t>+</m:t>
        </m:r>
        <m:nary>
          <m:naryPr>
            <m:chr m:val="∑"/>
            <m:limLoc m:val="undOvr"/>
            <m:subHide m:val="off"/>
            <m:supHide m:val="off"/>
          </m:naryPr>
          <m:sub>
            <m:r>
              <m:t>k</m:t>
            </m:r>
            <m:r>
              <m:rPr>
                <m:sty m:val="p"/>
              </m:rPr>
              <m:t>=</m:t>
            </m:r>
            <m:r>
              <m:t>1</m:t>
            </m:r>
          </m:sub>
          <m:sup>
            <m:r>
              <m:t>h</m:t>
            </m:r>
          </m:sup>
          <m:e>
            <m:d>
              <m:dPr>
                <m:begChr m:val="["/>
                <m:sepChr m:val=""/>
                <m:endChr m:val="]"/>
                <m:grow/>
              </m:dPr>
              <m:e>
                <m:r>
                  <m:t> </m:t>
                </m:r>
                <m:sSub>
                  <m:e>
                    <m:r>
                      <m:t>d</m:t>
                    </m:r>
                  </m:e>
                  <m:sub>
                    <m:r>
                      <m:t>t</m:t>
                    </m:r>
                  </m:sub>
                </m:sSub>
                <m:r>
                  <m:rPr>
                    <m:sty m:val="p"/>
                  </m:rPr>
                  <m:t>+</m:t>
                </m:r>
                <m:nary>
                  <m:naryPr>
                    <m:chr m:val="∑"/>
                    <m:limLoc m:val="undOvr"/>
                    <m:subHide m:val="off"/>
                    <m:supHide m:val="off"/>
                  </m:naryPr>
                  <m:sub>
                    <m:r>
                      <m:t>j</m:t>
                    </m:r>
                    <m:r>
                      <m:rPr>
                        <m:sty m:val="p"/>
                      </m:rPr>
                      <m:t>=</m:t>
                    </m:r>
                    <m:r>
                      <m:t>1</m:t>
                    </m:r>
                  </m:sub>
                  <m:sup>
                    <m:r>
                      <m:t>k</m:t>
                    </m:r>
                  </m:sup>
                  <m:e>
                    <m:sSub>
                      <m:e>
                        <m:acc>
                          <m:accPr>
                            <m:chr m:val="̂"/>
                          </m:accPr>
                          <m:e>
                            <m:r>
                              <m:t>g</m:t>
                            </m:r>
                          </m:e>
                        </m:acc>
                      </m:e>
                      <m:sub>
                        <m:r>
                          <m:t>t</m:t>
                        </m:r>
                        <m:r>
                          <m:rPr>
                            <m:sty m:val="p"/>
                          </m:rPr>
                          <m:t>+</m:t>
                        </m:r>
                        <m:r>
                          <m:t>j</m:t>
                        </m:r>
                      </m:sub>
                    </m:sSub>
                  </m:e>
                </m:nary>
              </m:e>
            </m:d>
          </m:e>
        </m:nary>
        <m:r>
          <m:rPr>
            <m:sty m:val="p"/>
          </m:rPr>
          <m:t>,</m:t>
        </m:r>
        <m:r>
          <m:t> </m:t>
        </m:r>
        <m:r>
          <m:t>h</m:t>
        </m:r>
        <m:r>
          <m:rPr>
            <m:sty m:val="p"/>
          </m:rPr>
          <m:t>=</m:t>
        </m:r>
        <m:r>
          <m:t>1</m:t>
        </m:r>
        <m:r>
          <m:rPr>
            <m:sty m:val="p"/>
          </m:rPr>
          <m:t>,</m:t>
        </m:r>
        <m:r>
          <m:rPr>
            <m:sty m:val="p"/>
          </m:rPr>
          <m:t>…</m:t>
        </m:r>
        <m:r>
          <m:rPr>
            <m:sty m:val="p"/>
          </m:rPr>
          <m:t>,</m:t>
        </m:r>
        <m:r>
          <m:t>H</m:t>
        </m:r>
      </m:oMath>
      <w:r>
        <w:tab/>
        <w:t xml:space="preserve">(13)</w:t>
      </w:r>
    </w:p>
    <w:p>
      <w:r>
        <w:t xml:space="preserve">where ĝ is the forecast second difference. Second-order differencing removes both the operating level and the linear drift from the forecasting target, leaving a near-stationary, low-amplitude residual. The backbone then fits only the shape of the onset rather than relearning the operating level from scarce fault windows, which is the source of the data efficiency reported in Section 5.</w:t>
      </w:r>
    </w:p>
    <w:p w14:paraId="271B7DE5" w14:textId="77777777" w:rsidR="00E60AAC" w:rsidRDefault="00E60AAC" w:rsidP="00E60AAC">
      <w:pPr>
        <w:ind w:firstLine="480"/>
      </w:pPr>
      <w:r>
        <w:t>Two architecturally distinct foundation models, Time-MoE and Sundial, are additionally evaluated as zero-shot references on the target variable. They are not fused into the prognostic decision, but they calibrate how much of the framework's performance comes from foundation-model pretraining alone and how much from the operator augmentation. The pool is open by construction, since any forecaster that respects the prediction contract can be added without altering the fusion logic.</w:t>
      </w:r>
    </w:p>
    <w:p w14:paraId="2CE9884E" w14:textId="77777777" w:rsidR="00E60AAC" w:rsidRDefault="00E60AAC" w:rsidP="00E60AAC">
      <w:pPr>
        <w:pStyle w:val="2"/>
      </w:pPr>
      <w:r>
        <w:t>3.3</w:t>
        <w:tab/>
        <w:t>Prognosis Decision Rule and Union Fusion</w:t>
      </w:r>
    </w:p>
    <w:p w14:paraId="161EDB2D" w14:textId="77777777" w:rsidR="00E60AAC" w:rsidRDefault="00E60AAC" w:rsidP="00E60AAC">
      <w:pPr>
        <w:ind w:firstLine="480"/>
      </w:pPr>
      <w:r>
        <w:t>The forecasts assembled so far are continuous trajectories, whereas a prognostic system must emit a discrete early-warning decision. This subsection first maps a single operator's forecast to an alarm decision, together with the lead-time and false-alarm quantities on which the evaluation rests, and then defines the union rule that fuses the velocity and acceleration operators at the decision level. Placing the rule here, downstream of the operators, keeps the decision logic separate from the forecasting model and makes explicit that the same rule is applied identically to every operator and baseline.</w:t>
      </w:r>
    </w:p>
    <w:p w14:paraId="38CB01B9" w14:textId="77777777" w:rsidR="00E60AAC" w:rsidRDefault="00E60AAC" w:rsidP="00E60AAC">
      <w:pPr>
        <w:ind w:firstLine="480"/>
      </w:pPr>
      <w:r>
        <w:t>At each decision time t an operator's forecast ŷ is compared against the healthy control band of Eq. (3). The window issues an anticipated alarm when any step within the prognosis horizon H leaves the band,</w:t>
      </w:r>
    </w:p>
    <w:p w14:paraId="5F0DEEC5" w14:textId="77777777" w:rsidR="00E60AAC" w:rsidRDefault="00E60AAC" w:rsidP="00E60AAC">
      <w:pPr>
        <w:tabs>
          <w:tab w:val="center" w:pos="4110"/>
          <w:tab w:val="right" w:pos="8220"/>
        </w:tabs>
        <w:ind w:firstLine="480"/>
      </w:pPr>
      <w:r>
        <w:tab/>
      </w:r>
      <m:oMath>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m:rPr>
            <m:sty m:val="b"/>
          </m:rPr>
          <w:rPr>
            <w:rFonts w:ascii="Cambria Math" w:hAnsi="Cambria Math"/>
          </w:rPr>
          <m:t>1</m:t>
        </m:r>
        <m:d>
          <m:dPr>
            <m:begChr m:val="["/>
            <m:endChr m:val="]"/>
            <m:ctrlPr>
              <w:rPr>
                <w:rFonts w:ascii="Cambria Math" w:hAnsi="Cambria Math"/>
              </w:rPr>
            </m:ctrlPr>
          </m:dPr>
          <m:e>
            <m:r>
              <w:rPr>
                <w:rFonts w:ascii="Cambria Math" w:hAnsi="Cambria Math"/>
              </w:rPr>
              <m:t> </m:t>
            </m:r>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H</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gate</m:t>
                </m:r>
              </m:sup>
            </m:sSubSup>
            <m:r>
              <m:rPr>
                <m:sty m:val="p"/>
              </m:rPr>
              <w:rPr>
                <w:rFonts w:ascii="Cambria Math" w:hAnsi="Cambria Math"/>
              </w:rPr>
              <m:t>&lt;</m:t>
            </m:r>
            <m:r>
              <m:rPr>
                <m:scr m:val="script"/>
              </m:rPr>
              <w:rPr>
                <w:rFonts w:ascii="Cambria Math" w:hAnsi="Cambria Math"/>
              </w:rPr>
              <m:t>l </m:t>
            </m:r>
            <m:r>
              <m:rPr>
                <m:sty m:val="p"/>
              </m:rPr>
              <w:rPr>
                <w:rFonts w:ascii="Cambria Math" w:hAnsi="Cambria Math"/>
              </w:rPr>
              <m:t>∨</m:t>
            </m:r>
            <m:r>
              <w:rPr>
                <w:rFonts w:ascii="Cambria Math" w:hAnsi="Cambria Math"/>
              </w:rPr>
              <m:t> </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gate</m:t>
                </m:r>
              </m:sup>
            </m:sSubSup>
            <m:r>
              <m:rPr>
                <m:sty m:val="p"/>
              </m:rPr>
              <w:rPr>
                <w:rFonts w:ascii="Cambria Math" w:hAnsi="Cambria Math"/>
              </w:rPr>
              <m:t>&gt;</m:t>
            </m:r>
            <m:r>
              <w:rPr>
                <w:rFonts w:ascii="Cambria Math" w:hAnsi="Cambria Math"/>
              </w:rPr>
              <m:t>u </m:t>
            </m:r>
          </m:e>
        </m:d>
      </m:oMath>
      <w:r>
        <w:tab/>
        <w:t>(14)</w:t>
      </w:r>
    </w:p>
    <w:p w14:paraId="348DF03B" w14:textId="77777777" w:rsidR="00E60AAC" w:rsidRDefault="00E60AAC" w:rsidP="00E60AAC">
      <w:pPr>
        <w:ind w:firstLine="480"/>
      </w:pPr>
      <w:r>
        <w:t>so that a single forecast trajectory yields one binary, act-or-wait decision. The earliest horizon step that breaches the band fixes the predicted crossing time,</w:t>
      </w:r>
    </w:p>
    <w:p w14:paraId="4445DA28" w14:textId="77777777" w:rsidR="00E60AAC" w:rsidRDefault="00E60AAC" w:rsidP="00E60AAC">
      <w:pPr>
        <w:tabs>
          <w:tab w:val="center" w:pos="4110"/>
          <w:tab w:val="right" w:pos="8220"/>
        </w:tabs>
        <w:ind w:firstLine="480"/>
      </w:pPr>
      <w:r>
        <w:tab/>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=min{</m:t>
        </m:r>
        <m:r>
          <w:rPr>
            <w:rFonts w:ascii="Cambria Math" w:hAnsi="Cambria Math"/>
          </w:rPr>
          <m:t> h</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y</m:t>
                </m:r>
              </m:e>
            </m:acc>
          </m:e>
          <m:sub>
            <m:r>
              <w:rPr>
                <w:rFonts w:ascii="Cambria Math" w:hAnsi="Cambria Math"/>
              </w:rPr>
              <m:t>t</m:t>
            </m:r>
            <m:r>
              <m:rPr>
                <m:sty m:val="p"/>
              </m:rPr>
              <w:rPr>
                <w:rFonts w:ascii="Cambria Math" w:hAnsi="Cambria Math"/>
              </w:rPr>
              <m:t>+</m:t>
            </m:r>
            <m:r>
              <w:rPr>
                <w:rFonts w:ascii="Cambria Math" w:hAnsi="Cambria Math"/>
              </w:rPr>
              <m:t>h</m:t>
            </m:r>
          </m:sub>
          <m:sup>
            <m:r>
              <w:rPr>
                <w:rFonts w:ascii="Cambria Math" w:hAnsi="Cambria Math"/>
              </w:rPr>
              <m:t> </m:t>
            </m:r>
            <m:r>
              <m:rPr>
                <m:sty m:val="p"/>
              </m:rPr>
              <w:rPr>
                <w:rFonts w:ascii="Cambria Math" w:hAnsi="Cambria Math"/>
              </w:rPr>
              <m:t>gate</m:t>
            </m:r>
          </m:sup>
        </m:sSubSup>
        <m:r>
          <m:rPr>
            <m:sty m:val="p"/>
          </m:rPr>
          <w:rPr>
            <w:rFonts w:ascii="Cambria Math" w:hAnsi="Cambria Math"/>
          </w:rPr>
          <m:t>∉[</m:t>
        </m:r>
        <m:r>
          <m:rPr>
            <m:scr m:val="script"/>
          </m:rP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t</m:t>
            </m:r>
          </m:sub>
        </m:sSub>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oMath>
      <w:r>
        <w:tab/>
        <w:t>(15)</w:t>
      </w:r>
    </w:p>
    <w:p w14:paraId="46CEF863" w14:textId="77777777" w:rsidR="00E60AAC" w:rsidRDefault="00E60AAC" w:rsidP="00E60AAC">
      <w:pPr>
        <w:ind w:firstLine="480"/>
      </w:pPr>
      <w:r>
        <w:t>Let τ* denote the true onset, the first time the measured target actually crosses the band. An alarm counts as a correct anticipation when it is raised before onset and still points to a crossing at or after it. Aggregating over a fault event, the system detects the event if any window satisfies this condition, and the event lead time is the interval by which the earliest such alarm precedes the true crossing,</w:t>
      </w:r>
    </w:p>
    <w:p w14:paraId="0D1BCF3A" w14:textId="77777777" w:rsidR="00E60AAC" w:rsidRDefault="00E60AAC" w:rsidP="00E60AAC">
      <w:pPr>
        <w:tabs>
          <w:tab w:val="center" w:pos="4110"/>
          <w:tab w:val="right" w:pos="8220"/>
        </w:tabs>
        <w:ind w:firstLine="480"/>
      </w:pPr>
      <w:r>
        <w:tab/>
      </w:r>
      <m:oMath>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-Δ</m:t>
        </m:r>
        <m:r>
          <w:rPr>
            <w:rFonts w:ascii="Cambria Math" w:hAnsi="Cambria Math"/>
          </w:rPr>
          <m:t>t</m:t>
        </m:r>
        <m:r>
          <m:rPr>
            <m:sty m:val="p"/>
          </m:rPr>
          <w:rPr>
            <w:rFonts w:ascii="Cambria Math" w:hAnsi="Cambria Math"/>
          </w:rPr>
          <m:t>⋅min{</m:t>
        </m:r>
        <m:r>
          <w:rPr>
            <w:rFonts w:ascii="Cambria Math" w:hAnsi="Cambria Math"/>
          </w:rPr>
          <m:t> t</m:t>
        </m:r>
        <m:r>
          <m:rPr>
            <m:sty m:val="p"/>
          </m:rPr>
          <w:rPr>
            <w:rFonts w:ascii="Cambria Math" w:hAnsi="Cambria Math"/>
          </w:rPr>
          <m:t>:</m:t>
        </m:r>
        <m:r>
          <w:rPr>
            <w:rFonts w:ascii="Cambria Math" w:hAnsi="Cambria Math"/>
          </w:rPr>
          <m:t>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t</m:t>
                </m:r>
              </m:e>
            </m:acc>
          </m:e>
          <m:sub>
            <m:r>
              <m:rPr>
                <m:sty m:val="p"/>
              </m:rPr>
              <w:rPr>
                <w:rFonts w:ascii="Cambria Math" w:hAnsi="Cambria Math"/>
              </w:rPr>
              <m:t>cross</m:t>
            </m:r>
          </m:sub>
        </m:sSub>
        <m:r>
          <m:rPr>
            <m:sty m:val="p"/>
          </m:rPr>
          <w:rPr>
            <w:rFonts w:ascii="Cambria Math" w:hAnsi="Cambria Math"/>
          </w:rPr>
          <m: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t</m:t>
            </m:r>
          </m:sub>
        </m:sSub>
        <m:r>
          <m:rPr>
            <m:sty m:val="p"/>
          </m:rPr>
          <w:rPr>
            <w:rFonts w:ascii="Cambria Math" w:hAnsi="Cambria Math"/>
          </w:rPr>
          <m:t>=</m:t>
        </m:r>
        <m:r>
          <w:rPr>
            <w:rFonts w:ascii="Cambria Math" w:hAnsi="Cambria Math"/>
          </w:rPr>
          <m:t>1 </m:t>
        </m:r>
        <m:r>
          <m:rPr>
            <m:sty m:val="p"/>
          </m:rPr>
          <w:rPr>
            <w:rFonts w:ascii="Cambria Math" w:hAnsi="Cambria Math"/>
          </w:rPr>
          <m:t>}</m:t>
        </m:r>
      </m:oMath>
      <w:r>
        <w:tab/>
        <w:t>(16)</w:t>
      </w:r>
    </w:p>
    <w:p w14:paraId="7EE98EB3" w14:textId="77777777" w:rsidR="00E60AAC" w:rsidRDefault="00E60AAC" w:rsidP="00E60AAC">
      <w:pPr>
        <w:ind w:firstLine="480"/>
      </w:pPr>
      <w:r>
        <w:t>Rewarding early, on-target warnings is precisely what a reactive, error-only objective fails to capture, which is why forecasting accuracy alone is an incomplete proxy for prognostic value. Symmetrically, an alarm raised on a window that lies entirely before onset, whose last forecast step still falls before τ*, is a false anticipation. The pre-onset false-alarm rate normalizes these against the number of such fully pre-onset windows,</w:t>
      </w:r>
    </w:p>
    <w:p w14:paraId="611476CA" w14:textId="77777777" w:rsidR="00E60AAC" w:rsidRDefault="00E60AAC" w:rsidP="00E60AAC">
      <w:pPr>
        <w:tabs>
          <w:tab w:val="center" w:pos="4110"/>
          <w:tab w:val="right" w:pos="8220"/>
        </w:tabs>
        <w:ind w:firstLine="480"/>
      </w:pPr>
      <w:r>
        <w:tab/>
      </w:r>
      <m:oMath>
        <m:r>
          <m:rPr>
            <m:sty m:val="p"/>
          </m:rPr>
          <w:rPr>
            <w:rFonts w:ascii="Cambria Math" w:hAnsi="Cambria Math"/>
          </w:rPr>
          <m:t>preFAR=</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sSub>
                  <m:sSubPr>
                    <m:ctrlPr>
                      <w:rPr>
                        <w:rFonts w:ascii="Cambria Math" w:hAnsi="Cambria Math"/>
                      </w:rPr>
                    </m:ctrlPr>
                  </m:sSubPr>
                  <m:e>
                    <m:r>
                      <w:rPr>
                        <w:rFonts w:ascii="Cambria Math" w:hAnsi="Cambria Math"/>
                      </w:rPr>
                      <m:t>A</m:t>
                    </m:r>
                  </m:e>
                  <m:sub>
                    <m:r>
                      <w:rPr>
                        <w:rFonts w:ascii="Cambria Math" w:hAnsi="Cambria Math"/>
                      </w:rPr>
                      <m:t>t</m:t>
                    </m:r>
                  </m:sub>
                </m:sSub>
              </m:e>
            </m:nary>
            <m:r>
              <w:rPr>
                <w:rFonts w:ascii="Cambria Math" w:hAnsi="Cambria Math"/>
              </w:rPr>
              <m:t> </m:t>
            </m:r>
            <m:r>
              <m:rPr>
                <m:sty m:val="b"/>
              </m:rP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num>
          <m:den>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 </m:t>
            </m:r>
            <m:r>
              <m:rPr>
                <m:sty m:val="p"/>
              </m:rPr>
              <w:rPr>
                <w:rFonts w:ascii="Cambria Math" w:hAnsi="Cambria Math"/>
              </w:rPr>
              <m:t>Δ</m:t>
            </m:r>
            <m:r>
              <w:rPr>
                <w:rFonts w:ascii="Cambria Math" w:hAnsi="Cambria Math"/>
              </w:rPr>
              <m:t>t</m:t>
            </m:r>
            <m:r>
              <m:rPr>
                <m:sty m:val="p"/>
              </m:rPr>
              <w:rPr>
                <w:rFonts w:ascii="Cambria Math" w:hAnsi="Cambria Math"/>
              </w:rPr>
              <m:t>&lt;</m:t>
            </m:r>
            <m:sSup>
              <m:sSupPr>
                <m:ctrlPr>
                  <w:rPr>
                    <w:rFonts w:ascii="Cambria Math" w:hAnsi="Cambria Math"/>
                  </w:rPr>
                </m:ctrlPr>
              </m:sSupPr>
              <m:e>
                <m:r>
                  <w:rPr>
                    <w:rFonts w:ascii="Cambria Math" w:hAnsi="Cambria Math"/>
                  </w:rPr>
                  <m:t>τ</m:t>
                </m:r>
              </m:e>
              <m:sup>
                <m:r>
                  <m:rPr>
                    <m:sty m:val="p"/>
                  </m:rPr>
                  <w:rPr>
                    <w:rFonts w:ascii="Cambria Math" w:hAnsi="Cambria Math"/>
                  </w:rPr>
                  <m:t>*</m:t>
                </m:r>
              </m:sup>
            </m:sSup>
            <m:r>
              <m:rPr>
                <m:sty m:val="p"/>
              </m:rPr>
              <w:rPr>
                <w:rFonts w:ascii="Cambria Math" w:hAnsi="Cambria Math"/>
              </w:rPr>
              <m:t>]</m:t>
            </m:r>
          </m:den>
        </m:f>
      </m:oMath>
      <w:r>
        <w:tab/>
        <w:t>(17)</w:t>
      </w:r>
    </w:p>
    <w:p>
      <w:r>
        <w:t xml:space="preserve">These per-operator quantities let us combine the operators where it counts, at the decision. The velocity and acceleration views catch different onset shapes, the velocity view leading on steady ramps and the acceleration view on curving onsets. The union rule tests the upper limit against the larger of the two forecasts and the lower limit against the smaller, and issues an anticipated alarm when either boundary is breached anywhere in the horizon,</w:t>
      </w:r>
    </w:p>
    <w:p>
      <w:pPr>
        <w:tabs>
          <w:tab w:val="center" w:pos="4110"/>
          <w:tab w:val="right" w:pos="8220"/>
        </w:tabs>
        <w:ind w:firstLine="480"/>
      </w:pPr>
      <w:r>
        <w:tab/>
      </w:r>
      <m:oMath>
        <m:sSup>
          <m:e>
            <m:r>
              <m:t>A</m:t>
            </m:r>
          </m:e>
          <m:sup>
            <m:r>
              <m:t>U</m:t>
            </m:r>
          </m:sup>
        </m:sSup>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r>
              <m:rPr>
                <m:sty m:val="p"/>
              </m:rPr>
              <m:t>max</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&gt;</m:t>
            </m:r>
            <m:r>
              <m:t>u</m:t>
            </m:r>
            <m:r>
              <m:t> </m:t>
            </m:r>
            <m:r>
              <m:rPr>
                <m:sty m:val="p"/>
              </m:rPr>
              <m:t>∨</m:t>
            </m:r>
            <m:r>
              <m:t> </m:t>
            </m:r>
            <m:r>
              <m:rPr>
                <m:sty m:val="p"/>
              </m:rPr>
              <m:t>min</m:t>
            </m:r>
            <m:r>
              <m:t>​</m:t>
            </m:r>
            <m:d>
              <m:dPr>
                <m:begChr m:val="("/>
                <m:sepChr m:val=""/>
                <m:endChr m:val=")"/>
                <m:grow/>
              </m:dPr>
              <m:e>
                <m:sSubSup>
                  <m:e>
                    <m:acc>
                      <m:accPr>
                        <m:chr m:val="̂"/>
                      </m:accPr>
                      <m:e>
                        <m:r>
                          <m:t>y</m:t>
                        </m:r>
                      </m:e>
                    </m:acc>
                  </m:e>
                  <m:sub>
                    <m:r>
                      <m:t>t</m:t>
                    </m:r>
                    <m:r>
                      <m:rPr>
                        <m:sty m:val="p"/>
                      </m:rPr>
                      <m:t>+</m:t>
                    </m:r>
                    <m:r>
                      <m:t>h</m:t>
                    </m:r>
                  </m:sub>
                  <m:sup>
                    <m:r>
                      <m:rPr>
                        <m:sty m:val="p"/>
                      </m:rPr>
                      <m:t>∇</m:t>
                    </m:r>
                  </m:sup>
                </m:sSubSup>
                <m:r>
                  <m:rPr>
                    <m:sty m:val="p"/>
                  </m:rPr>
                  <m:t>,</m:t>
                </m:r>
                <m:r>
                  <m:t> </m:t>
                </m:r>
                <m:sSubSup>
                  <m:e>
                    <m:acc>
                      <m:accPr>
                        <m:chr m:val="̂"/>
                      </m:accPr>
                      <m:e>
                        <m:r>
                          <m:t>y</m:t>
                        </m:r>
                      </m:e>
                    </m:acc>
                  </m:e>
                  <m:sub>
                    <m:r>
                      <m:t>t</m:t>
                    </m:r>
                    <m:r>
                      <m:rPr>
                        <m:sty m:val="p"/>
                      </m:rPr>
                      <m:t>+</m:t>
                    </m:r>
                    <m:r>
                      <m:t>h</m:t>
                    </m:r>
                  </m:sub>
                  <m:sup>
                    <m:sSup>
                      <m:e>
                        <m:r>
                          <m:rPr>
                            <m:sty m:val="p"/>
                          </m:rPr>
                          <m:t>∇</m:t>
                        </m:r>
                      </m:e>
                      <m:sup>
                        <m:r>
                          <m:t>2</m:t>
                        </m:r>
                      </m:sup>
                    </m:sSup>
                  </m:sup>
                </m:sSubSup>
              </m:e>
            </m:d>
            <m:r>
              <m:rPr>
                <m:sty m:val="p"/>
              </m:rPr>
              <m:t>&lt;</m:t>
            </m:r>
            <m:r>
              <m:t>ℓ</m:t>
            </m:r>
          </m:e>
        </m:d>
      </m:oMath>
      <w:r>
        <w:tab/>
        <w:t>(18)</w:t>
      </w:r>
    </w:p>
    <w:p>
      <w:r>
        <w:t>which is exactly the logical union of the two operators' alarm flags, A^U = A^∇ ∨ A^(∇²). The union fires whenever either view anticipates a crossing, so it recovers onsets that either view alone would miss. Its cost is a higher false-alarm rate, quantified in Section 5.</w:t>
      </w:r>
    </w:p>
    <w:p w14:paraId="691E16B2" w14:textId="77777777" w:rsidR="00E60AAC" w:rsidRDefault="00E60AAC" w:rsidP="00E60AAC">
      <w:pPr>
        <w:ind w:firstLine="480"/>
      </w:pPr>
      <w:r>
        <w:t>Lead time and false alarms trade off against each other, so neither is meaningful in isolation. We therefore judge prognosis at a controlled operating point, reporting the detection recall attainable while holding the pre-onset false-alarm rate within a fixed budget β. This budgeted view, rather than raw forecasting error, is the criterion at which a prognostic system is deployed, and it is the operating regime the operator-augmented framework is designed to dominate.</w:t>
      </w:r>
    </w:p>
    <w:p w14:paraId="42599969" w14:textId="77777777" w:rsidR="00E60AAC" w:rsidRDefault="00E60AAC" w:rsidP="00E60AAC">
      <w:pPr>
        <w:pStyle w:val="2"/>
      </w:pPr>
      <w:r>
        <w:t>3.4</w:t>
      </w:r>
      <w:r>
        <w:tab/>
        <w:t>Optimization Methodology</w:t>
      </w:r>
    </w:p>
    <w:p w14:paraId="025F1675" w14:textId="77777777" w:rsidR="00E60AAC" w:rsidRDefault="00E60AAC" w:rsidP="00E60AAC">
      <w:pPr>
        <w:ind w:firstLine="480"/>
      </w:pPr>
      <w:r>
        <w:t>Each operator is few-shot aligned in isolation by the objective of Eq. (7), initialized from the pretrained backbone. No additional training couples the operators, so each view remains a faithful, independently adapted forecaster of its own domain.</w:t>
      </w:r>
    </w:p>
    <w:p w14:paraId="6BF002B1" w14:textId="77777777" w:rsidR="00E60AAC" w:rsidRDefault="00E60AAC" w:rsidP="00E60AAC">
      <w:pPr>
        <w:ind w:firstLine="480"/>
      </w:pPr>
      <w:r>
        <w:t>The pipeline is disciplined to prevent leakage at every seam. The control limits are computed from healthy training data only, the instance-normalization statistics are fit on the training window alone, and the ground-truth trajectories supplied by the different operators are asserted identical before fusion, so any measured effect is attributable to the operators and the union rule, not to a bookkeeping artefact.</w:t>
      </w:r>
    </w:p>
    <w:p w14:paraId="71A431F7" w14:textId="77777777" w:rsidR="00E60AAC" w:rsidRDefault="00E60AAC" w:rsidP="00E60AAC">
      <w:pPr>
        <w:pStyle w:val="2"/>
      </w:pPr>
      <w:r>
        <w:t>3.5</w:t>
      </w:r>
      <w:r>
        <w:tab/>
        <w:t>Overall Algorithmic Framework</w:t>
      </w:r>
    </w:p>
    <w:p w14:paraId="431DBFB3" w14:textId="77777777" w:rsidR="00E60AAC" w:rsidRDefault="00E60AAC" w:rsidP="00E60AAC">
      <w:pPr>
        <w:ind w:firstLine="480"/>
      </w:pPr>
      <w:r>
        <w:t>The complete pipeline assembles the components into a single few-shot fault-prognosis procedure. Three views of the target, raw, first-difference, and second-difference, are prepared over the same multivariate window. The backbone is few-shot aligned by Eq. (7) and run to produce window-aligned forecasts for each view on the validation and test splits, with the difference views restored to the raw domain by Eqs. (11) and (13). Each operator's forecast is mapped to an alarm decision by Eq. (14), and the velocity and acceleration decisions are fused by the union rule of Eq. (18). The union decision is scored for lead time and false alarms by Eqs. (16) and (17), while forecasting error is evaluated per operator. Algorithm 1 states the procedure end to end.</w:t>
      </w:r>
    </w:p>
    <w:p w14:paraId="67501050" w14:textId="77777777" w:rsidR="00E60AAC" w:rsidRDefault="00E60AAC" w:rsidP="00E60AAC">
      <w:pPr>
        <w:pStyle w:val="af3"/>
        <w:rPr>
          <w:rFonts w:eastAsiaTheme="minorEastAsia"/>
        </w:rPr>
      </w:pPr>
      <w:r>
        <w:rPr>
          <w:rFonts w:eastAsiaTheme="minorEastAsia" w:hint="eastAsia"/>
          <w:noProof/>
        </w:rPr>
        <w:drawing>
          <wp:inline distT="0" distB="0" distL="0" distR="0" wp14:anchorId="76E6DC26" wp14:editId="1198A128">
            <wp:extent cx="5219700" cy="1927274"/>
            <wp:effectExtent l="0" t="0" r="0" b="6350"/>
            <wp:docPr id="2551649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164914" name="图片 255164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19700" cy="1927274"/>
                    </a:xfrm>
                    <a:prstGeom prst="rect">
                      <a:avLst/>
                    </a:prstGeom>
                  </pic:spPr>
                </pic:pic>
              </a:graphicData>
            </a:graphic>
          </wp:inline>
        </w:drawing>
      </w:r>
    </w:p>
    <w:p w14:paraId="51B06386" w14:textId="346F55B6" w:rsidR="00E60AAC" w:rsidRPr="00E60AAC" w:rsidRDefault="00E60AAC" w:rsidP="00E60AAC">
      <w:pPr>
        <w:pStyle w:val="af3"/>
        <w:rPr>
          <w:rFonts w:eastAsiaTheme="minorEastAsia" w:hint="eastAsia"/>
        </w:rPr>
      </w:pPr>
      <w:r>
        <w:t>Algorithm 1. Operator-augmented ensemble of TSFMs for few-shot fault prognosis.</w:t>
      </w:r>
    </w:p>
    <w:p>
      <w:pPr>
        <w:pStyle w:val="1"/>
      </w:pPr>
      <w:r>
        <w:t xml:space="preserve">4.	Application</w:t>
      </w:r>
    </w:p>
    <w:p>
      <w:pPr>
        <w:pStyle w:val="2"/>
      </w:pPr>
      <w:r>
        <w:t xml:space="preserve">4.1	Process, fault scenario, and control limits</w:t>
      </w:r>
    </w:p>
    <w:p>
      <w:r>
        <w:t>The framework is evaluated on the Tennessee Eastman process (TEP), the reference benchmark for chemical-process abnormal-situation management. The target variable is the purge rate, the stream 9 flow, denoted XMEAS10 (Fig. 2). It is a safety- and economics-critical stream whose slow excursions are a classic early indicator of loss of separation. The disturbance is IDV13, a slow drift in reaction kinetics. It is injected at a mild magnitude, 25% of the reference disturbance amplitude, so that the fault develops gradually and the target only grazes its alarm band. This is the regime in which anticipation is hardest and most valuable. Measurements are sampled every Δt = 3 min. The look-back window is L = 96 samples, and the target is forecast jointly with four covariates: the stripper level, the stripper underflow, the purge valve, and the condenser-coolant valve.</w:t>
      </w:r>
    </w:p>
    <w:p>
      <w:r>
        <w:t>The alarm band (ℓ, u) is fit on the healthy record by Eq. (3) and is never informed by the test fault. For XMEAS10 in this operating mode the band is ℓ = 0.1817 and u = 0.2415 in standardized units. A window is a genuine prognostic opportunity only when the process is still inside the band at the decision time, which is made precise by the clean filter of Eq. (20).</w:t>
      </w:r>
    </w:p>
    <w:p>
      <w:r>
        <w:t xml:space="preserve">[[ FIGURE 2 PLACEHOLDER — insert image here ]]</w:t>
      </w:r>
    </w:p>
    <w:p>
      <w:r>
        <w:t xml:space="preserve">Fig. 2. The Tennessee Eastman process with the purge-rate target XMEAS10 highlighted, and a representative IDV13 trajectory at magnitude 25 showing the slow drift of XMEAS10 across the (ℓ, u) alarm band and the first band crossing τ*.</w:t>
      </w:r>
    </w:p>
    <w:p>
      <w:pPr>
        <w:pStyle w:val="2"/>
      </w:pPr>
      <w:r>
        <w:t xml:space="preserve">4.2	Evaluation protocol: early-warning metrics</w:t>
      </w:r>
    </w:p>
    <w:p>
      <w:r>
        <w:t xml:space="preserve">At each decision time t, the forecast origin, an operator predicts ŷ_(t+1), …, ŷ_(t+H) with H = 5. A window carries a ground-truth prognostic label when the measured target crosses the band anywhere in the horizon,</w:t>
      </w:r>
    </w:p>
    <w:p>
      <w:pPr>
        <w:tabs>
          <w:tab w:val="center" w:pos="4110"/>
          <w:tab w:val="right" w:pos="8220"/>
        </w:tabs>
        <w:ind w:firstLine="480"/>
      </w:pPr>
      <w:r>
        <w:tab/>
      </w:r>
      <m:oMath>
        <m:sSub>
          <m:e>
            <m:r>
              <m:t>y</m:t>
            </m:r>
          </m:e>
          <m:sub>
            <m:r>
              <m:t>w</m:t>
            </m:r>
          </m:sub>
        </m:sSub>
        <m:r>
          <m:rPr>
            <m:sty m:val="p"/>
          </m:rPr>
          <m:t>=</m:t>
        </m:r>
        <m:r>
          <m:rPr>
            <m:scr m:val="double-struck"/>
            <m:sty m:val="p"/>
          </m:rPr>
          <m:t>𝟙</m:t>
        </m:r>
        <m:r>
          <m:t>​</m:t>
        </m:r>
        <m:d>
          <m:dPr>
            <m:begChr m:val="{"/>
            <m:sepChr m:val=""/>
            <m:endChr m:val="}"/>
            <m:grow/>
          </m:dPr>
          <m:e>
            <m:r>
              <m:t> </m:t>
            </m:r>
            <m:r>
              <m:rPr>
                <m:sty m:val="p"/>
              </m:rPr>
              <m:t>∃</m:t>
            </m:r>
            <m:r>
              <m:t> </m:t>
            </m:r>
            <m:r>
              <m:t>h</m:t>
            </m:r>
            <m:r>
              <m:rPr>
                <m:sty m:val="p"/>
              </m:rPr>
              <m:t>∈</m:t>
            </m:r>
            <m:r>
              <m:rPr>
                <m:sty m:val="p"/>
              </m:rPr>
              <m:t>{</m:t>
            </m:r>
            <m:r>
              <m:t>1</m:t>
            </m:r>
            <m:r>
              <m:rPr>
                <m:sty m:val="p"/>
              </m:rPr>
              <m:t>,</m:t>
            </m:r>
            <m:r>
              <m:rPr>
                <m:sty m:val="p"/>
              </m:rPr>
              <m:t>…</m:t>
            </m:r>
            <m:r>
              <m:rPr>
                <m:sty m:val="p"/>
              </m:rPr>
              <m:t>,</m:t>
            </m:r>
            <m:r>
              <m:t>H</m:t>
            </m:r>
            <m:r>
              <m:rPr>
                <m:sty m:val="p"/>
              </m:rPr>
              <m:t>}</m:t>
            </m:r>
            <m:r>
              <m:rPr>
                <m:sty m:val="p"/>
              </m:rPr>
              <m:t>:</m:t>
            </m:r>
            <m:sSub>
              <m:e>
                <m:r>
                  <m:t>y</m:t>
                </m:r>
              </m:e>
              <m:sub>
                <m:r>
                  <m:t>t</m:t>
                </m:r>
                <m:r>
                  <m:rPr>
                    <m:sty m:val="p"/>
                  </m:rPr>
                  <m:t>+</m:t>
                </m:r>
                <m:r>
                  <m:t>h</m:t>
                </m:r>
              </m:sub>
            </m:sSub>
            <m:r>
              <m:rPr>
                <m:sty m:val="p"/>
              </m:rPr>
              <m:t>&gt;</m:t>
            </m:r>
            <m:r>
              <m:t>u</m:t>
            </m:r>
            <m:r>
              <m:t> </m:t>
            </m:r>
            <m:r>
              <m:rPr>
                <m:sty m:val="p"/>
              </m:rPr>
              <m:t>∨</m:t>
            </m:r>
            <m:r>
              <m:t> </m:t>
            </m:r>
            <m:sSub>
              <m:e>
                <m:r>
                  <m:t>y</m:t>
                </m:r>
              </m:e>
              <m:sub>
                <m:r>
                  <m:t>t</m:t>
                </m:r>
                <m:r>
                  <m:rPr>
                    <m:sty m:val="p"/>
                  </m:rPr>
                  <m:t>+</m:t>
                </m:r>
                <m:r>
                  <m:t>h</m:t>
                </m:r>
              </m:sub>
            </m:sSub>
            <m:r>
              <m:rPr>
                <m:sty m:val="p"/>
              </m:rPr>
              <m:t>&lt;</m:t>
            </m:r>
            <m:r>
              <m:t>ℓ</m:t>
            </m:r>
          </m:e>
        </m:d>
      </m:oMath>
      <w:r>
        <w:tab/>
        <w:t>(19)</w:t>
      </w:r>
    </w:p>
    <w:p>
      <w:r>
        <w:t>and the forecast raises an anticipated alarm ŷ_w by the same test applied to ŷ, following Eq. (14). Counting every in-band-to-out-of-band window as a positive would reward the trivial detection of an already active alarm. To restrict the evaluation to genuine anticipation, we require the C = 10 samples immediately preceding the origin to lie inside the band,</w:t>
      </w:r>
    </w:p>
    <w:p>
      <w:pPr>
        <w:tabs>
          <w:tab w:val="center" w:pos="4110"/>
          <w:tab w:val="right" w:pos="8220"/>
        </w:tabs>
        <w:ind w:firstLine="480"/>
      </w:pPr>
      <w:r>
        <w:tab/>
      </w:r>
      <m:oMath>
        <m:sSub>
          <m:e>
            <m:r>
              <m:rPr>
                <m:sty m:val="p"/>
              </m:rPr>
              <m:t>c</m:t>
            </m:r>
            <m:r>
              <m:rPr>
                <m:sty m:val="p"/>
              </m:rPr>
              <m:t>l</m:t>
            </m:r>
            <m:r>
              <m:rPr>
                <m:sty m:val="p"/>
              </m:rPr>
              <m:t>e</m:t>
            </m:r>
            <m:r>
              <m:rPr>
                <m:sty m:val="p"/>
              </m:rPr>
              <m:t>a</m:t>
            </m:r>
            <m:r>
              <m:rPr>
                <m:sty m:val="p"/>
              </m:rPr>
              <m:t>n</m:t>
            </m:r>
          </m:e>
          <m:sub>
            <m:r>
              <m:t>w</m:t>
            </m:r>
          </m:sub>
        </m:sSub>
        <m:r>
          <m:rPr>
            <m:sty m:val="p"/>
          </m:rPr>
          <m:t>=</m:t>
        </m:r>
        <m:r>
          <m:rPr>
            <m:scr m:val="double-struck"/>
            <m:sty m:val="p"/>
          </m:rPr>
          <m:t>𝟙</m:t>
        </m:r>
        <m:r>
          <m:t>​</m:t>
        </m:r>
        <m:d>
          <m:dPr>
            <m:begChr m:val="{"/>
            <m:sepChr m:val=""/>
            <m:endChr m:val="}"/>
            <m:grow/>
          </m:dPr>
          <m:e>
            <m:r>
              <m:t> </m:t>
            </m:r>
            <m:sSub>
              <m:e>
                <m:r>
                  <m:t>y</m:t>
                </m:r>
              </m:e>
              <m:sub>
                <m:r>
                  <m:t>τ</m:t>
                </m:r>
              </m:sub>
            </m:sSub>
            <m:r>
              <m:rPr>
                <m:sty m:val="p"/>
              </m:rPr>
              <m:t>∈</m:t>
            </m:r>
            <m:r>
              <m:rPr>
                <m:sty m:val="p"/>
              </m:rPr>
              <m:t>[</m:t>
            </m:r>
            <m:r>
              <m:t>ℓ</m:t>
            </m:r>
            <m:r>
              <m:rPr>
                <m:sty m:val="p"/>
              </m:rPr>
              <m:t>,</m:t>
            </m:r>
            <m:r>
              <m:t>u</m:t>
            </m:r>
            <m:r>
              <m:rPr>
                <m:sty m:val="p"/>
              </m:rPr>
              <m:t>]</m:t>
            </m:r>
            <m:r>
              <m:t> </m:t>
            </m:r>
            <m:r>
              <m:rPr>
                <m:nor/>
                <m:sty m:val="p"/>
              </m:rPr>
              <m:t>for all</m:t>
            </m:r>
            <m:r>
              <m:t> </m:t>
            </m:r>
            <m:r>
              <m:t>τ</m:t>
            </m:r>
            <m:r>
              <m:rPr>
                <m:sty m:val="p"/>
              </m:rPr>
              <m:t>∈</m:t>
            </m:r>
            <m:r>
              <m:rPr>
                <m:sty m:val="p"/>
              </m:rPr>
              <m:t>{</m:t>
            </m:r>
            <m:r>
              <m:t>t</m:t>
            </m:r>
            <m:r>
              <m:rPr>
                <m:sty m:val="p"/>
              </m:rPr>
              <m:t>−</m:t>
            </m:r>
            <m:r>
              <m:t>C</m:t>
            </m:r>
            <m:r>
              <m:rPr>
                <m:sty m:val="p"/>
              </m:rPr>
              <m:t>+</m:t>
            </m:r>
            <m:r>
              <m:t>1</m:t>
            </m:r>
            <m:r>
              <m:rPr>
                <m:sty m:val="p"/>
              </m:rPr>
              <m:t>,</m:t>
            </m:r>
            <m:r>
              <m:rPr>
                <m:sty m:val="p"/>
              </m:rPr>
              <m:t>…</m:t>
            </m:r>
            <m:r>
              <m:rPr>
                <m:sty m:val="p"/>
              </m:rPr>
              <m:t>,</m:t>
            </m:r>
            <m:r>
              <m:t>t</m:t>
            </m:r>
            <m:r>
              <m:rPr>
                <m:sty m:val="p"/>
              </m:rPr>
              <m:t>}</m:t>
            </m:r>
          </m:e>
        </m:d>
        <m:r>
          <m:rPr>
            <m:sty m:val="p"/>
          </m:rPr>
          <m:t>,</m:t>
        </m:r>
        <m:r>
          <m:t> </m:t>
        </m:r>
        <m:r>
          <m:t>C</m:t>
        </m:r>
        <m:r>
          <m:rPr>
            <m:sty m:val="p"/>
          </m:rPr>
          <m:t>=</m:t>
        </m:r>
        <m:r>
          <m:t>10</m:t>
        </m:r>
      </m:oMath>
      <w:r>
        <w:tab/>
        <w:t>(20)</w:t>
      </w:r>
    </w:p>
    <w:p>
      <w:r>
        <w:t xml:space="preserve">The short pre-origin horizon, 10 samples or 30 min, keeps a window eligible as soon as the process has been healthy for half an hour, rather than demanding that the full 96-sample look-back be clean, which would discard most leading-edge onsets. On the held-out test runs this filter reduces 1,995 in-horizon-crossing windows to 101 genuine ante-onset windows, of which 76 have the first crossing strictly in the future, against 1,375 clean negatives. The three prognostic metrics are computed over clean windows only. The prognostic recall is</w:t>
      </w:r>
    </w:p>
    <w:p>
      <w:pPr>
        <w:tabs>
          <w:tab w:val="center" w:pos="4110"/>
          <w:tab w:val="right" w:pos="8220"/>
        </w:tabs>
        <w:ind w:firstLine="480"/>
      </w:pPr>
      <w:r>
        <w:tab/>
      </w:r>
      <m:oMath>
        <m:r>
          <m:rPr>
            <m:sty m:val="p"/>
          </m:rPr>
          <m:t>R</m:t>
        </m:r>
        <m:r>
          <m:rPr>
            <m:sty m:val="p"/>
          </m:rPr>
          <m:t>e</m:t>
        </m:r>
        <m:r>
          <m:rPr>
            <m:sty m:val="p"/>
          </m:rPr>
          <m:t>c</m:t>
        </m:r>
        <m:r>
          <m:rPr>
            <m:sty m:val="p"/>
          </m:rPr>
          <m:t>a</m:t>
        </m:r>
        <m:r>
          <m:rPr>
            <m:sty m:val="p"/>
          </m:rPr>
          <m:t>l</m:t>
        </m:r>
        <m:r>
          <m:rPr>
            <m:sty m:val="p"/>
          </m:rPr>
          <m:t>l</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1</m:t>
                </m:r>
                <m:r>
                  <m:t> </m:t>
                </m:r>
                <m:r>
                  <m:rPr>
                    <m:sty m:val="p"/>
                  </m:rPr>
                  <m:t>}</m:t>
                </m:r>
              </m:e>
            </m:d>
          </m:den>
        </m:f>
      </m:oMath>
      <w:r>
        <w:tab/>
        <w:t>(21)</w:t>
      </w:r>
    </w:p>
    <w:p>
      <w:r>
        <w:t>the false prognosis rate (FAR), the operational form of the pre-onset false-alarm rate of Eq. (17), is</w:t>
      </w:r>
    </w:p>
    <w:p>
      <w:pPr>
        <w:tabs>
          <w:tab w:val="center" w:pos="4110"/>
          <w:tab w:val="right" w:pos="8220"/>
        </w:tabs>
        <w:ind w:firstLine="480"/>
      </w:pPr>
      <w:r>
        <w:tab/>
      </w:r>
      <m:oMath>
        <m:r>
          <m:rPr>
            <m:sty m:val="p"/>
          </m:rPr>
          <m:t>F</m:t>
        </m:r>
        <m:r>
          <m:rPr>
            <m:sty m:val="p"/>
          </m:rPr>
          <m:t>A</m:t>
        </m:r>
        <m:r>
          <m:rPr>
            <m:sty m:val="p"/>
          </m:rPr>
          <m:t>R</m:t>
        </m:r>
        <m:r>
          <m:rPr>
            <m:sty m:val="p"/>
          </m:rPr>
          <m:t>=</m:t>
        </m:r>
        <m:f>
          <m:fPr>
            <m:type m:val="bar"/>
          </m:fPr>
          <m:num>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rPr>
                    <m:sty m:val="p"/>
                  </m:rPr>
                  <m:t>,</m:t>
                </m:r>
                <m:r>
                  <m:t> </m:t>
                </m:r>
                <m:sSub>
                  <m:e>
                    <m:acc>
                      <m:accPr>
                        <m:chr m:val="̂"/>
                      </m:accPr>
                      <m:e>
                        <m:r>
                          <m:t>y</m:t>
                        </m:r>
                      </m:e>
                    </m:acc>
                  </m:e>
                  <m:sub>
                    <m:r>
                      <m:t>w</m:t>
                    </m:r>
                  </m:sub>
                </m:sSub>
                <m:r>
                  <m:rPr>
                    <m:sty m:val="p"/>
                  </m:rPr>
                  <m:t>=</m:t>
                </m:r>
                <m:r>
                  <m:t>1</m:t>
                </m:r>
                <m:r>
                  <m:t> </m:t>
                </m:r>
                <m:r>
                  <m:rPr>
                    <m:sty m:val="p"/>
                  </m:rPr>
                  <m:t>}</m:t>
                </m:r>
              </m:e>
            </m:d>
          </m:num>
          <m:den>
            <m:d>
              <m:dPr>
                <m:begChr m:val="|"/>
                <m:sepChr m:val=""/>
                <m:endChr m:val="|"/>
                <m:grow/>
              </m:dPr>
              <m:e>
                <m:r>
                  <m:rPr>
                    <m:sty m:val="p"/>
                  </m:rPr>
                  <m:t>{</m:t>
                </m:r>
                <m:r>
                  <m:t> </m:t>
                </m:r>
                <m:r>
                  <m:t>w</m:t>
                </m:r>
                <m:r>
                  <m:rPr>
                    <m:sty m:val="p"/>
                  </m:rPr>
                  <m:t>:</m:t>
                </m:r>
                <m:sSub>
                  <m:e>
                    <m:r>
                      <m:rPr>
                        <m:sty m:val="p"/>
                      </m:rPr>
                      <m:t>c</m:t>
                    </m:r>
                    <m:r>
                      <m:rPr>
                        <m:sty m:val="p"/>
                      </m:rPr>
                      <m:t>l</m:t>
                    </m:r>
                    <m:r>
                      <m:rPr>
                        <m:sty m:val="p"/>
                      </m:rPr>
                      <m:t>e</m:t>
                    </m:r>
                    <m:r>
                      <m:rPr>
                        <m:sty m:val="p"/>
                      </m:rPr>
                      <m:t>a</m:t>
                    </m:r>
                    <m:r>
                      <m:rPr>
                        <m:sty m:val="p"/>
                      </m:rPr>
                      <m:t>n</m:t>
                    </m:r>
                  </m:e>
                  <m:sub>
                    <m:r>
                      <m:t>w</m:t>
                    </m:r>
                  </m:sub>
                </m:sSub>
                <m:r>
                  <m:rPr>
                    <m:sty m:val="p"/>
                  </m:rPr>
                  <m:t>=</m:t>
                </m:r>
                <m:r>
                  <m:t>1</m:t>
                </m:r>
                <m:r>
                  <m:rPr>
                    <m:sty m:val="p"/>
                  </m:rPr>
                  <m:t>,</m:t>
                </m:r>
                <m:r>
                  <m:t> </m:t>
                </m:r>
                <m:sSub>
                  <m:e>
                    <m:r>
                      <m:t>y</m:t>
                    </m:r>
                  </m:e>
                  <m:sub>
                    <m:r>
                      <m:t>w</m:t>
                    </m:r>
                  </m:sub>
                </m:sSub>
                <m:r>
                  <m:rPr>
                    <m:sty m:val="p"/>
                  </m:rPr>
                  <m:t>=</m:t>
                </m:r>
                <m:r>
                  <m:t>0</m:t>
                </m:r>
                <m:r>
                  <m:t> </m:t>
                </m:r>
                <m:r>
                  <m:rPr>
                    <m:sty m:val="p"/>
                  </m:rPr>
                  <m:t>}</m:t>
                </m:r>
              </m:e>
            </m:d>
          </m:den>
        </m:f>
      </m:oMath>
      <w:r>
        <w:tab/>
        <w:t>(22)</w:t>
      </w:r>
    </w:p>
    <w:p>
      <w:r>
        <w:t xml:space="preserve">and the mean lead time, averaged over the true onset events τ*, is</w:t>
      </w:r>
    </w:p>
    <w:p>
      <w:pPr>
        <w:tabs>
          <w:tab w:val="center" w:pos="4110"/>
          <w:tab w:val="right" w:pos="8220"/>
        </w:tabs>
        <w:ind w:firstLine="480"/>
      </w:pPr>
      <w:r>
        <w:tab/>
      </w:r>
      <m:oMath>
        <m:r>
          <m:rPr>
            <m:sty m:val="p"/>
          </m:rPr>
          <m:t>L</m:t>
        </m:r>
        <m:r>
          <m:rPr>
            <m:sty m:val="p"/>
          </m:rPr>
          <m:t>T</m:t>
        </m:r>
        <m:r>
          <m:rPr>
            <m:sty m:val="p"/>
          </m:rPr>
          <m:t>=</m:t>
        </m:r>
        <m:r>
          <m:rPr>
            <m:sty m:val="p"/>
          </m:rPr>
          <m:t>Δ</m:t>
        </m:r>
        <m:r>
          <m:t>t</m:t>
        </m:r>
        <m:r>
          <m:rPr>
            <m:sty m:val="p"/>
          </m:rPr>
          <m:t>⋅</m:t>
        </m:r>
        <m:sSub>
          <m:e>
            <m:r>
              <m:rPr>
                <m:sty m:val="p"/>
              </m:rPr>
              <m:t>mean</m:t>
            </m:r>
          </m:e>
          <m:sub>
            <m:sSup>
              <m:e>
                <m:r>
                  <m:t>τ</m:t>
                </m:r>
              </m:e>
              <m:sup>
                <m:r>
                  <m:rPr>
                    <m:sty m:val="p"/>
                  </m:rPr>
                  <m:t>*</m:t>
                </m:r>
              </m:sup>
            </m:sSup>
          </m:sub>
        </m:sSub>
        <m:d>
          <m:dPr>
            <m:begChr m:val="("/>
            <m:sepChr m:val=""/>
            <m:endChr m:val=")"/>
            <m:grow/>
          </m:dPr>
          <m:e>
            <m:sSup>
              <m:e>
                <m:r>
                  <m:t>τ</m:t>
                </m:r>
              </m:e>
              <m:sup>
                <m:r>
                  <m:rPr>
                    <m:sty m:val="p"/>
                  </m:rPr>
                  <m:t>*</m:t>
                </m:r>
              </m:sup>
            </m:sSup>
            <m:r>
              <m:rPr>
                <m:sty m:val="p"/>
              </m:rPr>
              <m:t>−</m:t>
            </m:r>
            <m:sSub>
              <m:e>
                <m:r>
                  <m:t>t</m:t>
                </m:r>
              </m:e>
              <m:sub>
                <m:r>
                  <m:t>e</m:t>
                </m:r>
              </m:sub>
            </m:sSub>
            <m:r>
              <m:rPr>
                <m:sty m:val="p"/>
              </m:rPr>
              <m:t>(</m:t>
            </m:r>
            <m:sSup>
              <m:e>
                <m:r>
                  <m:t>τ</m:t>
                </m:r>
              </m:e>
              <m:sup>
                <m:r>
                  <m:rPr>
                    <m:sty m:val="p"/>
                  </m:rPr>
                  <m:t>*</m:t>
                </m:r>
              </m:sup>
            </m:sSup>
            <m:r>
              <m:rPr>
                <m:sty m:val="p"/>
              </m:rPr>
              <m:t>)</m:t>
            </m:r>
          </m:e>
        </m:d>
      </m:oMath>
      <w:r>
        <w:tab/>
        <w:t>(23)</w:t>
      </w:r>
    </w:p>
    <w:p>
      <w:r>
        <w:t xml:space="preserve">where t_e(τ*) is the earliest clean-window origin whose forecast anticipates the crossing at τ*. Forecast fidelity is summarized by the horizon-mean squared error in the restored raw domain,</w:t>
      </w:r>
    </w:p>
    <w:p>
      <w:pPr>
        <w:tabs>
          <w:tab w:val="center" w:pos="4110"/>
          <w:tab w:val="right" w:pos="8220"/>
        </w:tabs>
        <w:ind w:firstLine="480"/>
      </w:pPr>
      <w:r>
        <w:tab/>
      </w:r>
      <m:oMath>
        <m:r>
          <m:rPr>
            <m:sty m:val="p"/>
          </m:rPr>
          <m:t>M</m:t>
        </m:r>
        <m:r>
          <m:rPr>
            <m:sty m:val="p"/>
          </m:rPr>
          <m:t>S</m:t>
        </m:r>
        <m:r>
          <m:rPr>
            <m:sty m:val="p"/>
          </m:rPr>
          <m:t>E</m:t>
        </m:r>
        <m:r>
          <m:rPr>
            <m:sty m:val="p"/>
          </m:rPr>
          <m:t>=</m:t>
        </m:r>
        <m:f>
          <m:fPr>
            <m:type m:val="bar"/>
          </m:fPr>
          <m:num>
            <m:r>
              <m:t>1</m:t>
            </m:r>
          </m:num>
          <m:den>
            <m:r>
              <m:rPr>
                <m:sty m:val="p"/>
              </m:rPr>
              <m:t>|</m:t>
            </m:r>
            <m:r>
              <m:t>W</m:t>
            </m:r>
            <m:r>
              <m:rPr>
                <m:sty m:val="p"/>
              </m:rPr>
              <m:t>|</m:t>
            </m:r>
            <m:r>
              <m:t> </m:t>
            </m:r>
            <m:r>
              <m:t>H</m:t>
            </m:r>
          </m:den>
        </m:f>
        <m:nary>
          <m:naryPr>
            <m:chr m:val="∑"/>
            <m:limLoc m:val="undOvr"/>
            <m:subHide m:val="off"/>
            <m:supHide m:val="on"/>
          </m:naryPr>
          <m:sub>
            <m:r>
              <m:t>w</m:t>
            </m:r>
            <m:r>
              <m:rPr>
                <m:sty m:val="p"/>
              </m:rPr>
              <m:t>∈</m:t>
            </m:r>
            <m:r>
              <m:t>W</m:t>
            </m:r>
          </m:sub>
          <m:sup>
            <m:r>
              <m:t>​</m:t>
            </m:r>
          </m:sup>
          <m:e>
            <m:nary>
              <m:naryPr>
                <m:chr m:val="∑"/>
                <m:limLoc m:val="undOvr"/>
                <m:subHide m:val="off"/>
                <m:supHide m:val="off"/>
              </m:naryPr>
              <m:sub>
                <m:r>
                  <m:t>h</m:t>
                </m:r>
                <m:r>
                  <m:rPr>
                    <m:sty m:val="p"/>
                  </m:rPr>
                  <m:t>=</m:t>
                </m:r>
                <m:r>
                  <m:t>1</m:t>
                </m:r>
              </m:sub>
              <m:sup>
                <m:r>
                  <m:t>H</m:t>
                </m:r>
              </m:sup>
              <m:e>
                <m:sSup>
                  <m:e>
                    <m:d>
                      <m:dPr>
                        <m:begChr m:val="("/>
                        <m:sepChr m:val=""/>
                        <m:endChr m:val=")"/>
                        <m:grow/>
                      </m:dPr>
                      <m:e>
                        <m:sSub>
                          <m:e>
                            <m:acc>
                              <m:accPr>
                                <m:chr m:val="̂"/>
                              </m:accPr>
                              <m:e>
                                <m:r>
                                  <m:t>y</m:t>
                                </m:r>
                              </m:e>
                            </m:acc>
                          </m:e>
                          <m:sub>
                            <m:r>
                              <m:t>t</m:t>
                            </m:r>
                            <m:r>
                              <m:rPr>
                                <m:sty m:val="p"/>
                              </m:rPr>
                              <m:t>+</m:t>
                            </m:r>
                            <m:r>
                              <m:t>h</m:t>
                            </m:r>
                          </m:sub>
                        </m:sSub>
                        <m:r>
                          <m:rPr>
                            <m:sty m:val="p"/>
                          </m:rPr>
                          <m:t>−</m:t>
                        </m:r>
                        <m:sSub>
                          <m:e>
                            <m:r>
                              <m:t>y</m:t>
                            </m:r>
                          </m:e>
                          <m:sub>
                            <m:r>
                              <m:t>t</m:t>
                            </m:r>
                            <m:r>
                              <m:rPr>
                                <m:sty m:val="p"/>
                              </m:rPr>
                              <m:t>+</m:t>
                            </m:r>
                            <m:r>
                              <m:t>h</m:t>
                            </m:r>
                          </m:sub>
                        </m:sSub>
                      </m:e>
                    </m:d>
                  </m:e>
                  <m:sup>
                    <m:r>
                      <m:t>2</m:t>
                    </m:r>
                  </m:sup>
                </m:sSup>
              </m:e>
            </m:nary>
          </m:e>
        </m:nary>
      </m:oMath>
      <w:r>
        <w:tab/>
        <w:t>(24)</w:t>
      </w:r>
    </w:p>
    <w:p>
      <w:r>
        <w:t xml:space="preserve">A false-prognosis budget of FAR ≤ 0.05 is adopted as the operational acceptance threshold.</w:t>
      </w:r>
    </w:p>
    <w:p>
      <w:pPr>
        <w:pStyle w:val="2"/>
      </w:pPr>
      <w:r>
        <w:t xml:space="preserve">4.3	Data-efficiency benchmark</w:t>
      </w:r>
    </w:p>
    <w:p>
      <w:r>
        <w:t>To probe the cold-start regime, the backbone is few-shot aligned at six nested subset ratios ρ ∈ {1%, 5%, 10%, 25%, 50%, 100%} of the fault windows by Eq. (8), and evaluated on the held-out test runs. The operator framework, comprising the raw, difference and second-difference views and their union, is compared against two families of references. The first is two zero-shot foundation models used without adaptation, Time-MoE and Sundial. The second is five supervised deep-learning baselines trained from scratch at each ratio: LSTM-GRU, CNN-LSTM, TCN-Transformer, DiPCA-LSTM, and STA-ConvBiLSTM. Every baseline is trained in the difference domain and restored to the raw domain, so all methods are scored by the identical alarm geometry of Eqs. (19)-(24). Fig. 3 shows two representative ante-onset windows that illustrate the complementary behaviour of the difference and second-difference views.</w:t>
      </w:r>
    </w:p>
    <w:p>
      <w:r>
        <w:t xml:space="preserve">[[ FIGURE 3 PLACEHOLDER — insert image here ]]</w:t>
      </w:r>
    </w:p>
    <w:p>
      <w:r>
        <w:t xml:space="preserve">Fig. 3. Two example ante-onset windows on the held-out test runs, showing the (ℓ, u) band, the ground truth, and the difference, second-difference and union forecasts: a steady-ramp onset caught by the difference view, and a curving onset caught by the second-difference view but missed by the difference view.</w:t>
      </w:r>
    </w:p>
    <w:p>
      <w:pPr>
        <w:pStyle w:val="1"/>
      </w:pPr>
      <w:r>
        <w:t xml:space="preserve">5.	Results and Discussion</w:t>
      </w:r>
    </w:p>
    <w:p>
      <w:pPr>
        <w:pStyle w:val="2"/>
      </w:pPr>
      <w:r>
        <w:t xml:space="preserve">5.1	Data efficiency of the operator framework</w:t>
      </w:r>
    </w:p>
    <w:p>
      <w:r>
        <w:t xml:space="preserve">Table 1 reports the prognostic recall across the six subset ratios, and Fig. 4 plots the same curves against the data budget. The operator views are remarkably data-efficient. The difference, second-difference and union operators hold within a few points of their full-data recall all the way down to ρ = 1%, whereas the raw view loses roughly a third of its recall as data is withdrawn. The union is the most sensitive operator at every ratio, reaching 0.792 at full data and still 0.723 at 1%. In stark contrast, the strongest supervised baseline, STA-ConvBiLSTM, needs the full training set to reach 0.535 and collapses to 0.030 at 1%. The zero-shot foundation models are flat by construction and already outrank every supervised baseline below ρ = 25%.</w:t>
      </w:r>
    </w:p>
    <w:p>
      <w:r>
        <w:t>Table 1. Prognostic recall (Eq. 21) versus training-subset ratio ρ. XMEAS10, IDV13, magnitude 25; H = 5, C = 10.</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0.723</w:t>
            </w:r>
          </w:p>
        </w:tc>
        <w:tc>
          <w:tcPr>
            <w:tcW w:type="dxa" w:w="1174"/>
          </w:tcPr>
          <w:p>
            <w:r>
              <w:t>0.733</w:t>
            </w:r>
          </w:p>
        </w:tc>
        <w:tc>
          <w:tcPr>
            <w:tcW w:type="dxa" w:w="1174"/>
          </w:tcPr>
          <w:p>
            <w:r>
              <w:t>0.782</w:t>
            </w:r>
          </w:p>
        </w:tc>
        <w:tc>
          <w:tcPr>
            <w:tcW w:type="dxa" w:w="1174"/>
          </w:tcPr>
          <w:p>
            <w:r>
              <w:t>0.782</w:t>
            </w:r>
          </w:p>
        </w:tc>
        <w:tc>
          <w:tcPr>
            <w:tcW w:type="dxa" w:w="1174"/>
          </w:tcPr>
          <w:p>
            <w:r>
              <w:t>0.762</w:t>
            </w:r>
          </w:p>
        </w:tc>
        <w:tc>
          <w:tcPr>
            <w:tcW w:type="dxa" w:w="1174"/>
          </w:tcPr>
          <w:p>
            <w:r>
              <w:t>0.792</w:t>
            </w:r>
          </w:p>
        </w:tc>
      </w:tr>
      <w:tr>
        <w:tc>
          <w:tcPr>
            <w:tcW w:type="dxa" w:w="1174"/>
          </w:tcPr>
          <w:p>
            <w:r>
              <w:t>Timer-XL-∇²</w:t>
            </w:r>
          </w:p>
        </w:tc>
        <w:tc>
          <w:tcPr>
            <w:tcW w:type="dxa" w:w="1174"/>
          </w:tcPr>
          <w:p>
            <w:r>
              <w:t>0.644</w:t>
            </w:r>
          </w:p>
        </w:tc>
        <w:tc>
          <w:tcPr>
            <w:tcW w:type="dxa" w:w="1174"/>
          </w:tcPr>
          <w:p>
            <w:r>
              <w:t>0.693</w:t>
            </w:r>
          </w:p>
        </w:tc>
        <w:tc>
          <w:tcPr>
            <w:tcW w:type="dxa" w:w="1174"/>
          </w:tcPr>
          <w:p>
            <w:r>
              <w:t>0.713</w:t>
            </w:r>
          </w:p>
        </w:tc>
        <w:tc>
          <w:tcPr>
            <w:tcW w:type="dxa" w:w="1174"/>
          </w:tcPr>
          <w:p>
            <w:r>
              <w:t>0.723</w:t>
            </w:r>
          </w:p>
        </w:tc>
        <w:tc>
          <w:tcPr>
            <w:tcW w:type="dxa" w:w="1174"/>
          </w:tcPr>
          <w:p>
            <w:r>
              <w:t>0.683</w:t>
            </w:r>
          </w:p>
        </w:tc>
        <w:tc>
          <w:tcPr>
            <w:tcW w:type="dxa" w:w="1174"/>
          </w:tcPr>
          <w:p>
            <w:r>
              <w:t>0.713</w:t>
            </w:r>
          </w:p>
        </w:tc>
      </w:tr>
      <w:tr>
        <w:tc>
          <w:tcPr>
            <w:tcW w:type="dxa" w:w="1174"/>
          </w:tcPr>
          <w:p>
            <w:r>
              <w:t>Timer-XL-diff</w:t>
            </w:r>
          </w:p>
        </w:tc>
        <w:tc>
          <w:tcPr>
            <w:tcW w:type="dxa" w:w="1174"/>
          </w:tcPr>
          <w:p>
            <w:r>
              <w:t>0.653</w:t>
            </w:r>
          </w:p>
        </w:tc>
        <w:tc>
          <w:tcPr>
            <w:tcW w:type="dxa" w:w="1174"/>
          </w:tcPr>
          <w:p>
            <w:r>
              <w:t>0.604</w:t>
            </w:r>
          </w:p>
        </w:tc>
        <w:tc>
          <w:tcPr>
            <w:tcW w:type="dxa" w:w="1174"/>
          </w:tcPr>
          <w:p>
            <w:r>
              <w:t>0.644</w:t>
            </w:r>
          </w:p>
        </w:tc>
        <w:tc>
          <w:tcPr>
            <w:tcW w:type="dxa" w:w="1174"/>
          </w:tcPr>
          <w:p>
            <w:r>
              <w:t>0.634</w:t>
            </w:r>
          </w:p>
        </w:tc>
        <w:tc>
          <w:tcPr>
            <w:tcW w:type="dxa" w:w="1174"/>
          </w:tcPr>
          <w:p>
            <w:r>
              <w:t>0.634</w:t>
            </w:r>
          </w:p>
        </w:tc>
        <w:tc>
          <w:tcPr>
            <w:tcW w:type="dxa" w:w="1174"/>
          </w:tcPr>
          <w:p>
            <w:r>
              <w:t>0.673</w:t>
            </w:r>
          </w:p>
        </w:tc>
      </w:tr>
      <w:tr>
        <w:tc>
          <w:tcPr>
            <w:tcW w:type="dxa" w:w="1174"/>
          </w:tcPr>
          <w:p>
            <w:r>
              <w:t>Timer-XL-raw</w:t>
            </w:r>
          </w:p>
        </w:tc>
        <w:tc>
          <w:tcPr>
            <w:tcW w:type="dxa" w:w="1174"/>
          </w:tcPr>
          <w:p>
            <w:r>
              <w:t>0.446</w:t>
            </w:r>
          </w:p>
        </w:tc>
        <w:tc>
          <w:tcPr>
            <w:tcW w:type="dxa" w:w="1174"/>
          </w:tcPr>
          <w:p>
            <w:r>
              <w:t>0.604</w:t>
            </w:r>
          </w:p>
        </w:tc>
        <w:tc>
          <w:tcPr>
            <w:tcW w:type="dxa" w:w="1174"/>
          </w:tcPr>
          <w:p>
            <w:r>
              <w:t>0.634</w:t>
            </w:r>
          </w:p>
        </w:tc>
        <w:tc>
          <w:tcPr>
            <w:tcW w:type="dxa" w:w="1174"/>
          </w:tcPr>
          <w:p>
            <w:r>
              <w:t>0.584</w:t>
            </w:r>
          </w:p>
        </w:tc>
        <w:tc>
          <w:tcPr>
            <w:tcW w:type="dxa" w:w="1174"/>
          </w:tcPr>
          <w:p>
            <w:r>
              <w:t>0.644</w:t>
            </w:r>
          </w:p>
        </w:tc>
        <w:tc>
          <w:tcPr>
            <w:tcW w:type="dxa" w:w="1174"/>
          </w:tcPr>
          <w:p>
            <w:r>
              <w:t>0.693</w:t>
            </w:r>
          </w:p>
        </w:tc>
      </w:tr>
      <w:tr>
        <w:tc>
          <w:tcPr>
            <w:tcW w:type="dxa" w:w="1174"/>
          </w:tcPr>
          <w:p>
            <w:r>
              <w:t>Time-MoE (zero-shot)</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c>
          <w:tcPr>
            <w:tcW w:type="dxa" w:w="1174"/>
          </w:tcPr>
          <w:p>
            <w:r>
              <w:t>0.396</w:t>
            </w:r>
          </w:p>
        </w:tc>
      </w:tr>
      <w:tr>
        <w:tc>
          <w:tcPr>
            <w:tcW w:type="dxa" w:w="1174"/>
          </w:tcPr>
          <w:p>
            <w:r>
              <w:t>Sundial (zero-shot)</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c>
          <w:tcPr>
            <w:tcW w:type="dxa" w:w="1174"/>
          </w:tcPr>
          <w:p>
            <w:r>
              <w:t>0.337</w:t>
            </w:r>
          </w:p>
        </w:tc>
      </w:tr>
      <w:tr>
        <w:tc>
          <w:tcPr>
            <w:tcW w:type="dxa" w:w="1174"/>
          </w:tcPr>
          <w:p>
            <w:r>
              <w:t>STA-ConvBiLSTM</w:t>
            </w:r>
          </w:p>
        </w:tc>
        <w:tc>
          <w:tcPr>
            <w:tcW w:type="dxa" w:w="1174"/>
          </w:tcPr>
          <w:p>
            <w:r>
              <w:t>0.030</w:t>
            </w:r>
          </w:p>
        </w:tc>
        <w:tc>
          <w:tcPr>
            <w:tcW w:type="dxa" w:w="1174"/>
          </w:tcPr>
          <w:p>
            <w:r>
              <w:t>0.366</w:t>
            </w:r>
          </w:p>
        </w:tc>
        <w:tc>
          <w:tcPr>
            <w:tcW w:type="dxa" w:w="1174"/>
          </w:tcPr>
          <w:p>
            <w:r>
              <w:t>0.455</w:t>
            </w:r>
          </w:p>
        </w:tc>
        <w:tc>
          <w:tcPr>
            <w:tcW w:type="dxa" w:w="1174"/>
          </w:tcPr>
          <w:p>
            <w:r>
              <w:t>0.455</w:t>
            </w:r>
          </w:p>
        </w:tc>
        <w:tc>
          <w:tcPr>
            <w:tcW w:type="dxa" w:w="1174"/>
          </w:tcPr>
          <w:p>
            <w:r>
              <w:t>0.515</w:t>
            </w:r>
          </w:p>
        </w:tc>
        <w:tc>
          <w:tcPr>
            <w:tcW w:type="dxa" w:w="1174"/>
          </w:tcPr>
          <w:p>
            <w:r>
              <w:t>0.535</w:t>
            </w:r>
          </w:p>
        </w:tc>
      </w:tr>
      <w:tr>
        <w:tc>
          <w:tcPr>
            <w:tcW w:type="dxa" w:w="1174"/>
          </w:tcPr>
          <w:p>
            <w:r>
              <w:t>TCN-Transformer</w:t>
            </w:r>
          </w:p>
        </w:tc>
        <w:tc>
          <w:tcPr>
            <w:tcW w:type="dxa" w:w="1174"/>
          </w:tcPr>
          <w:p>
            <w:r>
              <w:t>0.050</w:t>
            </w:r>
          </w:p>
        </w:tc>
        <w:tc>
          <w:tcPr>
            <w:tcW w:type="dxa" w:w="1174"/>
          </w:tcPr>
          <w:p>
            <w:r>
              <w:t>0.188</w:t>
            </w:r>
          </w:p>
        </w:tc>
        <w:tc>
          <w:tcPr>
            <w:tcW w:type="dxa" w:w="1174"/>
          </w:tcPr>
          <w:p>
            <w:r>
              <w:t>0.386</w:t>
            </w:r>
          </w:p>
        </w:tc>
        <w:tc>
          <w:tcPr>
            <w:tcW w:type="dxa" w:w="1174"/>
          </w:tcPr>
          <w:p>
            <w:r>
              <w:t>0.495</w:t>
            </w:r>
          </w:p>
        </w:tc>
        <w:tc>
          <w:tcPr>
            <w:tcW w:type="dxa" w:w="1174"/>
          </w:tcPr>
          <w:p>
            <w:r>
              <w:t>0.446</w:t>
            </w:r>
          </w:p>
        </w:tc>
        <w:tc>
          <w:tcPr>
            <w:tcW w:type="dxa" w:w="1174"/>
          </w:tcPr>
          <w:p>
            <w:r>
              <w:t>0.446</w:t>
            </w:r>
          </w:p>
        </w:tc>
      </w:tr>
      <w:tr>
        <w:tc>
          <w:tcPr>
            <w:tcW w:type="dxa" w:w="1174"/>
          </w:tcPr>
          <w:p>
            <w:r>
              <w:t>DiPCA-LSTM</w:t>
            </w:r>
          </w:p>
        </w:tc>
        <w:tc>
          <w:tcPr>
            <w:tcW w:type="dxa" w:w="1174"/>
          </w:tcPr>
          <w:p>
            <w:r>
              <w:t>0.050</w:t>
            </w:r>
          </w:p>
        </w:tc>
        <w:tc>
          <w:tcPr>
            <w:tcW w:type="dxa" w:w="1174"/>
          </w:tcPr>
          <w:p>
            <w:r>
              <w:t>0.079</w:t>
            </w:r>
          </w:p>
        </w:tc>
        <w:tc>
          <w:tcPr>
            <w:tcW w:type="dxa" w:w="1174"/>
          </w:tcPr>
          <w:p>
            <w:r>
              <w:t>0.079</w:t>
            </w:r>
          </w:p>
        </w:tc>
        <w:tc>
          <w:tcPr>
            <w:tcW w:type="dxa" w:w="1174"/>
          </w:tcPr>
          <w:p>
            <w:r>
              <w:t>0.099</w:t>
            </w:r>
          </w:p>
        </w:tc>
        <w:tc>
          <w:tcPr>
            <w:tcW w:type="dxa" w:w="1174"/>
          </w:tcPr>
          <w:p>
            <w:r>
              <w:t>0.158</w:t>
            </w:r>
          </w:p>
        </w:tc>
        <w:tc>
          <w:tcPr>
            <w:tcW w:type="dxa" w:w="1174"/>
          </w:tcPr>
          <w:p>
            <w:r>
              <w:t>0.099</w:t>
            </w:r>
          </w:p>
        </w:tc>
      </w:tr>
      <w:tr>
        <w:tc>
          <w:tcPr>
            <w:tcW w:type="dxa" w:w="1174"/>
          </w:tcPr>
          <w:p>
            <w:r>
              <w:t>CNN-LSTM</w:t>
            </w:r>
          </w:p>
        </w:tc>
        <w:tc>
          <w:tcPr>
            <w:tcW w:type="dxa" w:w="1174"/>
          </w:tcPr>
          <w:p>
            <w:r>
              <w:t>0.010</w:t>
            </w:r>
          </w:p>
        </w:tc>
        <w:tc>
          <w:tcPr>
            <w:tcW w:type="dxa" w:w="1174"/>
          </w:tcPr>
          <w:p>
            <w:r>
              <w:t>0.059</w:t>
            </w:r>
          </w:p>
        </w:tc>
        <w:tc>
          <w:tcPr>
            <w:tcW w:type="dxa" w:w="1174"/>
          </w:tcPr>
          <w:p>
            <w:r>
              <w:t>0.040</w:t>
            </w:r>
          </w:p>
        </w:tc>
        <w:tc>
          <w:tcPr>
            <w:tcW w:type="dxa" w:w="1174"/>
          </w:tcPr>
          <w:p>
            <w:r>
              <w:t>0.069</w:t>
            </w:r>
          </w:p>
        </w:tc>
        <w:tc>
          <w:tcPr>
            <w:tcW w:type="dxa" w:w="1174"/>
          </w:tcPr>
          <w:p>
            <w:r>
              <w:t>0.089</w:t>
            </w:r>
          </w:p>
        </w:tc>
        <w:tc>
          <w:tcPr>
            <w:tcW w:type="dxa" w:w="1174"/>
          </w:tcPr>
          <w:p>
            <w:r>
              <w:t>0.119</w:t>
            </w:r>
          </w:p>
        </w:tc>
      </w:tr>
      <w:tr>
        <w:tc>
          <w:tcPr>
            <w:tcW w:type="dxa" w:w="1174"/>
          </w:tcPr>
          <w:p>
            <w:r>
              <w:t>LSTM-GRU</w:t>
            </w:r>
          </w:p>
        </w:tc>
        <w:tc>
          <w:tcPr>
            <w:tcW w:type="dxa" w:w="1174"/>
          </w:tcPr>
          <w:p>
            <w:r>
              <w:t>0.030</w:t>
            </w:r>
          </w:p>
        </w:tc>
        <w:tc>
          <w:tcPr>
            <w:tcW w:type="dxa" w:w="1174"/>
          </w:tcPr>
          <w:p>
            <w:r>
              <w:t>0.010</w:t>
            </w:r>
          </w:p>
        </w:tc>
        <w:tc>
          <w:tcPr>
            <w:tcW w:type="dxa" w:w="1174"/>
          </w:tcPr>
          <w:p>
            <w:r>
              <w:t>0.050</w:t>
            </w:r>
          </w:p>
        </w:tc>
        <w:tc>
          <w:tcPr>
            <w:tcW w:type="dxa" w:w="1174"/>
          </w:tcPr>
          <w:p>
            <w:r>
              <w:t>0.069</w:t>
            </w:r>
          </w:p>
        </w:tc>
        <w:tc>
          <w:tcPr>
            <w:tcW w:type="dxa" w:w="1174"/>
          </w:tcPr>
          <w:p>
            <w:r>
              <w:t>0.050</w:t>
            </w:r>
          </w:p>
        </w:tc>
        <w:tc>
          <w:tcPr>
            <w:tcW w:type="dxa" w:w="1174"/>
          </w:tcPr>
          <w:p>
            <w:r>
              <w:t>0.059</w:t>
            </w:r>
          </w:p>
        </w:tc>
      </w:tr>
    </w:tbl>
    <w:p>
      <w:r>
        <w:t xml:space="preserve">[[ FIGURE 4 PLACEHOLDER — insert image here ]]</w:t>
      </w:r>
    </w:p>
    <w:p>
      <w:r>
        <w:t xml:space="preserve">Fig. 4. Prognostic recall versus the training-subset ratio ρ (log scale) for the operator views, the two zero-shot foundation models, and the two strongest supervised baselines. The operator curves stay flat while the baselines collapse at small ρ.</w:t>
      </w:r>
    </w:p>
    <w:p>
      <w:pPr>
        <w:pStyle w:val="2"/>
      </w:pPr>
      <w:r>
        <w:t xml:space="preserve">5.2	Comparison with baselines and zero-shot models</w:t>
      </w:r>
    </w:p>
    <w:p>
      <w:r>
        <w:t xml:space="preserve">The gap to the supervised baselines is large and widens as data shrinks. Timer-XL-diff at 1% data, with a recall of 0.653, already exceeds the best baseline at 100% data, a hundred-fold data advantage at equal or better sensitivity. The advantage is not bought with false alarms. Table 2 shows that the difference view holds FAR ≤ 0.033 across all ratios, inside the 0.05 budget, and the raw view stays lower still. The union and second-difference operators trade the budget for sensitivity, with FAR rising to 0.08 to 0.16 at small ρ. The supervised baselines show near-zero FAR only because they rarely alarm at all, the same conservatism that suppresses their recall.</w:t>
      </w:r>
    </w:p>
    <w:p>
      <w:r>
        <w:t>Table 2. False prognosis rate (Eq. 22) versus ρ. Operational budget: FAR ≤ 0.05.</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Timer-XL-diff</w:t>
            </w:r>
          </w:p>
        </w:tc>
        <w:tc>
          <w:tcPr>
            <w:tcW w:type="dxa" w:w="1174"/>
          </w:tcPr>
          <w:p>
            <w:r>
              <w:t>0.033</w:t>
            </w:r>
          </w:p>
        </w:tc>
        <w:tc>
          <w:tcPr>
            <w:tcW w:type="dxa" w:w="1174"/>
          </w:tcPr>
          <w:p>
            <w:r>
              <w:t>0.033</w:t>
            </w:r>
          </w:p>
        </w:tc>
        <w:tc>
          <w:tcPr>
            <w:tcW w:type="dxa" w:w="1174"/>
          </w:tcPr>
          <w:p>
            <w:r>
              <w:t>0.027</w:t>
            </w:r>
          </w:p>
        </w:tc>
        <w:tc>
          <w:tcPr>
            <w:tcW w:type="dxa" w:w="1174"/>
          </w:tcPr>
          <w:p>
            <w:r>
              <w:t>0.023</w:t>
            </w:r>
          </w:p>
        </w:tc>
        <w:tc>
          <w:tcPr>
            <w:tcW w:type="dxa" w:w="1174"/>
          </w:tcPr>
          <w:p>
            <w:r>
              <w:t>0.013</w:t>
            </w:r>
          </w:p>
        </w:tc>
        <w:tc>
          <w:tcPr>
            <w:tcW w:type="dxa" w:w="1174"/>
          </w:tcPr>
          <w:p>
            <w:r>
              <w:t>0.017</w:t>
            </w:r>
          </w:p>
        </w:tc>
      </w:tr>
      <w:tr>
        <w:tc>
          <w:tcPr>
            <w:tcW w:type="dxa" w:w="1174"/>
          </w:tcPr>
          <w:p>
            <w:r>
              <w:t>Timer-XL-raw</w:t>
            </w:r>
          </w:p>
        </w:tc>
        <w:tc>
          <w:tcPr>
            <w:tcW w:type="dxa" w:w="1174"/>
          </w:tcPr>
          <w:p>
            <w:r>
              <w:t>0.011</w:t>
            </w:r>
          </w:p>
        </w:tc>
        <w:tc>
          <w:tcPr>
            <w:tcW w:type="dxa" w:w="1174"/>
          </w:tcPr>
          <w:p>
            <w:r>
              <w:t>0.015</w:t>
            </w:r>
          </w:p>
        </w:tc>
        <w:tc>
          <w:tcPr>
            <w:tcW w:type="dxa" w:w="1174"/>
          </w:tcPr>
          <w:p>
            <w:r>
              <w:t>0.013</w:t>
            </w:r>
          </w:p>
        </w:tc>
        <w:tc>
          <w:tcPr>
            <w:tcW w:type="dxa" w:w="1174"/>
          </w:tcPr>
          <w:p>
            <w:r>
              <w:t>0.016</w:t>
            </w:r>
          </w:p>
        </w:tc>
        <w:tc>
          <w:tcPr>
            <w:tcW w:type="dxa" w:w="1174"/>
          </w:tcPr>
          <w:p>
            <w:r>
              <w:t>0.021</w:t>
            </w:r>
          </w:p>
        </w:tc>
        <w:tc>
          <w:tcPr>
            <w:tcW w:type="dxa" w:w="1174"/>
          </w:tcPr>
          <w:p>
            <w:r>
              <w:t>0.020</w:t>
            </w:r>
          </w:p>
        </w:tc>
      </w:tr>
      <w:tr>
        <w:tc>
          <w:tcPr>
            <w:tcW w:type="dxa" w:w="1174"/>
          </w:tcPr>
          <w:p>
            <w:r>
              <w:t>Timer-XL-∇²</w:t>
            </w:r>
          </w:p>
        </w:tc>
        <w:tc>
          <w:tcPr>
            <w:tcW w:type="dxa" w:w="1174"/>
          </w:tcPr>
          <w:p>
            <w:r>
              <w:t>0.159</w:t>
            </w:r>
          </w:p>
        </w:tc>
        <w:tc>
          <w:tcPr>
            <w:tcW w:type="dxa" w:w="1174"/>
          </w:tcPr>
          <w:p>
            <w:r>
              <w:t>0.126</w:t>
            </w:r>
          </w:p>
        </w:tc>
        <w:tc>
          <w:tcPr>
            <w:tcW w:type="dxa" w:w="1174"/>
          </w:tcPr>
          <w:p>
            <w:r>
              <w:t>0.106</w:t>
            </w:r>
          </w:p>
        </w:tc>
        <w:tc>
          <w:tcPr>
            <w:tcW w:type="dxa" w:w="1174"/>
          </w:tcPr>
          <w:p>
            <w:r>
              <w:t>0.084</w:t>
            </w:r>
          </w:p>
        </w:tc>
        <w:tc>
          <w:tcPr>
            <w:tcW w:type="dxa" w:w="1174"/>
          </w:tcPr>
          <w:p>
            <w:r>
              <w:t>0.079</w:t>
            </w:r>
          </w:p>
        </w:tc>
        <w:tc>
          <w:tcPr>
            <w:tcW w:type="dxa" w:w="1174"/>
          </w:tcPr>
          <w:p>
            <w:r>
              <w:t>0.075</w:t>
            </w:r>
          </w:p>
        </w:tc>
      </w:tr>
      <w:tr>
        <w:tc>
          <w:tcPr>
            <w:tcW w:type="dxa" w:w="1174"/>
          </w:tcPr>
          <w:p>
            <w:r>
              <w:t>Union (∇, ∇²)</w:t>
            </w:r>
          </w:p>
        </w:tc>
        <w:tc>
          <w:tcPr>
            <w:tcW w:type="dxa" w:w="1174"/>
          </w:tcPr>
          <w:p>
            <w:r>
              <w:t>0.163</w:t>
            </w:r>
          </w:p>
        </w:tc>
        <w:tc>
          <w:tcPr>
            <w:tcW w:type="dxa" w:w="1174"/>
          </w:tcPr>
          <w:p>
            <w:r>
              <w:t>0.132</w:t>
            </w:r>
          </w:p>
        </w:tc>
        <w:tc>
          <w:tcPr>
            <w:tcW w:type="dxa" w:w="1174"/>
          </w:tcPr>
          <w:p>
            <w:r>
              <w:t>0.113</w:t>
            </w:r>
          </w:p>
        </w:tc>
        <w:tc>
          <w:tcPr>
            <w:tcW w:type="dxa" w:w="1174"/>
          </w:tcPr>
          <w:p>
            <w:r>
              <w:t>0.088</w:t>
            </w:r>
          </w:p>
        </w:tc>
        <w:tc>
          <w:tcPr>
            <w:tcW w:type="dxa" w:w="1174"/>
          </w:tcPr>
          <w:p>
            <w:r>
              <w:t>0.081</w:t>
            </w:r>
          </w:p>
        </w:tc>
        <w:tc>
          <w:tcPr>
            <w:tcW w:type="dxa" w:w="1174"/>
          </w:tcPr>
          <w:p>
            <w:r>
              <w:t>0.081</w:t>
            </w:r>
          </w:p>
        </w:tc>
      </w:tr>
      <w:tr>
        <w:tc>
          <w:tcPr>
            <w:tcW w:type="dxa" w:w="1174"/>
          </w:tcPr>
          <w:p>
            <w:r>
              <w:t>Time-MoE (zero-shot)</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c>
          <w:tcPr>
            <w:tcW w:type="dxa" w:w="1174"/>
          </w:tcPr>
          <w:p>
            <w:r>
              <w:t>0.010</w:t>
            </w:r>
          </w:p>
        </w:tc>
      </w:tr>
      <w:tr>
        <w:tc>
          <w:tcPr>
            <w:tcW w:type="dxa" w:w="1174"/>
          </w:tcPr>
          <w:p>
            <w:r>
              <w:t>Sundial (zero-shot)</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c>
          <w:tcPr>
            <w:tcW w:type="dxa" w:w="1174"/>
          </w:tcPr>
          <w:p>
            <w:r>
              <w:t>0.004</w:t>
            </w:r>
          </w:p>
        </w:tc>
      </w:tr>
      <w:tr>
        <w:tc>
          <w:tcPr>
            <w:tcW w:type="dxa" w:w="1174"/>
          </w:tcPr>
          <w:p>
            <w:r>
              <w:t>STA-ConvBiLSTM</w:t>
            </w:r>
          </w:p>
        </w:tc>
        <w:tc>
          <w:tcPr>
            <w:tcW w:type="dxa" w:w="1174"/>
          </w:tcPr>
          <w:p>
            <w:r>
              <w:t>0.001</w:t>
            </w:r>
          </w:p>
        </w:tc>
        <w:tc>
          <w:tcPr>
            <w:tcW w:type="dxa" w:w="1174"/>
          </w:tcPr>
          <w:p>
            <w:r>
              <w:t>0.029</w:t>
            </w:r>
          </w:p>
        </w:tc>
        <w:tc>
          <w:tcPr>
            <w:tcW w:type="dxa" w:w="1174"/>
          </w:tcPr>
          <w:p>
            <w:r>
              <w:t>0.040</w:t>
            </w:r>
          </w:p>
        </w:tc>
        <w:tc>
          <w:tcPr>
            <w:tcW w:type="dxa" w:w="1174"/>
          </w:tcPr>
          <w:p>
            <w:r>
              <w:t>0.012</w:t>
            </w:r>
          </w:p>
        </w:tc>
        <w:tc>
          <w:tcPr>
            <w:tcW w:type="dxa" w:w="1174"/>
          </w:tcPr>
          <w:p>
            <w:r>
              <w:t>0.014</w:t>
            </w:r>
          </w:p>
        </w:tc>
        <w:tc>
          <w:tcPr>
            <w:tcW w:type="dxa" w:w="1174"/>
          </w:tcPr>
          <w:p>
            <w:r>
              <w:t>0.014</w:t>
            </w:r>
          </w:p>
        </w:tc>
      </w:tr>
      <w:tr>
        <w:tc>
          <w:tcPr>
            <w:tcW w:type="dxa" w:w="1174"/>
          </w:tcPr>
          <w:p>
            <w:r>
              <w:t>TCN-Transformer</w:t>
            </w:r>
          </w:p>
        </w:tc>
        <w:tc>
          <w:tcPr>
            <w:tcW w:type="dxa" w:w="1174"/>
          </w:tcPr>
          <w:p>
            <w:r>
              <w:t>0.001</w:t>
            </w:r>
          </w:p>
        </w:tc>
        <w:tc>
          <w:tcPr>
            <w:tcW w:type="dxa" w:w="1174"/>
          </w:tcPr>
          <w:p>
            <w:r>
              <w:t>0.008</w:t>
            </w:r>
          </w:p>
        </w:tc>
        <w:tc>
          <w:tcPr>
            <w:tcW w:type="dxa" w:w="1174"/>
          </w:tcPr>
          <w:p>
            <w:r>
              <w:t>0.012</w:t>
            </w:r>
          </w:p>
        </w:tc>
        <w:tc>
          <w:tcPr>
            <w:tcW w:type="dxa" w:w="1174"/>
          </w:tcPr>
          <w:p>
            <w:r>
              <w:t>0.010</w:t>
            </w:r>
          </w:p>
        </w:tc>
        <w:tc>
          <w:tcPr>
            <w:tcW w:type="dxa" w:w="1174"/>
          </w:tcPr>
          <w:p>
            <w:r>
              <w:t>0.010</w:t>
            </w:r>
          </w:p>
        </w:tc>
        <w:tc>
          <w:tcPr>
            <w:tcW w:type="dxa" w:w="1174"/>
          </w:tcPr>
          <w:p>
            <w:r>
              <w:t>0.030</w:t>
            </w:r>
          </w:p>
        </w:tc>
      </w:tr>
      <w:tr>
        <w:tc>
          <w:tcPr>
            <w:tcW w:type="dxa" w:w="1174"/>
          </w:tcPr>
          <w:p>
            <w:r>
              <w:t>DiPCA-LSTM</w:t>
            </w:r>
          </w:p>
        </w:tc>
        <w:tc>
          <w:tcPr>
            <w:tcW w:type="dxa" w:w="1174"/>
          </w:tcPr>
          <w:p>
            <w:r>
              <w:t>0.000</w:t>
            </w:r>
          </w:p>
        </w:tc>
        <w:tc>
          <w:tcPr>
            <w:tcW w:type="dxa" w:w="1174"/>
          </w:tcPr>
          <w:p>
            <w:r>
              <w:t>0.001</w:t>
            </w:r>
          </w:p>
        </w:tc>
        <w:tc>
          <w:tcPr>
            <w:tcW w:type="dxa" w:w="1174"/>
          </w:tcPr>
          <w:p>
            <w:r>
              <w:t>0.001</w:t>
            </w:r>
          </w:p>
        </w:tc>
        <w:tc>
          <w:tcPr>
            <w:tcW w:type="dxa" w:w="1174"/>
          </w:tcPr>
          <w:p>
            <w:r>
              <w:t>0.001</w:t>
            </w:r>
          </w:p>
        </w:tc>
        <w:tc>
          <w:tcPr>
            <w:tcW w:type="dxa" w:w="1174"/>
          </w:tcPr>
          <w:p>
            <w:r>
              <w:t>0.003</w:t>
            </w:r>
          </w:p>
        </w:tc>
        <w:tc>
          <w:tcPr>
            <w:tcW w:type="dxa" w:w="1174"/>
          </w:tcPr>
          <w:p>
            <w:r>
              <w:t>0.000</w:t>
            </w:r>
          </w:p>
        </w:tc>
      </w:tr>
      <w:tr>
        <w:tc>
          <w:tcPr>
            <w:tcW w:type="dxa" w:w="1174"/>
          </w:tcPr>
          <w:p>
            <w:r>
              <w:t>CNN-LSTM</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c>
          <w:tcPr>
            <w:tcW w:type="dxa" w:w="1174"/>
          </w:tcPr>
          <w:p>
            <w:r>
              <w:t>0.003</w:t>
            </w:r>
          </w:p>
        </w:tc>
      </w:tr>
      <w:tr>
        <w:tc>
          <w:tcPr>
            <w:tcW w:type="dxa" w:w="1174"/>
          </w:tcPr>
          <w:p>
            <w:r>
              <w:t>LSTM-GRU</w:t>
            </w:r>
          </w:p>
        </w:tc>
        <w:tc>
          <w:tcPr>
            <w:tcW w:type="dxa" w:w="1174"/>
          </w:tcPr>
          <w:p>
            <w:r>
              <w:t>0.001</w:t>
            </w:r>
          </w:p>
        </w:tc>
        <w:tc>
          <w:tcPr>
            <w:tcW w:type="dxa" w:w="1174"/>
          </w:tcPr>
          <w:p>
            <w:r>
              <w:t>0.000</w:t>
            </w:r>
          </w:p>
        </w:tc>
        <w:tc>
          <w:tcPr>
            <w:tcW w:type="dxa" w:w="1174"/>
          </w:tcPr>
          <w:p>
            <w:r>
              <w:t>0.000</w:t>
            </w:r>
          </w:p>
        </w:tc>
        <w:tc>
          <w:tcPr>
            <w:tcW w:type="dxa" w:w="1174"/>
          </w:tcPr>
          <w:p>
            <w:r>
              <w:t>0.000</w:t>
            </w:r>
          </w:p>
        </w:tc>
        <w:tc>
          <w:tcPr>
            <w:tcW w:type="dxa" w:w="1174"/>
          </w:tcPr>
          <w:p>
            <w:r>
              <w:t>0.001</w:t>
            </w:r>
          </w:p>
        </w:tc>
        <w:tc>
          <w:tcPr>
            <w:tcW w:type="dxa" w:w="1174"/>
          </w:tcPr>
          <w:p>
            <w:r>
              <w:t>0.000</w:t>
            </w:r>
          </w:p>
        </w:tc>
      </w:tr>
    </w:tbl>
    <w:p>
      <w:r>
        <w:t xml:space="preserve">Mean lead time tells the same story in operational units (Table 3, Fig. 5). On these near-onset windows the operators warn 2.9 to 3.5 min ahead and hold that lead down to 1% data, whereas the best baseline reaches 2.3 min only at full data and forfeits nearly all of it in the cold-start regime. The weak baselines give essentially no anticipation.</w:t>
      </w:r>
    </w:p>
    <w:p>
      <w:r>
        <w:t>Table 3. Mean lead time (Eq. 23), in minutes, versus ρ. Horizon ceiling H·Δt = 15 min.</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Union (∇, ∇²)</w:t>
            </w:r>
          </w:p>
        </w:tc>
        <w:tc>
          <w:tcPr>
            <w:tcW w:type="dxa" w:w="1174"/>
          </w:tcPr>
          <w:p>
            <w:r>
              <w:t>3.53</w:t>
            </w:r>
          </w:p>
        </w:tc>
        <w:tc>
          <w:tcPr>
            <w:tcW w:type="dxa" w:w="1174"/>
          </w:tcPr>
          <w:p>
            <w:r>
              <w:t>3.24</w:t>
            </w:r>
          </w:p>
        </w:tc>
        <w:tc>
          <w:tcPr>
            <w:tcW w:type="dxa" w:w="1174"/>
          </w:tcPr>
          <w:p>
            <w:r>
              <w:t>3.48</w:t>
            </w:r>
          </w:p>
        </w:tc>
        <w:tc>
          <w:tcPr>
            <w:tcW w:type="dxa" w:w="1174"/>
          </w:tcPr>
          <w:p>
            <w:r>
              <w:t>3.44</w:t>
            </w:r>
          </w:p>
        </w:tc>
        <w:tc>
          <w:tcPr>
            <w:tcW w:type="dxa" w:w="1174"/>
          </w:tcPr>
          <w:p>
            <w:r>
              <w:t>3.34</w:t>
            </w:r>
          </w:p>
        </w:tc>
        <w:tc>
          <w:tcPr>
            <w:tcW w:type="dxa" w:w="1174"/>
          </w:tcPr>
          <w:p>
            <w:r>
              <w:t>3.44</w:t>
            </w:r>
          </w:p>
        </w:tc>
      </w:tr>
      <w:tr>
        <w:tc>
          <w:tcPr>
            <w:tcW w:type="dxa" w:w="1174"/>
          </w:tcPr>
          <w:p>
            <w:r>
              <w:t>Timer-XL-∇²</w:t>
            </w:r>
          </w:p>
        </w:tc>
        <w:tc>
          <w:tcPr>
            <w:tcW w:type="dxa" w:w="1174"/>
          </w:tcPr>
          <w:p>
            <w:r>
              <w:t>3.19</w:t>
            </w:r>
          </w:p>
        </w:tc>
        <w:tc>
          <w:tcPr>
            <w:tcW w:type="dxa" w:w="1174"/>
          </w:tcPr>
          <w:p>
            <w:r>
              <w:t>3.24</w:t>
            </w:r>
          </w:p>
        </w:tc>
        <w:tc>
          <w:tcPr>
            <w:tcW w:type="dxa" w:w="1174"/>
          </w:tcPr>
          <w:p>
            <w:r>
              <w:t>3.29</w:t>
            </w:r>
          </w:p>
        </w:tc>
        <w:tc>
          <w:tcPr>
            <w:tcW w:type="dxa" w:w="1174"/>
          </w:tcPr>
          <w:p>
            <w:r>
              <w:t>3.34</w:t>
            </w:r>
          </w:p>
        </w:tc>
        <w:tc>
          <w:tcPr>
            <w:tcW w:type="dxa" w:w="1174"/>
          </w:tcPr>
          <w:p>
            <w:r>
              <w:t>2.90</w:t>
            </w:r>
          </w:p>
        </w:tc>
        <w:tc>
          <w:tcPr>
            <w:tcW w:type="dxa" w:w="1174"/>
          </w:tcPr>
          <w:p>
            <w:r>
              <w:t>3.10</w:t>
            </w:r>
          </w:p>
        </w:tc>
      </w:tr>
      <w:tr>
        <w:tc>
          <w:tcPr>
            <w:tcW w:type="dxa" w:w="1174"/>
          </w:tcPr>
          <w:p>
            <w:r>
              <w:t>Timer-XL-diff</w:t>
            </w:r>
          </w:p>
        </w:tc>
        <w:tc>
          <w:tcPr>
            <w:tcW w:type="dxa" w:w="1174"/>
          </w:tcPr>
          <w:p>
            <w:r>
              <w:t>3.15</w:t>
            </w:r>
          </w:p>
        </w:tc>
        <w:tc>
          <w:tcPr>
            <w:tcW w:type="dxa" w:w="1174"/>
          </w:tcPr>
          <w:p>
            <w:r>
              <w:t>2.61</w:t>
            </w:r>
          </w:p>
        </w:tc>
        <w:tc>
          <w:tcPr>
            <w:tcW w:type="dxa" w:w="1174"/>
          </w:tcPr>
          <w:p>
            <w:r>
              <w:t>2.81</w:t>
            </w:r>
          </w:p>
        </w:tc>
        <w:tc>
          <w:tcPr>
            <w:tcW w:type="dxa" w:w="1174"/>
          </w:tcPr>
          <w:p>
            <w:r>
              <w:t>2.66</w:t>
            </w:r>
          </w:p>
        </w:tc>
        <w:tc>
          <w:tcPr>
            <w:tcW w:type="dxa" w:w="1174"/>
          </w:tcPr>
          <w:p>
            <w:r>
              <w:t>2.66</w:t>
            </w:r>
          </w:p>
        </w:tc>
        <w:tc>
          <w:tcPr>
            <w:tcW w:type="dxa" w:w="1174"/>
          </w:tcPr>
          <w:p>
            <w:r>
              <w:t>2.95</w:t>
            </w:r>
          </w:p>
        </w:tc>
      </w:tr>
      <w:tr>
        <w:tc>
          <w:tcPr>
            <w:tcW w:type="dxa" w:w="1174"/>
          </w:tcPr>
          <w:p>
            <w:r>
              <w:t>Timer-XL-raw</w:t>
            </w:r>
          </w:p>
        </w:tc>
        <w:tc>
          <w:tcPr>
            <w:tcW w:type="dxa" w:w="1174"/>
          </w:tcPr>
          <w:p>
            <w:r>
              <w:t>1.89</w:t>
            </w:r>
          </w:p>
        </w:tc>
        <w:tc>
          <w:tcPr>
            <w:tcW w:type="dxa" w:w="1174"/>
          </w:tcPr>
          <w:p>
            <w:r>
              <w:t>2.47</w:t>
            </w:r>
          </w:p>
        </w:tc>
        <w:tc>
          <w:tcPr>
            <w:tcW w:type="dxa" w:w="1174"/>
          </w:tcPr>
          <w:p>
            <w:r>
              <w:t>2.66</w:t>
            </w:r>
          </w:p>
        </w:tc>
        <w:tc>
          <w:tcPr>
            <w:tcW w:type="dxa" w:w="1174"/>
          </w:tcPr>
          <w:p>
            <w:r>
              <w:t>2.47</w:t>
            </w:r>
          </w:p>
        </w:tc>
        <w:tc>
          <w:tcPr>
            <w:tcW w:type="dxa" w:w="1174"/>
          </w:tcPr>
          <w:p>
            <w:r>
              <w:t>2.66</w:t>
            </w:r>
          </w:p>
        </w:tc>
        <w:tc>
          <w:tcPr>
            <w:tcW w:type="dxa" w:w="1174"/>
          </w:tcPr>
          <w:p>
            <w:r>
              <w:t>2.85</w:t>
            </w:r>
          </w:p>
        </w:tc>
      </w:tr>
      <w:tr>
        <w:tc>
          <w:tcPr>
            <w:tcW w:type="dxa" w:w="1174"/>
          </w:tcPr>
          <w:p>
            <w:r>
              <w:t>Time-MoE (zero-shot)</w:t>
            </w:r>
          </w:p>
        </w:tc>
        <w:tc>
          <w:tcPr>
            <w:tcW w:type="dxa" w:w="1174"/>
          </w:tcPr>
          <w:p>
            <w:r>
              <w:t>1.50</w:t>
            </w:r>
          </w:p>
        </w:tc>
        <w:tc>
          <w:tcPr>
            <w:tcW w:type="dxa" w:w="1174"/>
          </w:tcPr>
          <w:p>
            <w:r>
              <w:t>1.50</w:t>
            </w:r>
          </w:p>
        </w:tc>
        <w:tc>
          <w:tcPr>
            <w:tcW w:type="dxa" w:w="1174"/>
          </w:tcPr>
          <w:p>
            <w:r>
              <w:t>1.50</w:t>
            </w:r>
          </w:p>
        </w:tc>
        <w:tc>
          <w:tcPr>
            <w:tcW w:type="dxa" w:w="1174"/>
          </w:tcPr>
          <w:p>
            <w:r>
              <w:t>1.50</w:t>
            </w:r>
          </w:p>
        </w:tc>
        <w:tc>
          <w:tcPr>
            <w:tcW w:type="dxa" w:w="1174"/>
          </w:tcPr>
          <w:p>
            <w:r>
              <w:t>1.50</w:t>
            </w:r>
          </w:p>
        </w:tc>
        <w:tc>
          <w:tcPr>
            <w:tcW w:type="dxa" w:w="1174"/>
          </w:tcPr>
          <w:p>
            <w:r>
              <w:t>1.50</w:t>
            </w:r>
          </w:p>
        </w:tc>
      </w:tr>
      <w:tr>
        <w:tc>
          <w:tcPr>
            <w:tcW w:type="dxa" w:w="1174"/>
          </w:tcPr>
          <w:p>
            <w:r>
              <w:t>Sundial (zero-shot)</w:t>
            </w:r>
          </w:p>
        </w:tc>
        <w:tc>
          <w:tcPr>
            <w:tcW w:type="dxa" w:w="1174"/>
          </w:tcPr>
          <w:p>
            <w:r>
              <w:t>1.31</w:t>
            </w:r>
          </w:p>
        </w:tc>
        <w:tc>
          <w:tcPr>
            <w:tcW w:type="dxa" w:w="1174"/>
          </w:tcPr>
          <w:p>
            <w:r>
              <w:t>1.31</w:t>
            </w:r>
          </w:p>
        </w:tc>
        <w:tc>
          <w:tcPr>
            <w:tcW w:type="dxa" w:w="1174"/>
          </w:tcPr>
          <w:p>
            <w:r>
              <w:t>1.31</w:t>
            </w:r>
          </w:p>
        </w:tc>
        <w:tc>
          <w:tcPr>
            <w:tcW w:type="dxa" w:w="1174"/>
          </w:tcPr>
          <w:p>
            <w:r>
              <w:t>1.31</w:t>
            </w:r>
          </w:p>
        </w:tc>
        <w:tc>
          <w:tcPr>
            <w:tcW w:type="dxa" w:w="1174"/>
          </w:tcPr>
          <w:p>
            <w:r>
              <w:t>1.31</w:t>
            </w:r>
          </w:p>
        </w:tc>
        <w:tc>
          <w:tcPr>
            <w:tcW w:type="dxa" w:w="1174"/>
          </w:tcPr>
          <w:p>
            <w:r>
              <w:t>1.31</w:t>
            </w:r>
          </w:p>
        </w:tc>
      </w:tr>
      <w:tr>
        <w:tc>
          <w:tcPr>
            <w:tcW w:type="dxa" w:w="1174"/>
          </w:tcPr>
          <w:p>
            <w:r>
              <w:t>STA-ConvBiLSTM</w:t>
            </w:r>
          </w:p>
        </w:tc>
        <w:tc>
          <w:tcPr>
            <w:tcW w:type="dxa" w:w="1174"/>
          </w:tcPr>
          <w:p>
            <w:r>
              <w:t>0.29</w:t>
            </w:r>
          </w:p>
        </w:tc>
        <w:tc>
          <w:tcPr>
            <w:tcW w:type="dxa" w:w="1174"/>
          </w:tcPr>
          <w:p>
            <w:r>
              <w:t>1.55</w:t>
            </w:r>
          </w:p>
        </w:tc>
        <w:tc>
          <w:tcPr>
            <w:tcW w:type="dxa" w:w="1174"/>
          </w:tcPr>
          <w:p>
            <w:r>
              <w:t>1.89</w:t>
            </w:r>
          </w:p>
        </w:tc>
        <w:tc>
          <w:tcPr>
            <w:tcW w:type="dxa" w:w="1174"/>
          </w:tcPr>
          <w:p>
            <w:r>
              <w:t>1.79</w:t>
            </w:r>
          </w:p>
        </w:tc>
        <w:tc>
          <w:tcPr>
            <w:tcW w:type="dxa" w:w="1174"/>
          </w:tcPr>
          <w:p>
            <w:r>
              <w:t>2.08</w:t>
            </w:r>
          </w:p>
        </w:tc>
        <w:tc>
          <w:tcPr>
            <w:tcW w:type="dxa" w:w="1174"/>
          </w:tcPr>
          <w:p>
            <w:r>
              <w:t>2.27</w:t>
            </w:r>
          </w:p>
        </w:tc>
      </w:tr>
      <w:tr>
        <w:tc>
          <w:tcPr>
            <w:tcW w:type="dxa" w:w="1174"/>
          </w:tcPr>
          <w:p>
            <w:r>
              <w:t>TCN-Transformer</w:t>
            </w:r>
          </w:p>
        </w:tc>
        <w:tc>
          <w:tcPr>
            <w:tcW w:type="dxa" w:w="1174"/>
          </w:tcPr>
          <w:p>
            <w:r>
              <w:t>0.15</w:t>
            </w:r>
          </w:p>
        </w:tc>
        <w:tc>
          <w:tcPr>
            <w:tcW w:type="dxa" w:w="1174"/>
          </w:tcPr>
          <w:p>
            <w:r>
              <w:t>0.48</w:t>
            </w:r>
          </w:p>
        </w:tc>
        <w:tc>
          <w:tcPr>
            <w:tcW w:type="dxa" w:w="1174"/>
          </w:tcPr>
          <w:p>
            <w:r>
              <w:t>1.06</w:t>
            </w:r>
          </w:p>
        </w:tc>
        <w:tc>
          <w:tcPr>
            <w:tcW w:type="dxa" w:w="1174"/>
          </w:tcPr>
          <w:p>
            <w:r>
              <w:t>1.55</w:t>
            </w:r>
          </w:p>
        </w:tc>
        <w:tc>
          <w:tcPr>
            <w:tcW w:type="dxa" w:w="1174"/>
          </w:tcPr>
          <w:p>
            <w:r>
              <w:t>1.65</w:t>
            </w:r>
          </w:p>
        </w:tc>
        <w:tc>
          <w:tcPr>
            <w:tcW w:type="dxa" w:w="1174"/>
          </w:tcPr>
          <w:p>
            <w:r>
              <w:t>1.55</w:t>
            </w:r>
          </w:p>
        </w:tc>
      </w:tr>
      <w:tr>
        <w:tc>
          <w:tcPr>
            <w:tcW w:type="dxa" w:w="1174"/>
          </w:tcPr>
          <w:p>
            <w:r>
              <w:t>DiPCA-LSTM</w:t>
            </w:r>
          </w:p>
        </w:tc>
        <w:tc>
          <w:tcPr>
            <w:tcW w:type="dxa" w:w="1174"/>
          </w:tcPr>
          <w:p>
            <w:r>
              <w:t>0.29</w:t>
            </w:r>
          </w:p>
        </w:tc>
        <w:tc>
          <w:tcPr>
            <w:tcW w:type="dxa" w:w="1174"/>
          </w:tcPr>
          <w:p>
            <w:r>
              <w:t>0.15</w:t>
            </w:r>
          </w:p>
        </w:tc>
        <w:tc>
          <w:tcPr>
            <w:tcW w:type="dxa" w:w="1174"/>
          </w:tcPr>
          <w:p>
            <w:r>
              <w:t>0.15</w:t>
            </w:r>
          </w:p>
        </w:tc>
        <w:tc>
          <w:tcPr>
            <w:tcW w:type="dxa" w:w="1174"/>
          </w:tcPr>
          <w:p>
            <w:r>
              <w:t>0.19</w:t>
            </w:r>
          </w:p>
        </w:tc>
        <w:tc>
          <w:tcPr>
            <w:tcW w:type="dxa" w:w="1174"/>
          </w:tcPr>
          <w:p>
            <w:r>
              <w:t>0.44</w:t>
            </w:r>
          </w:p>
        </w:tc>
        <w:tc>
          <w:tcPr>
            <w:tcW w:type="dxa" w:w="1174"/>
          </w:tcPr>
          <w:p>
            <w:r>
              <w:t>0.19</w:t>
            </w:r>
          </w:p>
        </w:tc>
      </w:tr>
      <w:tr>
        <w:tc>
          <w:tcPr>
            <w:tcW w:type="dxa" w:w="1174"/>
          </w:tcPr>
          <w:p>
            <w:r>
              <w:t>CNN-LSTM</w:t>
            </w:r>
          </w:p>
        </w:tc>
        <w:tc>
          <w:tcPr>
            <w:tcW w:type="dxa" w:w="1174"/>
          </w:tcPr>
          <w:p>
            <w:r>
              <w:t>0.00</w:t>
            </w:r>
          </w:p>
        </w:tc>
        <w:tc>
          <w:tcPr>
            <w:tcW w:type="dxa" w:w="1174"/>
          </w:tcPr>
          <w:p>
            <w:r>
              <w:t>0.15</w:t>
            </w:r>
          </w:p>
        </w:tc>
        <w:tc>
          <w:tcPr>
            <w:tcW w:type="dxa" w:w="1174"/>
          </w:tcPr>
          <w:p>
            <w:r>
              <w:t>0.15</w:t>
            </w:r>
          </w:p>
        </w:tc>
        <w:tc>
          <w:tcPr>
            <w:tcW w:type="dxa" w:w="1174"/>
          </w:tcPr>
          <w:p>
            <w:r>
              <w:t>0.10</w:t>
            </w:r>
          </w:p>
        </w:tc>
        <w:tc>
          <w:tcPr>
            <w:tcW w:type="dxa" w:w="1174"/>
          </w:tcPr>
          <w:p>
            <w:r>
              <w:t>0.15</w:t>
            </w:r>
          </w:p>
        </w:tc>
        <w:tc>
          <w:tcPr>
            <w:tcW w:type="dxa" w:w="1174"/>
          </w:tcPr>
          <w:p>
            <w:r>
              <w:t>0.44</w:t>
            </w:r>
          </w:p>
        </w:tc>
      </w:tr>
      <w:tr>
        <w:tc>
          <w:tcPr>
            <w:tcW w:type="dxa" w:w="1174"/>
          </w:tcPr>
          <w:p>
            <w:r>
              <w:t>LSTM-GRU</w:t>
            </w:r>
          </w:p>
        </w:tc>
        <w:tc>
          <w:tcPr>
            <w:tcW w:type="dxa" w:w="1174"/>
          </w:tcPr>
          <w:p>
            <w:r>
              <w:t>0.15</w:t>
            </w:r>
          </w:p>
        </w:tc>
        <w:tc>
          <w:tcPr>
            <w:tcW w:type="dxa" w:w="1174"/>
          </w:tcPr>
          <w:p>
            <w:r>
              <w:t>0.00</w:t>
            </w:r>
          </w:p>
        </w:tc>
        <w:tc>
          <w:tcPr>
            <w:tcW w:type="dxa" w:w="1174"/>
          </w:tcPr>
          <w:p>
            <w:r>
              <w:t>0.10</w:t>
            </w:r>
          </w:p>
        </w:tc>
        <w:tc>
          <w:tcPr>
            <w:tcW w:type="dxa" w:w="1174"/>
          </w:tcPr>
          <w:p>
            <w:r>
              <w:t>0.19</w:t>
            </w:r>
          </w:p>
        </w:tc>
        <w:tc>
          <w:tcPr>
            <w:tcW w:type="dxa" w:w="1174"/>
          </w:tcPr>
          <w:p>
            <w:r>
              <w:t>0.15</w:t>
            </w:r>
          </w:p>
        </w:tc>
        <w:tc>
          <w:tcPr>
            <w:tcW w:type="dxa" w:w="1174"/>
          </w:tcPr>
          <w:p>
            <w:r>
              <w:t>0.39</w:t>
            </w:r>
          </w:p>
        </w:tc>
      </w:tr>
    </w:tbl>
    <w:p>
      <w:r>
        <w:t xml:space="preserve">[[ FIGURE 5 PLACEHOLDER — insert image here ]]</w:t>
      </w:r>
    </w:p>
    <w:p>
      <w:r>
        <w:t xml:space="preserve">Fig. 5. (a) False prognosis rate and (b) mean lead time versus ρ for the same method set as Fig. 4. The shaded region in (a) marks the FAR ≤ 0.05 budget.</w:t>
      </w:r>
    </w:p>
    <w:p>
      <w:pPr>
        <w:pStyle w:val="2"/>
      </w:pPr>
      <w:r>
        <w:t xml:space="preserve">5.3	Improvement over the raw foundation model</w:t>
      </w:r>
    </w:p>
    <w:p>
      <w:r>
        <w:t xml:space="preserve">Table 4 isolates the value added by the operators over the raw Timer-XL, the natural single-backbone reference. The comparison of the two data budgets is the central message. At full data the operators improve the raw view only modestly, because the raw view has enough windows to fit the level itself. As data is withdrawn the improvement multiplies, because differencing removes the very quantity, the operating level, that the raw view can no longer estimate from scarce data.</w:t>
      </w:r>
    </w:p>
    <w:p>
      <w:r>
        <w:t xml:space="preserve">Table 4. Improvement over Timer-XL-raw at ρ = 1% and ρ = 100% under the early-warning cutoff. Percentages are relative to the raw view.</w:t>
      </w:r>
    </w:p>
    <w:tbl>
      <w:tblPr>
        <w:tblStyle w:val="af6"/>
        <w:tblW w:type="auto" w:w="0"/>
        <w:tblLook w:firstColumn="1" w:firstRow="1" w:lastColumn="0" w:lastRow="0" w:noHBand="0" w:noVBand="1" w:val="04A0"/>
      </w:tblPr>
      <w:tblGrid>
        <w:gridCol w:w="1370"/>
        <w:gridCol w:w="1370"/>
        <w:gridCol w:w="1370"/>
        <w:gridCol w:w="1370"/>
        <w:gridCol w:w="1370"/>
        <w:gridCol w:w="1370"/>
      </w:tblGrid>
      <w:tr>
        <w:tc>
          <w:tcPr>
            <w:tcW w:type="dxa" w:w="1370"/>
          </w:tcPr>
          <w:p>
            <w:r/>
            <w:r>
              <w:rPr>
                <w:b/>
              </w:rPr>
              <w:t>ρ</w:t>
            </w:r>
          </w:p>
        </w:tc>
        <w:tc>
          <w:tcPr>
            <w:tcW w:type="dxa" w:w="1370"/>
          </w:tcPr>
          <w:p>
            <w:r/>
            <w:r>
              <w:rPr>
                <w:b/>
              </w:rPr>
              <w:t>Method</w:t>
            </w:r>
          </w:p>
        </w:tc>
        <w:tc>
          <w:tcPr>
            <w:tcW w:type="dxa" w:w="1370"/>
          </w:tcPr>
          <w:p>
            <w:r/>
            <w:r>
              <w:rPr>
                <w:b/>
              </w:rPr>
              <w:t>Recall</w:t>
            </w:r>
          </w:p>
        </w:tc>
        <w:tc>
          <w:tcPr>
            <w:tcW w:type="dxa" w:w="1370"/>
          </w:tcPr>
          <w:p>
            <w:r/>
            <w:r>
              <w:rPr>
                <w:b/>
              </w:rPr>
              <w:t>Lead (min)</w:t>
            </w:r>
          </w:p>
        </w:tc>
        <w:tc>
          <w:tcPr>
            <w:tcW w:type="dxa" w:w="1370"/>
          </w:tcPr>
          <w:p>
            <w:r/>
            <w:r>
              <w:rPr>
                <w:b/>
              </w:rPr>
              <w:t>MSE ×10³</w:t>
            </w:r>
          </w:p>
        </w:tc>
        <w:tc>
          <w:tcPr>
            <w:tcW w:type="dxa" w:w="1370"/>
          </w:tcPr>
          <w:p>
            <w:r/>
            <w:r>
              <w:rPr>
                <w:b/>
              </w:rPr>
              <w:t>FAR</w:t>
            </w:r>
          </w:p>
        </w:tc>
      </w:tr>
      <w:tr>
        <w:tc>
          <w:tcPr>
            <w:tcW w:type="dxa" w:w="1370"/>
          </w:tcPr>
          <w:p>
            <w:r>
              <w:t>1%</w:t>
            </w:r>
          </w:p>
        </w:tc>
        <w:tc>
          <w:tcPr>
            <w:tcW w:type="dxa" w:w="1370"/>
          </w:tcPr>
          <w:p>
            <w:r>
              <w:t>raw</w:t>
            </w:r>
          </w:p>
        </w:tc>
        <w:tc>
          <w:tcPr>
            <w:tcW w:type="dxa" w:w="1370"/>
          </w:tcPr>
          <w:p>
            <w:r>
              <w:t>0.446</w:t>
            </w:r>
          </w:p>
        </w:tc>
        <w:tc>
          <w:tcPr>
            <w:tcW w:type="dxa" w:w="1370"/>
          </w:tcPr>
          <w:p>
            <w:r>
              <w:t>1.89</w:t>
            </w:r>
          </w:p>
        </w:tc>
        <w:tc>
          <w:tcPr>
            <w:tcW w:type="dxa" w:w="1370"/>
          </w:tcPr>
          <w:p>
            <w:r>
              <w:t>0.237</w:t>
            </w:r>
          </w:p>
        </w:tc>
        <w:tc>
          <w:tcPr>
            <w:tcW w:type="dxa" w:w="1370"/>
          </w:tcPr>
          <w:p>
            <w:r>
              <w:t>0.011</w:t>
            </w:r>
          </w:p>
        </w:tc>
      </w:tr>
      <w:tr>
        <w:tc>
          <w:tcPr>
            <w:tcW w:type="dxa" w:w="1370"/>
          </w:tcPr>
          <w:p>
            <w:r>
              <w:t>1%</w:t>
            </w:r>
          </w:p>
        </w:tc>
        <w:tc>
          <w:tcPr>
            <w:tcW w:type="dxa" w:w="1370"/>
          </w:tcPr>
          <w:p>
            <w:r>
              <w:t>diff</w:t>
            </w:r>
          </w:p>
        </w:tc>
        <w:tc>
          <w:tcPr>
            <w:tcW w:type="dxa" w:w="1370"/>
          </w:tcPr>
          <w:p>
            <w:r>
              <w:t>0.653 (+46%)</w:t>
            </w:r>
          </w:p>
        </w:tc>
        <w:tc>
          <w:tcPr>
            <w:tcW w:type="dxa" w:w="1370"/>
          </w:tcPr>
          <w:p>
            <w:r>
              <w:t>3.15 (+67%)</w:t>
            </w:r>
          </w:p>
        </w:tc>
        <w:tc>
          <w:tcPr>
            <w:tcW w:type="dxa" w:w="1370"/>
          </w:tcPr>
          <w:p>
            <w:r>
              <w:t>0.087 (−63%)</w:t>
            </w:r>
          </w:p>
        </w:tc>
        <w:tc>
          <w:tcPr>
            <w:tcW w:type="dxa" w:w="1370"/>
          </w:tcPr>
          <w:p>
            <w:r>
              <w:t>0.033</w:t>
            </w:r>
          </w:p>
        </w:tc>
      </w:tr>
      <w:tr>
        <w:tc>
          <w:tcPr>
            <w:tcW w:type="dxa" w:w="1370"/>
          </w:tcPr>
          <w:p>
            <w:r>
              <w:t>1%</w:t>
            </w:r>
          </w:p>
        </w:tc>
        <w:tc>
          <w:tcPr>
            <w:tcW w:type="dxa" w:w="1370"/>
          </w:tcPr>
          <w:p>
            <w:r>
              <w:t>∇²</w:t>
            </w:r>
          </w:p>
        </w:tc>
        <w:tc>
          <w:tcPr>
            <w:tcW w:type="dxa" w:w="1370"/>
          </w:tcPr>
          <w:p>
            <w:r>
              <w:t>0.644 (+44%)</w:t>
            </w:r>
          </w:p>
        </w:tc>
        <w:tc>
          <w:tcPr>
            <w:tcW w:type="dxa" w:w="1370"/>
          </w:tcPr>
          <w:p>
            <w:r>
              <w:t>3.19 (+69%)</w:t>
            </w:r>
          </w:p>
        </w:tc>
        <w:tc>
          <w:tcPr>
            <w:tcW w:type="dxa" w:w="1370"/>
          </w:tcPr>
          <w:p>
            <w:r>
              <w:t>0.159 (−33%)</w:t>
            </w:r>
          </w:p>
        </w:tc>
        <w:tc>
          <w:tcPr>
            <w:tcW w:type="dxa" w:w="1370"/>
          </w:tcPr>
          <w:p>
            <w:r>
              <w:t>0.159</w:t>
            </w:r>
          </w:p>
        </w:tc>
      </w:tr>
      <w:tr>
        <w:tc>
          <w:tcPr>
            <w:tcW w:type="dxa" w:w="1370"/>
          </w:tcPr>
          <w:p>
            <w:r>
              <w:t>1%</w:t>
            </w:r>
          </w:p>
        </w:tc>
        <w:tc>
          <w:tcPr>
            <w:tcW w:type="dxa" w:w="1370"/>
          </w:tcPr>
          <w:p>
            <w:r>
              <w:t>Union</w:t>
            </w:r>
          </w:p>
        </w:tc>
        <w:tc>
          <w:tcPr>
            <w:tcW w:type="dxa" w:w="1370"/>
          </w:tcPr>
          <w:p>
            <w:r>
              <w:t>0.723 (+62%)</w:t>
            </w:r>
          </w:p>
        </w:tc>
        <w:tc>
          <w:tcPr>
            <w:tcW w:type="dxa" w:w="1370"/>
          </w:tcPr>
          <w:p>
            <w:r>
              <w:t>3.53 (+87%)</w:t>
            </w:r>
          </w:p>
        </w:tc>
        <w:tc>
          <w:tcPr>
            <w:tcW w:type="dxa" w:w="1370"/>
          </w:tcPr>
          <w:p>
            <w:r>
              <w:t>0.130 (−45%)</w:t>
            </w:r>
          </w:p>
        </w:tc>
        <w:tc>
          <w:tcPr>
            <w:tcW w:type="dxa" w:w="1370"/>
          </w:tcPr>
          <w:p>
            <w:r>
              <w:t>0.163</w:t>
            </w:r>
          </w:p>
        </w:tc>
      </w:tr>
      <w:tr>
        <w:tc>
          <w:tcPr>
            <w:tcW w:type="dxa" w:w="1370"/>
          </w:tcPr>
          <w:p>
            <w:r>
              <w:t>100%</w:t>
            </w:r>
          </w:p>
        </w:tc>
        <w:tc>
          <w:tcPr>
            <w:tcW w:type="dxa" w:w="1370"/>
          </w:tcPr>
          <w:p>
            <w:r>
              <w:t>raw</w:t>
            </w:r>
          </w:p>
        </w:tc>
        <w:tc>
          <w:tcPr>
            <w:tcW w:type="dxa" w:w="1370"/>
          </w:tcPr>
          <w:p>
            <w:r>
              <w:t>0.693</w:t>
            </w:r>
          </w:p>
        </w:tc>
        <w:tc>
          <w:tcPr>
            <w:tcW w:type="dxa" w:w="1370"/>
          </w:tcPr>
          <w:p>
            <w:r>
              <w:t>2.85</w:t>
            </w:r>
          </w:p>
        </w:tc>
        <w:tc>
          <w:tcPr>
            <w:tcW w:type="dxa" w:w="1370"/>
          </w:tcPr>
          <w:p>
            <w:r>
              <w:t>0.064</w:t>
            </w:r>
          </w:p>
        </w:tc>
        <w:tc>
          <w:tcPr>
            <w:tcW w:type="dxa" w:w="1370"/>
          </w:tcPr>
          <w:p>
            <w:r>
              <w:t>0.020</w:t>
            </w:r>
          </w:p>
        </w:tc>
      </w:tr>
      <w:tr>
        <w:tc>
          <w:tcPr>
            <w:tcW w:type="dxa" w:w="1370"/>
          </w:tcPr>
          <w:p>
            <w:r>
              <w:t>100%</w:t>
            </w:r>
          </w:p>
        </w:tc>
        <w:tc>
          <w:tcPr>
            <w:tcW w:type="dxa" w:w="1370"/>
          </w:tcPr>
          <w:p>
            <w:r>
              <w:t>diff</w:t>
            </w:r>
          </w:p>
        </w:tc>
        <w:tc>
          <w:tcPr>
            <w:tcW w:type="dxa" w:w="1370"/>
          </w:tcPr>
          <w:p>
            <w:r>
              <w:t>0.673 (−3%)</w:t>
            </w:r>
          </w:p>
        </w:tc>
        <w:tc>
          <w:tcPr>
            <w:tcW w:type="dxa" w:w="1370"/>
          </w:tcPr>
          <w:p>
            <w:r>
              <w:t>2.95 (+4%)</w:t>
            </w:r>
          </w:p>
        </w:tc>
        <w:tc>
          <w:tcPr>
            <w:tcW w:type="dxa" w:w="1370"/>
          </w:tcPr>
          <w:p>
            <w:r>
              <w:t>0.048 (−25%)</w:t>
            </w:r>
          </w:p>
        </w:tc>
        <w:tc>
          <w:tcPr>
            <w:tcW w:type="dxa" w:w="1370"/>
          </w:tcPr>
          <w:p>
            <w:r>
              <w:t>0.017</w:t>
            </w:r>
          </w:p>
        </w:tc>
      </w:tr>
      <w:tr>
        <w:tc>
          <w:tcPr>
            <w:tcW w:type="dxa" w:w="1370"/>
          </w:tcPr>
          <w:p>
            <w:r>
              <w:t>100%</w:t>
            </w:r>
          </w:p>
        </w:tc>
        <w:tc>
          <w:tcPr>
            <w:tcW w:type="dxa" w:w="1370"/>
          </w:tcPr>
          <w:p>
            <w:r>
              <w:t>∇²</w:t>
            </w:r>
          </w:p>
        </w:tc>
        <w:tc>
          <w:tcPr>
            <w:tcW w:type="dxa" w:w="1370"/>
          </w:tcPr>
          <w:p>
            <w:r>
              <w:t>0.713 (+3%)</w:t>
            </w:r>
          </w:p>
        </w:tc>
        <w:tc>
          <w:tcPr>
            <w:tcW w:type="dxa" w:w="1370"/>
          </w:tcPr>
          <w:p>
            <w:r>
              <w:t>3.10 (+9%)</w:t>
            </w:r>
          </w:p>
        </w:tc>
        <w:tc>
          <w:tcPr>
            <w:tcW w:type="dxa" w:w="1370"/>
          </w:tcPr>
          <w:p>
            <w:r>
              <w:t>0.065 (±0%)</w:t>
            </w:r>
          </w:p>
        </w:tc>
        <w:tc>
          <w:tcPr>
            <w:tcW w:type="dxa" w:w="1370"/>
          </w:tcPr>
          <w:p>
            <w:r>
              <w:t>0.075</w:t>
            </w:r>
          </w:p>
        </w:tc>
      </w:tr>
      <w:tr>
        <w:tc>
          <w:tcPr>
            <w:tcW w:type="dxa" w:w="1370"/>
          </w:tcPr>
          <w:p>
            <w:r>
              <w:t>100%</w:t>
            </w:r>
          </w:p>
        </w:tc>
        <w:tc>
          <w:tcPr>
            <w:tcW w:type="dxa" w:w="1370"/>
          </w:tcPr>
          <w:p>
            <w:r>
              <w:t>Union</w:t>
            </w:r>
          </w:p>
        </w:tc>
        <w:tc>
          <w:tcPr>
            <w:tcW w:type="dxa" w:w="1370"/>
          </w:tcPr>
          <w:p>
            <w:r>
              <w:t>0.792 (+14%)</w:t>
            </w:r>
          </w:p>
        </w:tc>
        <w:tc>
          <w:tcPr>
            <w:tcW w:type="dxa" w:w="1370"/>
          </w:tcPr>
          <w:p>
            <w:r>
              <w:t>3.44 (+21%)</w:t>
            </w:r>
          </w:p>
        </w:tc>
        <w:tc>
          <w:tcPr>
            <w:tcW w:type="dxa" w:w="1370"/>
          </w:tcPr>
          <w:p>
            <w:r>
              <w:t>0.058 (−9%)</w:t>
            </w:r>
          </w:p>
        </w:tc>
        <w:tc>
          <w:tcPr>
            <w:tcW w:type="dxa" w:w="1370"/>
          </w:tcPr>
          <w:p>
            <w:r>
              <w:t>0.081</w:t>
            </w:r>
          </w:p>
        </w:tc>
      </w:tr>
    </w:tbl>
    <w:p>
      <w:r>
        <w:t xml:space="preserve">The degradation of each method as data falls from 100% to 1% quantifies the same effect. The raw view loses 36% of its recall, 34% of its lead time, and its forecasting error inflates 3.7-fold, whereas the difference view loses only 3% of its recall while keeping its lead and holding error growth to 1.8-fold. The operators convert a data-hungry backbone into a near data-independent one, the property required for cold-start deployment.</w:t>
      </w:r>
    </w:p>
    <w:p>
      <w:pPr>
        <w:pStyle w:val="2"/>
      </w:pPr>
      <w:r>
        <w:t xml:space="preserve">5.4	Recall-false-alarm operating range</w:t>
      </w:r>
    </w:p>
    <w:p>
      <w:r>
        <w:t>Because the operators occupy distinct points on the recall-false-alarm plane, the framework offers a tunable operating range rather than a single decision (Fig. 6). The difference view is the budget-compliant operating point, the only operator with FAR ≤ 0.05 at every ratio and the lowest forecasting error, and it is the default when nuisance alarms are costly. The union is the maximum-sensitivity operating point, buying up to twelve recall points and half a minute of lead over the difference view at the cost of a five-fold higher false-alarm rate. It is preferable when a missed onset is far costlier than a false one. The second-difference view lies between the two, close to the union in behaviour. Crucially, across the recall and lead-time axes this entire range dominates the supervised baselines and the zero-shot models at every data budget, and the only references with lower false-alarm rates achieve them by rarely alarming at all.</w:t>
      </w:r>
    </w:p>
    <w:p>
      <w:r>
        <w:t xml:space="preserve">[[ FIGURE 6 PLACEHOLDER — insert image here ]]</w:t>
      </w:r>
    </w:p>
    <w:p>
      <w:r>
        <w:t xml:space="preserve">Fig. 6. Recall against false prognosis rate, with one marker per operating point per ρ for the raw, difference, second-difference and union operators. The empirical Pareto front and the FAR = 0.05 budget line are drawn.</w:t>
      </w:r>
    </w:p>
    <w:p>
      <w:pPr>
        <w:pStyle w:val="2"/>
      </w:pPr>
      <w:r>
        <w:t xml:space="preserve">5.5	Forecast accuracy under data reduction</w:t>
      </w:r>
    </w:p>
    <w:p>
      <w:r>
        <w:t xml:space="preserve">Table 5 reports the horizon-mean squared error in the restored raw domain (Fig. 7). The difference view attains the lowest error at every ratio and barely degrades under data withdrawal. The supervised baselines split into two failure modes. STA-ConvBiLSTM and TCN-Transformer match the operators only at full data and then explode by three- to seven-fold as data shrinks, while CNN-LSTM, DiPCA-LSTM and LSTM-GRU sit at a constant error regardless of ρ, a collapse to a near-constant predictor that also explains their vanishing recall. The union error is slightly above that of the difference view, as expected for a decision envelope rather than a point forecast, and is not a fidelity penalty of the method.</w:t>
      </w:r>
    </w:p>
    <w:p>
      <w:r>
        <w:t>Table 5. Horizon-mean squared error ×10³ (Eq. 24) in the restored raw domain versus ρ. Lower is better.</w:t>
      </w:r>
    </w:p>
    <w:tbl>
      <w:tblPr>
        <w:tblStyle w:val="af6"/>
        <w:tblW w:type="auto" w:w="0"/>
        <w:tblLook w:firstColumn="1" w:firstRow="1" w:lastColumn="0" w:lastRow="0" w:noHBand="0" w:noVBand="1" w:val="04A0"/>
      </w:tblPr>
      <w:tblGrid>
        <w:gridCol w:w="1174"/>
        <w:gridCol w:w="1174"/>
        <w:gridCol w:w="1174"/>
        <w:gridCol w:w="1174"/>
        <w:gridCol w:w="1174"/>
        <w:gridCol w:w="1174"/>
        <w:gridCol w:w="1174"/>
      </w:tblGrid>
      <w:tr>
        <w:tc>
          <w:tcPr>
            <w:tcW w:type="dxa" w:w="1174"/>
          </w:tcPr>
          <w:p>
            <w:r/>
            <w:r>
              <w:rPr>
                <w:b/>
              </w:rPr>
              <w:t>Method</w:t>
            </w:r>
          </w:p>
        </w:tc>
        <w:tc>
          <w:tcPr>
            <w:tcW w:type="dxa" w:w="1174"/>
          </w:tcPr>
          <w:p>
            <w:r/>
            <w:r>
              <w:rPr>
                <w:b/>
              </w:rPr>
              <w:t>1%</w:t>
            </w:r>
          </w:p>
        </w:tc>
        <w:tc>
          <w:tcPr>
            <w:tcW w:type="dxa" w:w="1174"/>
          </w:tcPr>
          <w:p>
            <w:r/>
            <w:r>
              <w:rPr>
                <w:b/>
              </w:rPr>
              <w:t>5%</w:t>
            </w:r>
          </w:p>
        </w:tc>
        <w:tc>
          <w:tcPr>
            <w:tcW w:type="dxa" w:w="1174"/>
          </w:tcPr>
          <w:p>
            <w:r/>
            <w:r>
              <w:rPr>
                <w:b/>
              </w:rPr>
              <w:t>10%</w:t>
            </w:r>
          </w:p>
        </w:tc>
        <w:tc>
          <w:tcPr>
            <w:tcW w:type="dxa" w:w="1174"/>
          </w:tcPr>
          <w:p>
            <w:r/>
            <w:r>
              <w:rPr>
                <w:b/>
              </w:rPr>
              <w:t>25%</w:t>
            </w:r>
          </w:p>
        </w:tc>
        <w:tc>
          <w:tcPr>
            <w:tcW w:type="dxa" w:w="1174"/>
          </w:tcPr>
          <w:p>
            <w:r/>
            <w:r>
              <w:rPr>
                <w:b/>
              </w:rPr>
              <w:t>50%</w:t>
            </w:r>
          </w:p>
        </w:tc>
        <w:tc>
          <w:tcPr>
            <w:tcW w:type="dxa" w:w="1174"/>
          </w:tcPr>
          <w:p>
            <w:r/>
            <w:r>
              <w:rPr>
                <w:b/>
              </w:rPr>
              <w:t>100%</w:t>
            </w:r>
          </w:p>
        </w:tc>
      </w:tr>
      <w:tr>
        <w:tc>
          <w:tcPr>
            <w:tcW w:type="dxa" w:w="1174"/>
          </w:tcPr>
          <w:p>
            <w:r>
              <w:t>Timer-XL-diff</w:t>
            </w:r>
          </w:p>
        </w:tc>
        <w:tc>
          <w:tcPr>
            <w:tcW w:type="dxa" w:w="1174"/>
          </w:tcPr>
          <w:p>
            <w:r>
              <w:t>0.087</w:t>
            </w:r>
          </w:p>
        </w:tc>
        <w:tc>
          <w:tcPr>
            <w:tcW w:type="dxa" w:w="1174"/>
          </w:tcPr>
          <w:p>
            <w:r>
              <w:t>0.075</w:t>
            </w:r>
          </w:p>
        </w:tc>
        <w:tc>
          <w:tcPr>
            <w:tcW w:type="dxa" w:w="1174"/>
          </w:tcPr>
          <w:p>
            <w:r>
              <w:t>0.064</w:t>
            </w:r>
          </w:p>
        </w:tc>
        <w:tc>
          <w:tcPr>
            <w:tcW w:type="dxa" w:w="1174"/>
          </w:tcPr>
          <w:p>
            <w:r>
              <w:t>0.054</w:t>
            </w:r>
          </w:p>
        </w:tc>
        <w:tc>
          <w:tcPr>
            <w:tcW w:type="dxa" w:w="1174"/>
          </w:tcPr>
          <w:p>
            <w:r>
              <w:t>0.051</w:t>
            </w:r>
          </w:p>
        </w:tc>
        <w:tc>
          <w:tcPr>
            <w:tcW w:type="dxa" w:w="1174"/>
          </w:tcPr>
          <w:p>
            <w:r>
              <w:t>0.048</w:t>
            </w:r>
          </w:p>
        </w:tc>
      </w:tr>
      <w:tr>
        <w:tc>
          <w:tcPr>
            <w:tcW w:type="dxa" w:w="1174"/>
          </w:tcPr>
          <w:p>
            <w:r>
              <w:t>Union (∇, ∇²)</w:t>
            </w:r>
          </w:p>
        </w:tc>
        <w:tc>
          <w:tcPr>
            <w:tcW w:type="dxa" w:w="1174"/>
          </w:tcPr>
          <w:p>
            <w:r>
              <w:t>0.130</w:t>
            </w:r>
          </w:p>
        </w:tc>
        <w:tc>
          <w:tcPr>
            <w:tcW w:type="dxa" w:w="1174"/>
          </w:tcPr>
          <w:p>
            <w:r>
              <w:t>0.102</w:t>
            </w:r>
          </w:p>
        </w:tc>
        <w:tc>
          <w:tcPr>
            <w:tcW w:type="dxa" w:w="1174"/>
          </w:tcPr>
          <w:p>
            <w:r>
              <w:t>0.087</w:t>
            </w:r>
          </w:p>
        </w:tc>
        <w:tc>
          <w:tcPr>
            <w:tcW w:type="dxa" w:w="1174"/>
          </w:tcPr>
          <w:p>
            <w:r>
              <w:t>0.070</w:t>
            </w:r>
          </w:p>
        </w:tc>
        <w:tc>
          <w:tcPr>
            <w:tcW w:type="dxa" w:w="1174"/>
          </w:tcPr>
          <w:p>
            <w:r>
              <w:t>0.064</w:t>
            </w:r>
          </w:p>
        </w:tc>
        <w:tc>
          <w:tcPr>
            <w:tcW w:type="dxa" w:w="1174"/>
          </w:tcPr>
          <w:p>
            <w:r>
              <w:t>0.058</w:t>
            </w:r>
          </w:p>
        </w:tc>
      </w:tr>
      <w:tr>
        <w:tc>
          <w:tcPr>
            <w:tcW w:type="dxa" w:w="1174"/>
          </w:tcPr>
          <w:p>
            <w:r>
              <w:t>Timer-XL-∇²</w:t>
            </w:r>
          </w:p>
        </w:tc>
        <w:tc>
          <w:tcPr>
            <w:tcW w:type="dxa" w:w="1174"/>
          </w:tcPr>
          <w:p>
            <w:r>
              <w:t>0.159</w:t>
            </w:r>
          </w:p>
        </w:tc>
        <w:tc>
          <w:tcPr>
            <w:tcW w:type="dxa" w:w="1174"/>
          </w:tcPr>
          <w:p>
            <w:r>
              <w:t>0.119</w:t>
            </w:r>
          </w:p>
        </w:tc>
        <w:tc>
          <w:tcPr>
            <w:tcW w:type="dxa" w:w="1174"/>
          </w:tcPr>
          <w:p>
            <w:r>
              <w:t>0.100</w:t>
            </w:r>
          </w:p>
        </w:tc>
        <w:tc>
          <w:tcPr>
            <w:tcW w:type="dxa" w:w="1174"/>
          </w:tcPr>
          <w:p>
            <w:r>
              <w:t>0.082</w:t>
            </w:r>
          </w:p>
        </w:tc>
        <w:tc>
          <w:tcPr>
            <w:tcW w:type="dxa" w:w="1174"/>
          </w:tcPr>
          <w:p>
            <w:r>
              <w:t>0.071</w:t>
            </w:r>
          </w:p>
        </w:tc>
        <w:tc>
          <w:tcPr>
            <w:tcW w:type="dxa" w:w="1174"/>
          </w:tcPr>
          <w:p>
            <w:r>
              <w:t>0.065</w:t>
            </w:r>
          </w:p>
        </w:tc>
      </w:tr>
      <w:tr>
        <w:tc>
          <w:tcPr>
            <w:tcW w:type="dxa" w:w="1174"/>
          </w:tcPr>
          <w:p>
            <w:r>
              <w:t>Timer-XL-raw</w:t>
            </w:r>
          </w:p>
        </w:tc>
        <w:tc>
          <w:tcPr>
            <w:tcW w:type="dxa" w:w="1174"/>
          </w:tcPr>
          <w:p>
            <w:r>
              <w:t>0.237</w:t>
            </w:r>
          </w:p>
        </w:tc>
        <w:tc>
          <w:tcPr>
            <w:tcW w:type="dxa" w:w="1174"/>
          </w:tcPr>
          <w:p>
            <w:r>
              <w:t>0.131</w:t>
            </w:r>
          </w:p>
        </w:tc>
        <w:tc>
          <w:tcPr>
            <w:tcW w:type="dxa" w:w="1174"/>
          </w:tcPr>
          <w:p>
            <w:r>
              <w:t>0.103</w:t>
            </w:r>
          </w:p>
        </w:tc>
        <w:tc>
          <w:tcPr>
            <w:tcW w:type="dxa" w:w="1174"/>
          </w:tcPr>
          <w:p>
            <w:r>
              <w:t>0.093</w:t>
            </w:r>
          </w:p>
        </w:tc>
        <w:tc>
          <w:tcPr>
            <w:tcW w:type="dxa" w:w="1174"/>
          </w:tcPr>
          <w:p>
            <w:r>
              <w:t>0.073</w:t>
            </w:r>
          </w:p>
        </w:tc>
        <w:tc>
          <w:tcPr>
            <w:tcW w:type="dxa" w:w="1174"/>
          </w:tcPr>
          <w:p>
            <w:r>
              <w:t>0.064</w:t>
            </w:r>
          </w:p>
        </w:tc>
      </w:tr>
      <w:tr>
        <w:tc>
          <w:tcPr>
            <w:tcW w:type="dxa" w:w="1174"/>
          </w:tcPr>
          <w:p>
            <w:r>
              <w:t>Time-MoE (zero-shot)</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c>
          <w:tcPr>
            <w:tcW w:type="dxa" w:w="1174"/>
          </w:tcPr>
          <w:p>
            <w:r>
              <w:t>0.115</w:t>
            </w:r>
          </w:p>
        </w:tc>
      </w:tr>
      <w:tr>
        <w:tc>
          <w:tcPr>
            <w:tcW w:type="dxa" w:w="1174"/>
          </w:tcPr>
          <w:p>
            <w:r>
              <w:t>Sundial (zero-shot)</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c>
          <w:tcPr>
            <w:tcW w:type="dxa" w:w="1174"/>
          </w:tcPr>
          <w:p>
            <w:r>
              <w:t>0.137</w:t>
            </w:r>
          </w:p>
        </w:tc>
      </w:tr>
      <w:tr>
        <w:tc>
          <w:tcPr>
            <w:tcW w:type="dxa" w:w="1174"/>
          </w:tcPr>
          <w:p>
            <w:r>
              <w:t>STA-ConvBiLSTM</w:t>
            </w:r>
          </w:p>
        </w:tc>
        <w:tc>
          <w:tcPr>
            <w:tcW w:type="dxa" w:w="1174"/>
          </w:tcPr>
          <w:p>
            <w:r>
              <w:t>0.423</w:t>
            </w:r>
          </w:p>
        </w:tc>
        <w:tc>
          <w:tcPr>
            <w:tcW w:type="dxa" w:w="1174"/>
          </w:tcPr>
          <w:p>
            <w:r>
              <w:t>0.320</w:t>
            </w:r>
          </w:p>
        </w:tc>
        <w:tc>
          <w:tcPr>
            <w:tcW w:type="dxa" w:w="1174"/>
          </w:tcPr>
          <w:p>
            <w:r>
              <w:t>0.263</w:t>
            </w:r>
          </w:p>
        </w:tc>
        <w:tc>
          <w:tcPr>
            <w:tcW w:type="dxa" w:w="1174"/>
          </w:tcPr>
          <w:p>
            <w:r>
              <w:t>0.074</w:t>
            </w:r>
          </w:p>
        </w:tc>
        <w:tc>
          <w:tcPr>
            <w:tcW w:type="dxa" w:w="1174"/>
          </w:tcPr>
          <w:p>
            <w:r>
              <w:t>0.073</w:t>
            </w:r>
          </w:p>
        </w:tc>
        <w:tc>
          <w:tcPr>
            <w:tcW w:type="dxa" w:w="1174"/>
          </w:tcPr>
          <w:p>
            <w:r>
              <w:t>0.063</w:t>
            </w:r>
          </w:p>
        </w:tc>
      </w:tr>
      <w:tr>
        <w:tc>
          <w:tcPr>
            <w:tcW w:type="dxa" w:w="1174"/>
          </w:tcPr>
          <w:p>
            <w:r>
              <w:t>TCN-Transformer</w:t>
            </w:r>
          </w:p>
        </w:tc>
        <w:tc>
          <w:tcPr>
            <w:tcW w:type="dxa" w:w="1174"/>
          </w:tcPr>
          <w:p>
            <w:r>
              <w:t>0.405</w:t>
            </w:r>
          </w:p>
        </w:tc>
        <w:tc>
          <w:tcPr>
            <w:tcW w:type="dxa" w:w="1174"/>
          </w:tcPr>
          <w:p>
            <w:r>
              <w:t>0.276</w:t>
            </w:r>
          </w:p>
        </w:tc>
        <w:tc>
          <w:tcPr>
            <w:tcW w:type="dxa" w:w="1174"/>
          </w:tcPr>
          <w:p>
            <w:r>
              <w:t>0.186</w:t>
            </w:r>
          </w:p>
        </w:tc>
        <w:tc>
          <w:tcPr>
            <w:tcW w:type="dxa" w:w="1174"/>
          </w:tcPr>
          <w:p>
            <w:r>
              <w:t>0.119</w:t>
            </w:r>
          </w:p>
        </w:tc>
        <w:tc>
          <w:tcPr>
            <w:tcW w:type="dxa" w:w="1174"/>
          </w:tcPr>
          <w:p>
            <w:r>
              <w:t>0.129</w:t>
            </w:r>
          </w:p>
        </w:tc>
        <w:tc>
          <w:tcPr>
            <w:tcW w:type="dxa" w:w="1174"/>
          </w:tcPr>
          <w:p>
            <w:r>
              <w:t>0.130</w:t>
            </w:r>
          </w:p>
        </w:tc>
      </w:tr>
      <w:tr>
        <w:tc>
          <w:tcPr>
            <w:tcW w:type="dxa" w:w="1174"/>
          </w:tcPr>
          <w:p>
            <w:r>
              <w:t>DiPCA-LSTM</w:t>
            </w:r>
          </w:p>
        </w:tc>
        <w:tc>
          <w:tcPr>
            <w:tcW w:type="dxa" w:w="1174"/>
          </w:tcPr>
          <w:p>
            <w:r>
              <w:t>0.424</w:t>
            </w:r>
          </w:p>
        </w:tc>
        <w:tc>
          <w:tcPr>
            <w:tcW w:type="dxa" w:w="1174"/>
          </w:tcPr>
          <w:p>
            <w:r>
              <w:t>0.424</w:t>
            </w:r>
          </w:p>
        </w:tc>
        <w:tc>
          <w:tcPr>
            <w:tcW w:type="dxa" w:w="1174"/>
          </w:tcPr>
          <w:p>
            <w:r>
              <w:t>0.425</w:t>
            </w:r>
          </w:p>
        </w:tc>
        <w:tc>
          <w:tcPr>
            <w:tcW w:type="dxa" w:w="1174"/>
          </w:tcPr>
          <w:p>
            <w:r>
              <w:t>0.426</w:t>
            </w:r>
          </w:p>
        </w:tc>
        <w:tc>
          <w:tcPr>
            <w:tcW w:type="dxa" w:w="1174"/>
          </w:tcPr>
          <w:p>
            <w:r>
              <w:t>0.429</w:t>
            </w:r>
          </w:p>
        </w:tc>
        <w:tc>
          <w:tcPr>
            <w:tcW w:type="dxa" w:w="1174"/>
          </w:tcPr>
          <w:p>
            <w:r>
              <w:t>0.427</w:t>
            </w:r>
          </w:p>
        </w:tc>
      </w:tr>
      <w:tr>
        <w:tc>
          <w:tcPr>
            <w:tcW w:type="dxa" w:w="1174"/>
          </w:tcPr>
          <w:p>
            <w:r>
              <w:t>CNN-LSTM</w:t>
            </w:r>
          </w:p>
        </w:tc>
        <w:tc>
          <w:tcPr>
            <w:tcW w:type="dxa" w:w="1174"/>
          </w:tcPr>
          <w:p>
            <w:r>
              <w:t>0.423</w:t>
            </w:r>
          </w:p>
        </w:tc>
        <w:tc>
          <w:tcPr>
            <w:tcW w:type="dxa" w:w="1174"/>
          </w:tcPr>
          <w:p>
            <w:r>
              <w:t>0.423</w:t>
            </w:r>
          </w:p>
        </w:tc>
        <w:tc>
          <w:tcPr>
            <w:tcW w:type="dxa" w:w="1174"/>
          </w:tcPr>
          <w:p>
            <w:r>
              <w:t>0.423</w:t>
            </w:r>
          </w:p>
        </w:tc>
        <w:tc>
          <w:tcPr>
            <w:tcW w:type="dxa" w:w="1174"/>
          </w:tcPr>
          <w:p>
            <w:r>
              <w:t>0.423</w:t>
            </w:r>
          </w:p>
        </w:tc>
        <w:tc>
          <w:tcPr>
            <w:tcW w:type="dxa" w:w="1174"/>
          </w:tcPr>
          <w:p>
            <w:r>
              <w:t>0.424</w:t>
            </w:r>
          </w:p>
        </w:tc>
        <w:tc>
          <w:tcPr>
            <w:tcW w:type="dxa" w:w="1174"/>
          </w:tcPr>
          <w:p>
            <w:r>
              <w:t>0.424</w:t>
            </w:r>
          </w:p>
        </w:tc>
      </w:tr>
      <w:tr>
        <w:tc>
          <w:tcPr>
            <w:tcW w:type="dxa" w:w="1174"/>
          </w:tcPr>
          <w:p>
            <w:r>
              <w:t>LSTM-GRU</w:t>
            </w:r>
          </w:p>
        </w:tc>
        <w:tc>
          <w:tcPr>
            <w:tcW w:type="dxa" w:w="1174"/>
          </w:tcPr>
          <w:p>
            <w:r>
              <w:t>0.424</w:t>
            </w:r>
          </w:p>
        </w:tc>
        <w:tc>
          <w:tcPr>
            <w:tcW w:type="dxa" w:w="1174"/>
          </w:tcPr>
          <w:p>
            <w:r>
              <w:t>0.423</w:t>
            </w:r>
          </w:p>
        </w:tc>
        <w:tc>
          <w:tcPr>
            <w:tcW w:type="dxa" w:w="1174"/>
          </w:tcPr>
          <w:p>
            <w:r>
              <w:t>0.424</w:t>
            </w:r>
          </w:p>
        </w:tc>
        <w:tc>
          <w:tcPr>
            <w:tcW w:type="dxa" w:w="1174"/>
          </w:tcPr>
          <w:p>
            <w:r>
              <w:t>0.424</w:t>
            </w:r>
          </w:p>
        </w:tc>
        <w:tc>
          <w:tcPr>
            <w:tcW w:type="dxa" w:w="1174"/>
          </w:tcPr>
          <w:p>
            <w:r>
              <w:t>0.424</w:t>
            </w:r>
          </w:p>
        </w:tc>
        <w:tc>
          <w:tcPr>
            <w:tcW w:type="dxa" w:w="1174"/>
          </w:tcPr>
          <w:p>
            <w:r>
              <w:t>0.425</w:t>
            </w:r>
          </w:p>
        </w:tc>
      </w:tr>
    </w:tbl>
    <w:p>
      <w:r>
        <w:t xml:space="preserve">[[ FIGURE 7 PLACEHOLDER — insert image here ]]</w:t>
      </w:r>
    </w:p>
    <w:p>
      <w:r>
        <w:t xml:space="preserve">Fig. 7. Horizon-mean squared error ×10³ versus ρ (log scale) for the same method set as Fig. 4. The collapsed baselines form a flat band near 0.42, well above the low, gently rising operator curves.</w:t>
      </w:r>
    </w:p>
    <w:p>
      <w:pPr>
        <w:pStyle w:val="2"/>
      </w:pPr>
      <w:r>
        <w:t xml:space="preserve">5.6	Summary</w:t>
      </w:r>
    </w:p>
    <w:p>
      <w:r>
        <w:t xml:space="preserve">Across recall, false-alarm rate, lead time and forecasting error, the operator-augmented framework holds near-full-data prognostic performance down to 1% of the fault data, where every supervised baseline has collapsed, and even a hundred-fold data reduction leaves the difference view ahead of the best fully trained baseline. The differencing operators supply the inductive bias, stationarity of the forecasting target, that makes this data efficiency possible, and the union rule converts the complementary velocity and acceleration views into the highest-recall, earliest-warning decision available in the pool. The framework therefore delivers a practical cold-start early-warning capability with an explicit, tunable recall-false-alarm operating range.</w:t>
      </w:r>
    </w:p>
    <w:p>
      <w:pPr>
        <w:pStyle w:val="1"/>
      </w:pPr>
      <w:r>
        <w:t xml:space="preserve">6.	Conclusions</w:t>
      </w:r>
    </w:p>
    <w:p>
      <w:r>
        <w:t>This work presents an operator-augmented ensemble of time series foundation models for few-shot fault prognosis in chemical processes. A pretrained foundation model is lightly aligned to the target fault and then exposed through a pool of differencing operators, a level view, a velocity view and an acceleration view. Differencing transforms the non-stationary target into a near-stationary forecasting problem, so the backbone must fit only the shape of an incipient onset rather than relearn the operating level from scarce fault data. A direction-aware union rule fuses the velocity and acceleration decisions and issues an early warning whenever either view anticipates a limit crossing. On the Tennessee Eastman process under a slow incipient disturbance, the framework sustains near-full-data prognostic recall, lead time and forecasting accuracy down to a small fraction of the fault data, where every supervised baseline collapses; the full quantitative comparison is reported in Section 5.</w:t>
      </w:r>
    </w:p>
    <w:p>
      <w:r>
        <w:t xml:space="preserve">The study is confined to a single target variable and a single slow-drift disturbance, and the union rule is evaluated at one prognosis horizon. The framework also exposes an explicit trade-off, since the most sensitive operating point exceeds the nominal false-alarm budget. Future work will extend the operator pool to multivariate and faster-developing faults, learn a data-driven selection between the budget-compliant and maximum-sensitivity operating points, and validate the framework on live industrial cold-start deployments. By preserving early-warning reliability precisely where operational data are scarcest, the operator-augmented ensemble offers a practical route toward proactive abnormal situation management in large-scale chemical plants.</w:t>
      </w:r>
    </w:p>
    <w:p w14:paraId="4102F9C8" w14:textId="0B8C4301" w:rsidR="00721F59" w:rsidRDefault="004B45CF" w:rsidP="00283519">
      <w:pPr>
        <w:pStyle w:val="1"/>
        <w:rPr>
          <w:rFonts w:eastAsiaTheme="minorEastAsia"/>
        </w:rPr>
      </w:pPr>
      <w:r w:rsidRPr="00283519">
        <w:rPr>
          <w:rFonts w:eastAsiaTheme="minorEastAsia" w:hint="eastAsia"/>
        </w:rPr>
        <w:t>Acknowledgement</w:t>
      </w:r>
      <w:bookmarkEnd w:id="3"/>
    </w:p>
    <w:p w14:paraId="6C802208" w14:textId="0A3A1BDA" w:rsidR="0098456F" w:rsidRPr="0098456F" w:rsidRDefault="0098456F" w:rsidP="0098456F">
      <w:pPr>
        <w:ind w:firstLine="480"/>
        <w:rPr>
          <w:rFonts w:eastAsiaTheme="minorEastAsia"/>
        </w:rPr>
      </w:pPr>
      <w:r w:rsidRPr="0098456F">
        <w:rPr>
          <w:rFonts w:eastAsiaTheme="minorEastAsia"/>
        </w:rPr>
        <w:t>This work was supported by the National Key Research and Development Program of China (2024YFC3013601).</w:t>
      </w:r>
    </w:p>
    <w:p w14:paraId="78C7EC0C" w14:textId="77777777" w:rsidR="005732FA" w:rsidRPr="00210A67" w:rsidRDefault="005732FA" w:rsidP="00210A67">
      <w:pPr>
        <w:pStyle w:val="1"/>
        <w:rPr>
          <w:rFonts w:eastAsiaTheme="minorEastAsia"/>
        </w:rPr>
      </w:pPr>
      <w:bookmarkStart w:id="4" w:name="_Toc220180363"/>
      <w:r w:rsidRPr="00210A67">
        <w:rPr>
          <w:rFonts w:eastAsiaTheme="minorEastAsia" w:hint="eastAsia"/>
        </w:rPr>
        <w:lastRenderedPageBreak/>
        <w:t>References</w:t>
      </w:r>
      <w:bookmarkEnd w:id="4"/>
    </w:p>
    <w:p w14:paraId="28B1EFF9" w14:textId="77777777" w:rsidR="004376E3" w:rsidRPr="004376E3" w:rsidRDefault="00FF459F" w:rsidP="004376E3">
      <w:pPr>
        <w:pStyle w:val="af7"/>
        <w:ind w:firstLine="480"/>
      </w:pPr>
      <w:r>
        <w:rPr>
          <w:rFonts w:eastAsiaTheme="minorEastAsia"/>
        </w:rPr>
        <w:fldChar w:fldCharType="begin"/>
      </w:r>
      <w:r>
        <w:rPr>
          <w:rFonts w:eastAsiaTheme="minorEastAsia"/>
        </w:rPr>
        <w:instrText xml:space="preserve"> ADDIN ZOTERO_BIBL {"uncited":[],"omitted":[],"custom":[]} CSL_BIBLIOGRAPHY </w:instrText>
      </w:r>
      <w:r>
        <w:rPr>
          <w:rFonts w:eastAsiaTheme="minorEastAsia"/>
        </w:rPr>
        <w:fldChar w:fldCharType="separate"/>
      </w:r>
      <w:r w:rsidR="004376E3" w:rsidRPr="004376E3">
        <w:t>[1]</w:t>
      </w:r>
      <w:r w:rsidR="004376E3" w:rsidRPr="004376E3">
        <w:tab/>
        <w:t>F. Eljack, M.-K. Kazi, Process safety and abnormal situation management, Curr. Opin. Chem. Eng. 14 (2016) 35–41. https://doi.org/10.1016/j.coche.2016.07.004.</w:t>
      </w:r>
    </w:p>
    <w:p w14:paraId="4D4FF1AF" w14:textId="77777777" w:rsidR="004376E3" w:rsidRPr="004376E3" w:rsidRDefault="004376E3" w:rsidP="004376E3">
      <w:pPr>
        <w:pStyle w:val="af7"/>
        <w:ind w:firstLine="480"/>
      </w:pPr>
      <w:r w:rsidRPr="004376E3">
        <w:t>[2]</w:t>
      </w:r>
      <w:r w:rsidRPr="004376E3">
        <w:tab/>
        <w:t>S. Liu, F. Lei, D. Zhao, Q. Liu, Abnormal Situation Management in Chemical Processes: Recent Research Progress and Future Prospects, Processes 11 (2023) 1608.</w:t>
      </w:r>
    </w:p>
    <w:p w14:paraId="0EF79254" w14:textId="77777777" w:rsidR="004376E3" w:rsidRPr="004376E3" w:rsidRDefault="004376E3" w:rsidP="004376E3">
      <w:pPr>
        <w:pStyle w:val="af7"/>
        <w:ind w:firstLine="480"/>
      </w:pPr>
      <w:r w:rsidRPr="004376E3">
        <w:t>[3]</w:t>
      </w:r>
      <w:r w:rsidRPr="004376E3">
        <w:tab/>
        <w:t>Y. Dai, H. Wang, F. Khan, J. Zhao, Abnormal situation management for smart chemical process operation, Curr. Opin. Chem. Eng. 14 (2016) 49–55. https://doi.org/10.1016/j.coche.2016.07.009.</w:t>
      </w:r>
    </w:p>
    <w:p w14:paraId="4AB56C7E" w14:textId="77777777" w:rsidR="004376E3" w:rsidRPr="004376E3" w:rsidRDefault="004376E3" w:rsidP="004376E3">
      <w:pPr>
        <w:pStyle w:val="af7"/>
        <w:ind w:firstLine="480"/>
      </w:pPr>
      <w:r w:rsidRPr="004376E3">
        <w:t>[4]</w:t>
      </w:r>
      <w:r w:rsidRPr="004376E3">
        <w:tab/>
        <w:t>S. Kenan, S. Kadri, Process safety leading indicators survey–February 2013: Center for chemical process safety–white paper, Process Saf. Prog. 33 (2014) 247–258. https://doi.org/10.1002/prs.11654.</w:t>
      </w:r>
    </w:p>
    <w:p w14:paraId="2D0FFEA8" w14:textId="77777777" w:rsidR="004376E3" w:rsidRPr="004376E3" w:rsidRDefault="004376E3" w:rsidP="004376E3">
      <w:pPr>
        <w:pStyle w:val="af7"/>
        <w:ind w:firstLine="480"/>
      </w:pPr>
      <w:r w:rsidRPr="004376E3">
        <w:t>[5]</w:t>
      </w:r>
      <w:r w:rsidRPr="004376E3">
        <w:tab/>
        <w:t>F. Lees, Lees’ Loss prevention in the process industries: Hazard identification, assessment and control, Butterworth-Heinemann, 2012.</w:t>
      </w:r>
    </w:p>
    <w:p w14:paraId="59A9478D" w14:textId="77777777" w:rsidR="004376E3" w:rsidRPr="004376E3" w:rsidRDefault="004376E3" w:rsidP="004376E3">
      <w:pPr>
        <w:pStyle w:val="af7"/>
        <w:ind w:firstLine="480"/>
      </w:pPr>
      <w:r w:rsidRPr="004376E3">
        <w:t>[6]</w:t>
      </w:r>
      <w:r w:rsidRPr="004376E3">
        <w:tab/>
        <w:t>U.S. CHEMICAL SAFETY AND HAZARD INVESTIGATION BOARD, Investigation Report: Refinery Explosion and Fire (March 23, 2005, Texas City, Texas), U.S. Chemical Safety Board, 2007. https://www.csb.gov/file.aspx?DocumentId=5596.</w:t>
      </w:r>
    </w:p>
    <w:p w14:paraId="4E2AC1DD" w14:textId="77777777" w:rsidR="004376E3" w:rsidRPr="004376E3" w:rsidRDefault="004376E3" w:rsidP="004376E3">
      <w:pPr>
        <w:pStyle w:val="af7"/>
        <w:ind w:firstLine="480"/>
      </w:pPr>
      <w:r w:rsidRPr="004376E3">
        <w:t>[7]</w:t>
      </w:r>
      <w:r w:rsidRPr="004376E3">
        <w:tab/>
        <w:t>UNEP, Global chemicals outlook II: From legacies to innovative solutions, UNEP Geneva, Switzerland, 2019.</w:t>
      </w:r>
    </w:p>
    <w:p w14:paraId="595C2CBA" w14:textId="77777777" w:rsidR="004376E3" w:rsidRPr="004376E3" w:rsidRDefault="004376E3" w:rsidP="004376E3">
      <w:pPr>
        <w:pStyle w:val="af7"/>
        <w:ind w:firstLine="480"/>
      </w:pPr>
      <w:r w:rsidRPr="004376E3">
        <w:t>[8]</w:t>
      </w:r>
      <w:r w:rsidRPr="004376E3">
        <w:tab/>
        <w:t>Marsh, The 100 Largest Losses 1974-2013: Large property damage losses in the Hydrocarbon Industry, Marsh, 2014.</w:t>
      </w:r>
    </w:p>
    <w:p w14:paraId="402CB58F" w14:textId="77777777" w:rsidR="004376E3" w:rsidRPr="004376E3" w:rsidRDefault="004376E3" w:rsidP="004376E3">
      <w:pPr>
        <w:pStyle w:val="af7"/>
        <w:ind w:firstLine="480"/>
      </w:pPr>
      <w:r w:rsidRPr="004376E3">
        <w:t>[9]</w:t>
      </w:r>
      <w:r w:rsidRPr="004376E3">
        <w:tab/>
        <w:t>B.K. Kim, J. Krams, E. Krug, M. Leaseburge, J. Lemley, A. Alkhawaldeh, R.A. Mentzer, M.S. Mannan, Case study analysis of the financial impact of catastrophic safety events, J. Loss Prev. Process Ind. 25 (2012) 780–787.</w:t>
      </w:r>
    </w:p>
    <w:p w14:paraId="0E3E0E90" w14:textId="77777777" w:rsidR="004376E3" w:rsidRPr="004376E3" w:rsidRDefault="004376E3" w:rsidP="004376E3">
      <w:pPr>
        <w:pStyle w:val="af7"/>
        <w:ind w:firstLine="480"/>
      </w:pPr>
      <w:r w:rsidRPr="004376E3">
        <w:t>[10]</w:t>
      </w:r>
      <w:r w:rsidRPr="004376E3">
        <w:tab/>
        <w:t>State Council Investigation Team of the Jiangsu Xiangshui “3·21” Particularly Major Explosion Accident, Investigation Report of the “3·21” Particularly Major Explosion Accident at Jiangsu Xiangshui Tenjia Yi Chemical Co., Ltd., 2019. https://www.mem.gov.cn/gk/sgcc/tbzdsgdcbg/2019tbzdsgcc/201911/P020191115565111829069.pdf.</w:t>
      </w:r>
    </w:p>
    <w:p w14:paraId="7DC15518" w14:textId="77777777" w:rsidR="004376E3" w:rsidRPr="004376E3" w:rsidRDefault="004376E3" w:rsidP="004376E3">
      <w:pPr>
        <w:pStyle w:val="af7"/>
        <w:ind w:firstLine="480"/>
      </w:pPr>
      <w:r w:rsidRPr="004376E3">
        <w:t>[11]</w:t>
      </w:r>
      <w:r w:rsidRPr="004376E3">
        <w:tab/>
        <w:t>Ministry of Emergency Management of the People’s Republic of China, Investigation Report on the Tianjin Port “8·12” Ruihai Company Hazardous Materials Fire and Explosion Accident, Ministry of Emergency Management of the People’s Republic of China, 2016. https://www.mem.gov.cn/gk/sgcc/tbzdsgdcbg/2016/201602/P020190415543917598002.pdf.</w:t>
      </w:r>
    </w:p>
    <w:p w14:paraId="7CEA6F0E" w14:textId="77777777" w:rsidR="004376E3" w:rsidRPr="004376E3" w:rsidRDefault="004376E3" w:rsidP="004376E3">
      <w:pPr>
        <w:pStyle w:val="af7"/>
        <w:ind w:firstLine="480"/>
      </w:pPr>
      <w:r w:rsidRPr="004376E3">
        <w:t>[12]</w:t>
      </w:r>
      <w:r w:rsidRPr="004376E3">
        <w:tab/>
        <w:t>I. Nimmo, Adequately address abnormal operations, Chem. Eng. Prog. 91 (1995).</w:t>
      </w:r>
    </w:p>
    <w:p w14:paraId="48B3574F" w14:textId="77777777" w:rsidR="004376E3" w:rsidRPr="004376E3" w:rsidRDefault="004376E3" w:rsidP="004376E3">
      <w:pPr>
        <w:pStyle w:val="af7"/>
        <w:ind w:firstLine="480"/>
      </w:pPr>
      <w:r w:rsidRPr="004376E3">
        <w:lastRenderedPageBreak/>
        <w:t>[13]</w:t>
      </w:r>
      <w:r w:rsidRPr="004376E3">
        <w:tab/>
        <w:t>Y. Zhu, X. Qian, Z. Liu, P. Huang, M. Yuan, Analysis and assessment of the Qingdao crude oil vapor explosion accident: Lessons learnt, J. Loss Prev. Process Ind. 33 (2015) 289–303.</w:t>
      </w:r>
    </w:p>
    <w:p w14:paraId="232948D8" w14:textId="77777777" w:rsidR="004376E3" w:rsidRPr="004376E3" w:rsidRDefault="004376E3" w:rsidP="004376E3">
      <w:pPr>
        <w:pStyle w:val="af7"/>
        <w:ind w:firstLine="480"/>
      </w:pPr>
      <w:r w:rsidRPr="004376E3">
        <w:t>[14]</w:t>
      </w:r>
      <w:r w:rsidRPr="004376E3">
        <w:tab/>
        <w:t>Y. Gong, Y. Li, STAMP-based causal analysis of China-Donghuang oil transportation pipeline leakage and explosion accident, J. Loss Prev. Process Ind. 56 (2018) 402–413.</w:t>
      </w:r>
    </w:p>
    <w:p w14:paraId="01DC4377" w14:textId="77777777" w:rsidR="004376E3" w:rsidRPr="004376E3" w:rsidRDefault="004376E3" w:rsidP="004376E3">
      <w:pPr>
        <w:pStyle w:val="af7"/>
        <w:ind w:firstLine="480"/>
      </w:pPr>
      <w:r w:rsidRPr="004376E3">
        <w:t>[15]</w:t>
      </w:r>
      <w:r w:rsidRPr="004376E3">
        <w:tab/>
        <w:t>J. Xing, H. Meng, X. Meng, An urban pipeline accident model based on system engineering and game theory, J. Loss Prev. Process Ind. 64 (2020) 104062.</w:t>
      </w:r>
    </w:p>
    <w:p w14:paraId="7A14DA29" w14:textId="77777777" w:rsidR="004376E3" w:rsidRPr="004376E3" w:rsidRDefault="004376E3" w:rsidP="004376E3">
      <w:pPr>
        <w:pStyle w:val="af7"/>
        <w:ind w:firstLine="480"/>
      </w:pPr>
      <w:r w:rsidRPr="004376E3">
        <w:t>[16]</w:t>
      </w:r>
      <w:r w:rsidRPr="004376E3">
        <w:tab/>
        <w:t>Y. Shu, L. Ming, F. Cheng, Z. Zhang, J. Zhao, Abnormal situation management: Challenges and opportunities in the big data era, Comput. Chem. Eng. 91 (2016) 104–113. https://doi.org/10.1016/j.compchemeng.2016.04.011.</w:t>
      </w:r>
    </w:p>
    <w:p w14:paraId="0D023E00" w14:textId="77777777" w:rsidR="004376E3" w:rsidRPr="004376E3" w:rsidRDefault="004376E3" w:rsidP="004376E3">
      <w:pPr>
        <w:pStyle w:val="af7"/>
        <w:ind w:firstLine="480"/>
      </w:pPr>
      <w:r w:rsidRPr="004376E3">
        <w:t>[17]</w:t>
      </w:r>
      <w:r w:rsidRPr="004376E3">
        <w:tab/>
        <w:t>H. Vedam, S. Dash, V. Venkatasubramanian, An intelligent operator decision support system for abnormal situation management, Comput. Chem. Eng. 23 (1999) S577–S580. https://doi.org/10.1016/S0098-1354(99)80142-2.</w:t>
      </w:r>
    </w:p>
    <w:p w14:paraId="2A114E28" w14:textId="77777777" w:rsidR="004376E3" w:rsidRPr="004376E3" w:rsidRDefault="004376E3" w:rsidP="004376E3">
      <w:pPr>
        <w:pStyle w:val="af7"/>
        <w:ind w:firstLine="480"/>
      </w:pPr>
      <w:r w:rsidRPr="004376E3">
        <w:t>[18]</w:t>
      </w:r>
      <w:r w:rsidRPr="004376E3">
        <w:tab/>
        <w:t>M.-K. Kazi, F. Mohammed, A.M.N. AlNouss, F. Eljack, Multi-objective optimization methodology to size cogeneration systems for managing flares from uncertain sources during abnormal process operations, Comput. Chem. Eng. 76 (2015) 76–86. https://doi.org/10.1016/j.compchemeng.2015.02.012.</w:t>
      </w:r>
    </w:p>
    <w:p w14:paraId="74F02B4C" w14:textId="77777777" w:rsidR="004376E3" w:rsidRPr="004376E3" w:rsidRDefault="004376E3" w:rsidP="004376E3">
      <w:pPr>
        <w:pStyle w:val="af7"/>
        <w:ind w:firstLine="480"/>
      </w:pPr>
      <w:r w:rsidRPr="004376E3">
        <w:t>[19]</w:t>
      </w:r>
      <w:r w:rsidRPr="004376E3">
        <w:tab/>
        <w:t>V. Venkatasubramanian, Prognostic and diagnostic monitoring of complex systems for product lifecycle management: Challenges and opportunities, Comput. Chem. Eng. 29 (2005) 1253–1263. https://doi.org/10.1016/j.compchemeng.2005.02.026.</w:t>
      </w:r>
    </w:p>
    <w:p w14:paraId="3CB9E97D" w14:textId="77777777" w:rsidR="004376E3" w:rsidRPr="004376E3" w:rsidRDefault="004376E3" w:rsidP="004376E3">
      <w:pPr>
        <w:pStyle w:val="af7"/>
        <w:ind w:firstLine="480"/>
      </w:pPr>
      <w:r w:rsidRPr="004376E3">
        <w:t>[20]</w:t>
      </w:r>
      <w:r w:rsidRPr="004376E3">
        <w:tab/>
        <w:t>V. Venkatasubramanian, R. Rengaswamy, K. Yin, S.N. Kavuri, A review of process fault detection and diagnosis, Comput. Chem. Eng. 27 (2003) 293–311. https://doi.org/10.1016/S0098-1354(02)00160-6.</w:t>
      </w:r>
    </w:p>
    <w:p w14:paraId="433F2306" w14:textId="77777777" w:rsidR="004376E3" w:rsidRPr="004376E3" w:rsidRDefault="004376E3" w:rsidP="004376E3">
      <w:pPr>
        <w:pStyle w:val="af7"/>
        <w:ind w:firstLine="480"/>
      </w:pPr>
      <w:r w:rsidRPr="004376E3">
        <w:t>[21]</w:t>
      </w:r>
      <w:r w:rsidRPr="004376E3">
        <w:tab/>
        <w:t>N. Md Nor, C.R. Che Hassan, M.A. Hussain, A review of data-driven fault detection and diagnosis methods: applications in chemical process systems, Rev. Chem. Eng. 36 (2020) 513–553. https://doi.org/10.1515/revce-2017-0069.</w:t>
      </w:r>
    </w:p>
    <w:p w14:paraId="682F6303" w14:textId="77777777" w:rsidR="004376E3" w:rsidRPr="004376E3" w:rsidRDefault="004376E3" w:rsidP="004376E3">
      <w:pPr>
        <w:pStyle w:val="af7"/>
        <w:ind w:firstLine="480"/>
      </w:pPr>
      <w:r w:rsidRPr="004376E3">
        <w:t>[22]</w:t>
      </w:r>
      <w:r w:rsidRPr="004376E3">
        <w:tab/>
        <w:t>Y. Bai, J. Zhao, A novel transformer-based multi-variable multi-step prediction method for chemical process fault prognosis, Process Saf. Environ. Prot. 169 (2023) 937–947. https://doi.org/10.1016/j.psep.2022.11.062.</w:t>
      </w:r>
    </w:p>
    <w:p w14:paraId="7CF64F04" w14:textId="77777777" w:rsidR="004376E3" w:rsidRPr="004376E3" w:rsidRDefault="004376E3" w:rsidP="004376E3">
      <w:pPr>
        <w:pStyle w:val="af7"/>
        <w:ind w:firstLine="480"/>
      </w:pPr>
      <w:r w:rsidRPr="004376E3">
        <w:t>[23]</w:t>
      </w:r>
      <w:r w:rsidRPr="004376E3">
        <w:tab/>
        <w:t>P. Goel, A. Datta, M.S. Mannan, Industrial alarm systems: Challenges and opportunities, J. Loss Prev. Process Ind. 50 (2017) 23–36. https://doi.org/10.1016/j.jlp.2017.09.001.</w:t>
      </w:r>
    </w:p>
    <w:p w14:paraId="10423FFF" w14:textId="77777777" w:rsidR="004376E3" w:rsidRPr="004376E3" w:rsidRDefault="004376E3" w:rsidP="004376E3">
      <w:pPr>
        <w:pStyle w:val="af7"/>
        <w:ind w:firstLine="480"/>
      </w:pPr>
      <w:r w:rsidRPr="004376E3">
        <w:t>[24]</w:t>
      </w:r>
      <w:r w:rsidRPr="004376E3">
        <w:tab/>
        <w:t>F.E. Mustafa, I. Ahmed, A. Basit, U.-E.-H. Alvi, S.H. Malik, A. Mahmood, P.R. Ali, A review on effective alarm management systems for industrial process control: Barriers and opportunities, Int. J. Crit. Infrastruct. Prot. 41 (2023) 100599. https://doi.org/10.1016/j.ijcip.2023.100599.</w:t>
      </w:r>
    </w:p>
    <w:p w14:paraId="589DD0B5" w14:textId="77777777" w:rsidR="004376E3" w:rsidRPr="004376E3" w:rsidRDefault="004376E3" w:rsidP="004376E3">
      <w:pPr>
        <w:pStyle w:val="af7"/>
        <w:ind w:firstLine="480"/>
      </w:pPr>
      <w:r w:rsidRPr="004376E3">
        <w:t>[25]</w:t>
      </w:r>
      <w:r w:rsidRPr="004376E3">
        <w:tab/>
        <w:t>Y. Bai, S. Xiang, F. Cheng, J. Zhao, A dynamic-inner LSTM prediction method for key alarm variables forecasting in chemical process, Chin. J. Chem. Eng. (2022). https://doi.org/10.1016/j.cjche.2022.08.024.</w:t>
      </w:r>
    </w:p>
    <w:p w14:paraId="395C9D00" w14:textId="77777777" w:rsidR="004376E3" w:rsidRPr="004376E3" w:rsidRDefault="004376E3" w:rsidP="004376E3">
      <w:pPr>
        <w:pStyle w:val="af7"/>
        <w:ind w:firstLine="480"/>
      </w:pPr>
      <w:r w:rsidRPr="004376E3">
        <w:lastRenderedPageBreak/>
        <w:t>[26]</w:t>
      </w:r>
      <w:r w:rsidRPr="004376E3">
        <w:tab/>
        <w:t>R. Arunthavanathan, F. Khan, S. Ahmed, S. Imtiaz, A deep learning model for process fault prognosis, Process Saf. Environ. Prot. 154 (2021) 467–479. https://doi.org/10.1016/j.psep.2021.08.022.</w:t>
      </w:r>
    </w:p>
    <w:p w14:paraId="30FFDC65" w14:textId="77777777" w:rsidR="004376E3" w:rsidRPr="004376E3" w:rsidRDefault="004376E3" w:rsidP="004376E3">
      <w:pPr>
        <w:pStyle w:val="af7"/>
        <w:ind w:firstLine="480"/>
      </w:pPr>
      <w:r w:rsidRPr="004376E3">
        <w:t>[27]</w:t>
      </w:r>
      <w:r w:rsidRPr="004376E3">
        <w:tab/>
        <w:t>Y. Bai, H. Ye, J. Zhao, EPMITS: An efficient prediction method incorporating trends and shapes features for chemical process variables, Comput. Chem. Eng. 191 (2024) 108855. https://doi.org/10.1016/j.compchemeng.2024.108855.</w:t>
      </w:r>
    </w:p>
    <w:p w14:paraId="62B6EEE6" w14:textId="77777777" w:rsidR="004376E3" w:rsidRPr="004376E3" w:rsidRDefault="004376E3" w:rsidP="004376E3">
      <w:pPr>
        <w:pStyle w:val="af7"/>
        <w:ind w:firstLine="480"/>
      </w:pPr>
      <w:r w:rsidRPr="004376E3">
        <w:t>[28]</w:t>
      </w:r>
      <w:r w:rsidRPr="004376E3">
        <w:tab/>
        <w:t>B. Yang, Y. Bai, F. Lv, J. Zheng, S. Qin, J. Zhao, A process pretrained transformer model for cross-unit fault prognosis in chemical process, Process Saf. Environ. Prot. 208 (2026) 108203. https://doi.org/10.1016/j.psep.2025.108203.</w:t>
      </w:r>
    </w:p>
    <w:p w14:paraId="1EF7D016" w14:textId="77777777" w:rsidR="004376E3" w:rsidRPr="004376E3" w:rsidRDefault="004376E3" w:rsidP="004376E3">
      <w:pPr>
        <w:pStyle w:val="af7"/>
        <w:ind w:firstLine="480"/>
      </w:pPr>
      <w:r w:rsidRPr="004376E3">
        <w:t>[29]</w:t>
      </w:r>
      <w:r w:rsidRPr="004376E3">
        <w:tab/>
        <w:t>R. Arunthavanathan, F. Khan, S. Ahmed, S. Imtiaz, An analysis of process fault diagnosis methods from safety perspectives, Comput. Chem. Eng. 145 (2021) 107197.</w:t>
      </w:r>
    </w:p>
    <w:p w14:paraId="23F6B05D" w14:textId="77777777" w:rsidR="004376E3" w:rsidRPr="004376E3" w:rsidRDefault="004376E3" w:rsidP="004376E3">
      <w:pPr>
        <w:pStyle w:val="af7"/>
        <w:ind w:firstLine="480"/>
      </w:pPr>
      <w:r w:rsidRPr="004376E3">
        <w:t>[30]</w:t>
      </w:r>
      <w:r w:rsidRPr="004376E3">
        <w:tab/>
        <w:t>X. Chen, R. Yang, Y. Xue, C. Yang, B. Song, M. Zhong, A novel momentum prototypical neural network to cross-domain fault diagnosis for rotating machinery subject to cold-start, Neurocomputing 555 (2023) 126656. https://doi.org/10.1016/j.neucom.2023.126656.</w:t>
      </w:r>
    </w:p>
    <w:p w14:paraId="49D8A77E" w14:textId="77777777" w:rsidR="004376E3" w:rsidRPr="004376E3" w:rsidRDefault="004376E3" w:rsidP="004376E3">
      <w:pPr>
        <w:pStyle w:val="af7"/>
        <w:ind w:firstLine="480"/>
      </w:pPr>
      <w:r w:rsidRPr="004376E3">
        <w:t>[31]</w:t>
      </w:r>
      <w:r w:rsidRPr="004376E3">
        <w:tab/>
        <w:t>M. Grbovic, W. Li, N.A. Subrahmanya, Usadi, S. Vucetic, Cold Start Approach for Data-Driven Fault Detection, IEEE Trans. Ind. Inform. 9 (2013) 2264–2273. https://doi.org/10.1109/TII.2012.2231870.</w:t>
      </w:r>
    </w:p>
    <w:p w14:paraId="179E6019" w14:textId="77777777" w:rsidR="004376E3" w:rsidRPr="004376E3" w:rsidRDefault="004376E3" w:rsidP="004376E3">
      <w:pPr>
        <w:pStyle w:val="af7"/>
        <w:ind w:firstLine="480"/>
      </w:pPr>
      <w:r w:rsidRPr="004376E3">
        <w:t>[32]</w:t>
      </w:r>
      <w:r w:rsidRPr="004376E3">
        <w:tab/>
        <w:t>B. Yang, Z. Xie, H. Tian, Y. Chen, F. Lv, J. Zhao, Hierarchical domain-Invariant Alignment Networks for zero-shot cross-mode fault prognosis in chemical processes, Process Saf. Environ. Prot. 213 (2026) 108931. https://doi.org/10.1016/j.psep.2026.108931.</w:t>
      </w:r>
    </w:p>
    <w:p w14:paraId="31D951F6" w14:textId="77777777" w:rsidR="004376E3" w:rsidRPr="004376E3" w:rsidRDefault="004376E3" w:rsidP="004376E3">
      <w:pPr>
        <w:pStyle w:val="af7"/>
        <w:ind w:firstLine="480"/>
      </w:pPr>
      <w:r w:rsidRPr="004376E3">
        <w:t>[33]</w:t>
      </w:r>
      <w:r w:rsidRPr="004376E3">
        <w:tab/>
        <w:t>X. Shang, J. Shang, M. Li, H. Qiu, L. Gao, D. Xu, A cross-domain few-shot remaining useful life estimation framework based on model-agnostic meta-learning with task embeddings, Comput. Ind. 173 (2025) 104396.</w:t>
      </w:r>
    </w:p>
    <w:p w14:paraId="792A0AA7" w14:textId="77777777" w:rsidR="004376E3" w:rsidRPr="004376E3" w:rsidRDefault="004376E3" w:rsidP="004376E3">
      <w:pPr>
        <w:pStyle w:val="af7"/>
        <w:ind w:firstLine="480"/>
      </w:pPr>
      <w:r w:rsidRPr="004376E3">
        <w:t>[34]</w:t>
      </w:r>
      <w:r w:rsidRPr="004376E3">
        <w:tab/>
        <w:t>H. Su, J. Hu, S. Yu, J. Liu, X. Qin, Successive model-agnostic meta-learning for few-shot fault time series prognosis, Neurocomputing 595 (2024) 127879.</w:t>
      </w:r>
    </w:p>
    <w:p w14:paraId="5CE7A306" w14:textId="77777777" w:rsidR="004376E3" w:rsidRPr="004376E3" w:rsidRDefault="004376E3" w:rsidP="004376E3">
      <w:pPr>
        <w:pStyle w:val="af7"/>
        <w:ind w:firstLine="480"/>
      </w:pPr>
      <w:r w:rsidRPr="004376E3">
        <w:t>[35]</w:t>
      </w:r>
      <w:r w:rsidRPr="004376E3">
        <w:tab/>
        <w:t>D. Wang, M. Zhang, Y. Xu, W. Lu, J. Yang, T. Zhang, Metric-based meta-learning model for few-shot fault diagnosis under multiple limited data conditions, Mech. Syst. Signal Process. (2021). https://doi.org/10.1016/j.ymssp.2020.107510.</w:t>
      </w:r>
    </w:p>
    <w:p w14:paraId="3D660ED9" w14:textId="77777777" w:rsidR="004376E3" w:rsidRPr="004376E3" w:rsidRDefault="004376E3" w:rsidP="004376E3">
      <w:pPr>
        <w:pStyle w:val="af7"/>
        <w:ind w:firstLine="480"/>
      </w:pPr>
      <w:r w:rsidRPr="004376E3">
        <w:t>[36]</w:t>
      </w:r>
      <w:r w:rsidRPr="004376E3">
        <w:tab/>
        <w:t>Z. Xu, G. Yu, A Time Series Forecasting Approach Based on Meta-Learning for Petroleum Production under Few-Shot Samples, Energies 17 (2024) 1947. https://doi.org/10.3390/en17081947.</w:t>
      </w:r>
    </w:p>
    <w:p w14:paraId="0F54635E" w14:textId="77777777" w:rsidR="004376E3" w:rsidRPr="004376E3" w:rsidRDefault="004376E3" w:rsidP="004376E3">
      <w:pPr>
        <w:pStyle w:val="af7"/>
        <w:ind w:firstLine="480"/>
      </w:pPr>
      <w:r w:rsidRPr="004376E3">
        <w:t>[37]</w:t>
      </w:r>
      <w:r w:rsidRPr="004376E3">
        <w:tab/>
        <w:t>Z. Wang, Z. Wu, Towards Foundation Model for Chemical Reactor Modeling: Meta-Learning with Physics-Informed Adaptation, Chem. Eng. Res. Des. 218 (2025) 839–853. https://doi.org/10.1016/j.cherd.2025.05.015.</w:t>
      </w:r>
    </w:p>
    <w:p w14:paraId="3374BA08" w14:textId="77777777" w:rsidR="004376E3" w:rsidRPr="004376E3" w:rsidRDefault="004376E3" w:rsidP="004376E3">
      <w:pPr>
        <w:pStyle w:val="af7"/>
        <w:ind w:firstLine="480"/>
      </w:pPr>
      <w:r w:rsidRPr="004376E3">
        <w:t>[38]</w:t>
      </w:r>
      <w:r w:rsidRPr="004376E3">
        <w:tab/>
        <w:t xml:space="preserve">J. Zhou, X. Li, D. Liu, F. Wang, T. Zhang, M. Ye, Z. Liu, A hybrid spatial-temporal deep learning prediction model of industrial methanol-to-olefins </w:t>
      </w:r>
      <w:r w:rsidRPr="004376E3">
        <w:lastRenderedPageBreak/>
        <w:t>process, Front. Chem. Sci. Eng. 18 (2024) 42. https://doi.org/10.1007/s11705-024-2403-7.</w:t>
      </w:r>
    </w:p>
    <w:p w14:paraId="2011972E" w14:textId="77777777" w:rsidR="004376E3" w:rsidRPr="004376E3" w:rsidRDefault="004376E3" w:rsidP="004376E3">
      <w:pPr>
        <w:pStyle w:val="af7"/>
        <w:ind w:firstLine="480"/>
      </w:pPr>
      <w:r w:rsidRPr="004376E3">
        <w:t>[39]</w:t>
      </w:r>
      <w:r w:rsidRPr="004376E3">
        <w:tab/>
        <w:t>J. Dong, X. Liu, R. Su, H. Xu, T. Yu, TCN-Transformer Deep Network with Random Forest for Prediction of the Chemical Synthetic Ammonia Process, ACS Omega 10 (2025) 2269–2279. https://doi.org/10.1021/acsomega.4c09634.</w:t>
      </w:r>
    </w:p>
    <w:p w14:paraId="5DE1841E" w14:textId="77777777" w:rsidR="004376E3" w:rsidRPr="004376E3" w:rsidRDefault="004376E3" w:rsidP="004376E3">
      <w:pPr>
        <w:pStyle w:val="af7"/>
        <w:ind w:firstLine="480"/>
      </w:pPr>
      <w:r w:rsidRPr="004376E3">
        <w:t>[40]</w:t>
      </w:r>
      <w:r w:rsidRPr="004376E3">
        <w:tab/>
        <w:t>EEMUA, Alarm Systems: A Guide to Design, Management and Procurement, 4th ed., Engineering Equipment and Materials Users Association, London, UK, 2024.</w:t>
      </w:r>
    </w:p>
    <w:p w14:paraId="22807F56" w14:textId="6780C95C" w:rsidR="002635D2" w:rsidRPr="00321976" w:rsidRDefault="00FF459F" w:rsidP="00321976">
      <w:pPr>
        <w:pStyle w:val="af4"/>
        <w:rPr>
          <w:rFonts w:eastAsiaTheme="minorEastAsia"/>
        </w:rPr>
      </w:pPr>
      <w:r>
        <w:rPr>
          <w:rFonts w:eastAsiaTheme="minorEastAsia"/>
        </w:rPr>
        <w:fldChar w:fldCharType="end"/>
      </w:r>
    </w:p>
    <w:sectPr w:rsidR="002635D2" w:rsidRPr="00321976" w:rsidSect="008D01E0">
      <w:headerReference w:type="even" r:id="rId10"/>
      <w:headerReference w:type="default" r:id="rId11"/>
      <w:footerReference w:type="even" r:id="rId12"/>
      <w:footerReference w:type="default" r:id="rId13"/>
      <w:headerReference w:type="first" r:id="rId14"/>
      <w:footerReference w:type="first" r:id="rId15"/>
      <w:pgSz w:w="11906" w:h="16838" w:code="9"/>
      <w:pgMar w:top="1418" w:right="1418" w:bottom="1418" w:left="2268" w:header="720" w:footer="720" w:gutter="0"/>
      <w:pgNumType w:start="1"/>
      <w:cols w:space="720"/>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3F3ED" w14:textId="77777777" w:rsidR="003353BB" w:rsidRDefault="003353BB" w:rsidP="0044082D">
      <w:pPr>
        <w:spacing w:after="0" w:line="240" w:lineRule="auto"/>
        <w:ind w:left="480" w:firstLine="480"/>
      </w:pPr>
      <w:r>
        <w:separator/>
      </w:r>
    </w:p>
  </w:endnote>
  <w:endnote w:type="continuationSeparator" w:id="0">
    <w:p w14:paraId="3CEC4942" w14:textId="77777777" w:rsidR="003353BB" w:rsidRDefault="003353BB" w:rsidP="0044082D">
      <w:pPr>
        <w:spacing w:after="0" w:line="240" w:lineRule="auto"/>
        <w:ind w:left="480"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F9679" w14:textId="77777777" w:rsidR="00EB4989" w:rsidRDefault="00EB4989">
    <w:pPr>
      <w:pStyle w:val="a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92DEC" w14:textId="7B660132" w:rsidR="000954D4" w:rsidRPr="006B6CB3" w:rsidRDefault="00C35E93" w:rsidP="005D7406">
    <w:pPr>
      <w:pStyle w:val="af0"/>
      <w:ind w:leftChars="200" w:left="480" w:firstLine="400"/>
      <w:rPr>
        <w:rFonts w:eastAsiaTheme="minorEastAsia"/>
        <w:sz w:val="20"/>
        <w:szCs w:val="20"/>
      </w:rPr>
    </w:pPr>
    <w:r w:rsidRPr="00C35E93">
      <w:rPr>
        <w:rFonts w:hint="eastAsia"/>
        <w:sz w:val="20"/>
        <w:szCs w:val="20"/>
      </w:rPr>
      <w:t xml:space="preserve">Corresponding author. Tel: 010-62783109; E-mail: </w:t>
    </w:r>
    <w:r w:rsidR="00C263F5" w:rsidRPr="00D22660">
      <w:rPr>
        <w:rFonts w:hint="eastAsia"/>
        <w:sz w:val="20"/>
        <w:szCs w:val="20"/>
      </w:rPr>
      <w:t>jinsongzhao@tsinghua.edu.cn</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38978" w14:textId="77777777" w:rsidR="00EB4989" w:rsidRDefault="00EB4989">
    <w:pPr>
      <w:pStyle w:val="a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1D1C6" w14:textId="77777777" w:rsidR="003353BB" w:rsidRDefault="003353BB" w:rsidP="0044082D">
      <w:pPr>
        <w:spacing w:after="0" w:line="240" w:lineRule="auto"/>
        <w:ind w:left="480" w:firstLine="480"/>
      </w:pPr>
      <w:r>
        <w:separator/>
      </w:r>
    </w:p>
  </w:footnote>
  <w:footnote w:type="continuationSeparator" w:id="0">
    <w:p w14:paraId="0389D305" w14:textId="77777777" w:rsidR="003353BB" w:rsidRDefault="003353BB" w:rsidP="0044082D">
      <w:pPr>
        <w:spacing w:after="0" w:line="240" w:lineRule="auto"/>
        <w:ind w:left="480"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45A0" w14:textId="77777777" w:rsidR="00EB4989" w:rsidRDefault="00EB4989">
    <w:pPr>
      <w:pStyle w:val="a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3712242"/>
      <w:docPartObj>
        <w:docPartGallery w:val="Page Numbers (Top of Page)"/>
        <w:docPartUnique/>
      </w:docPartObj>
    </w:sdtPr>
    <w:sdtContent>
      <w:p w14:paraId="1C37B4F0" w14:textId="38AA49A6"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58BCF605" w14:textId="77777777" w:rsidR="00EB4989" w:rsidRDefault="00EB4989">
    <w:pPr>
      <w:pStyle w:val="a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037409"/>
      <w:docPartObj>
        <w:docPartGallery w:val="Page Numbers (Top of Page)"/>
        <w:docPartUnique/>
      </w:docPartObj>
    </w:sdtPr>
    <w:sdtContent>
      <w:p w14:paraId="2FB9F8C8" w14:textId="5A507629" w:rsidR="008D01E0" w:rsidRDefault="008D01E0">
        <w:pPr>
          <w:pStyle w:val="ae"/>
          <w:ind w:firstLine="360"/>
          <w:jc w:val="right"/>
        </w:pPr>
        <w:r>
          <w:fldChar w:fldCharType="begin"/>
        </w:r>
        <w:r>
          <w:instrText>PAGE   \* MERGEFORMAT</w:instrText>
        </w:r>
        <w:r>
          <w:fldChar w:fldCharType="separate"/>
        </w:r>
        <w:r>
          <w:rPr>
            <w:lang w:val="zh-CN"/>
          </w:rPr>
          <w:t>2</w:t>
        </w:r>
        <w:r>
          <w:fldChar w:fldCharType="end"/>
        </w:r>
      </w:p>
    </w:sdtContent>
  </w:sdt>
  <w:p w14:paraId="104E0412" w14:textId="77777777" w:rsidR="00EB4989" w:rsidRDefault="00EB4989">
    <w:pPr>
      <w:pStyle w:val="a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37C10"/>
    <w:multiLevelType w:val="hybridMultilevel"/>
    <w:tmpl w:val="9B3A80C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 w15:restartNumberingAfterBreak="0">
    <w:nsid w:val="1CA04B84"/>
    <w:multiLevelType w:val="multilevel"/>
    <w:tmpl w:val="9B2A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B331C"/>
    <w:multiLevelType w:val="hybridMultilevel"/>
    <w:tmpl w:val="D7F8F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61CBF"/>
    <w:multiLevelType w:val="hybridMultilevel"/>
    <w:tmpl w:val="F1FA9286"/>
    <w:lvl w:ilvl="0" w:tplc="04090001">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4" w15:restartNumberingAfterBreak="0">
    <w:nsid w:val="38E2694A"/>
    <w:multiLevelType w:val="hybridMultilevel"/>
    <w:tmpl w:val="F7424FC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11D1848"/>
    <w:multiLevelType w:val="hybridMultilevel"/>
    <w:tmpl w:val="B3E622C6"/>
    <w:lvl w:ilvl="0" w:tplc="04090001">
      <w:start w:val="1"/>
      <w:numFmt w:val="bullet"/>
      <w:lvlText w:val=""/>
      <w:lvlJc w:val="left"/>
      <w:pPr>
        <w:ind w:left="440" w:hanging="440"/>
      </w:pPr>
      <w:rPr>
        <w:rFonts w:ascii="Symbol" w:hAnsi="Symbol"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num w:numId="1" w16cid:durableId="1492520490">
    <w:abstractNumId w:val="2"/>
  </w:num>
  <w:num w:numId="2" w16cid:durableId="1575093197">
    <w:abstractNumId w:val="0"/>
  </w:num>
  <w:num w:numId="3" w16cid:durableId="1031616526">
    <w:abstractNumId w:val="3"/>
  </w:num>
  <w:num w:numId="4" w16cid:durableId="543758541">
    <w:abstractNumId w:val="4"/>
  </w:num>
  <w:num w:numId="5" w16cid:durableId="1172643937">
    <w:abstractNumId w:val="5"/>
  </w:num>
  <w:num w:numId="6" w16cid:durableId="6662453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attachedTemplate r:id="rId1"/>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A21"/>
    <w:rsid w:val="00000A6A"/>
    <w:rsid w:val="00000DD5"/>
    <w:rsid w:val="0000199A"/>
    <w:rsid w:val="00002163"/>
    <w:rsid w:val="00002369"/>
    <w:rsid w:val="000027FD"/>
    <w:rsid w:val="0000309C"/>
    <w:rsid w:val="00003C72"/>
    <w:rsid w:val="00003D4C"/>
    <w:rsid w:val="000047CD"/>
    <w:rsid w:val="000049E3"/>
    <w:rsid w:val="00004BD1"/>
    <w:rsid w:val="00004C8A"/>
    <w:rsid w:val="00005388"/>
    <w:rsid w:val="00005800"/>
    <w:rsid w:val="00005A33"/>
    <w:rsid w:val="000060FB"/>
    <w:rsid w:val="00006509"/>
    <w:rsid w:val="000066D9"/>
    <w:rsid w:val="00006D8F"/>
    <w:rsid w:val="00007464"/>
    <w:rsid w:val="000103F5"/>
    <w:rsid w:val="00010591"/>
    <w:rsid w:val="00010B4D"/>
    <w:rsid w:val="00010E52"/>
    <w:rsid w:val="00010F6C"/>
    <w:rsid w:val="00011307"/>
    <w:rsid w:val="000123DF"/>
    <w:rsid w:val="00012B4E"/>
    <w:rsid w:val="00012C2A"/>
    <w:rsid w:val="00012C71"/>
    <w:rsid w:val="0001376F"/>
    <w:rsid w:val="00013C4E"/>
    <w:rsid w:val="000147B9"/>
    <w:rsid w:val="00015874"/>
    <w:rsid w:val="00015EA0"/>
    <w:rsid w:val="00016973"/>
    <w:rsid w:val="000171FD"/>
    <w:rsid w:val="000176D2"/>
    <w:rsid w:val="00017930"/>
    <w:rsid w:val="00017AA4"/>
    <w:rsid w:val="00017E74"/>
    <w:rsid w:val="00020850"/>
    <w:rsid w:val="000215F9"/>
    <w:rsid w:val="000217A7"/>
    <w:rsid w:val="00021EE4"/>
    <w:rsid w:val="00022412"/>
    <w:rsid w:val="000227CE"/>
    <w:rsid w:val="000228EE"/>
    <w:rsid w:val="00022A0B"/>
    <w:rsid w:val="00022AB5"/>
    <w:rsid w:val="00022C2B"/>
    <w:rsid w:val="00024EC0"/>
    <w:rsid w:val="00025334"/>
    <w:rsid w:val="0002533C"/>
    <w:rsid w:val="00026251"/>
    <w:rsid w:val="0002655C"/>
    <w:rsid w:val="00026CC5"/>
    <w:rsid w:val="00027164"/>
    <w:rsid w:val="00027785"/>
    <w:rsid w:val="000279EA"/>
    <w:rsid w:val="00027AB5"/>
    <w:rsid w:val="00027CD9"/>
    <w:rsid w:val="00030305"/>
    <w:rsid w:val="00030607"/>
    <w:rsid w:val="00030619"/>
    <w:rsid w:val="00030777"/>
    <w:rsid w:val="00030D7B"/>
    <w:rsid w:val="00031447"/>
    <w:rsid w:val="00031626"/>
    <w:rsid w:val="00031798"/>
    <w:rsid w:val="00031885"/>
    <w:rsid w:val="00031BB8"/>
    <w:rsid w:val="00031E77"/>
    <w:rsid w:val="00031F76"/>
    <w:rsid w:val="000323E9"/>
    <w:rsid w:val="000324DC"/>
    <w:rsid w:val="0003268B"/>
    <w:rsid w:val="000327E0"/>
    <w:rsid w:val="00032868"/>
    <w:rsid w:val="00033049"/>
    <w:rsid w:val="00033822"/>
    <w:rsid w:val="00034046"/>
    <w:rsid w:val="00034248"/>
    <w:rsid w:val="00034822"/>
    <w:rsid w:val="00034954"/>
    <w:rsid w:val="000349B5"/>
    <w:rsid w:val="0003535F"/>
    <w:rsid w:val="00035646"/>
    <w:rsid w:val="000358D0"/>
    <w:rsid w:val="00036070"/>
    <w:rsid w:val="00036359"/>
    <w:rsid w:val="00036B29"/>
    <w:rsid w:val="00036D31"/>
    <w:rsid w:val="00036DD1"/>
    <w:rsid w:val="000373E3"/>
    <w:rsid w:val="000376D1"/>
    <w:rsid w:val="00040598"/>
    <w:rsid w:val="00041067"/>
    <w:rsid w:val="00041FD0"/>
    <w:rsid w:val="0004215D"/>
    <w:rsid w:val="000428AA"/>
    <w:rsid w:val="00042A41"/>
    <w:rsid w:val="00043299"/>
    <w:rsid w:val="00043A87"/>
    <w:rsid w:val="0004492E"/>
    <w:rsid w:val="00044B1A"/>
    <w:rsid w:val="00044CD3"/>
    <w:rsid w:val="00044E43"/>
    <w:rsid w:val="00044EE0"/>
    <w:rsid w:val="00045332"/>
    <w:rsid w:val="00046AA5"/>
    <w:rsid w:val="00046CE0"/>
    <w:rsid w:val="00046D82"/>
    <w:rsid w:val="000477EB"/>
    <w:rsid w:val="0004780A"/>
    <w:rsid w:val="000500D1"/>
    <w:rsid w:val="00050322"/>
    <w:rsid w:val="0005036E"/>
    <w:rsid w:val="0005040D"/>
    <w:rsid w:val="00051380"/>
    <w:rsid w:val="00051506"/>
    <w:rsid w:val="000518EE"/>
    <w:rsid w:val="000519D8"/>
    <w:rsid w:val="00051AA9"/>
    <w:rsid w:val="00051BD9"/>
    <w:rsid w:val="00051E79"/>
    <w:rsid w:val="00052381"/>
    <w:rsid w:val="0005293D"/>
    <w:rsid w:val="0005332B"/>
    <w:rsid w:val="00053503"/>
    <w:rsid w:val="00053678"/>
    <w:rsid w:val="000537B2"/>
    <w:rsid w:val="00053BCE"/>
    <w:rsid w:val="00053C14"/>
    <w:rsid w:val="00053CE1"/>
    <w:rsid w:val="00054558"/>
    <w:rsid w:val="000545EF"/>
    <w:rsid w:val="00054B6E"/>
    <w:rsid w:val="00054CA4"/>
    <w:rsid w:val="00054E35"/>
    <w:rsid w:val="00055186"/>
    <w:rsid w:val="000554F7"/>
    <w:rsid w:val="0005559C"/>
    <w:rsid w:val="000560CC"/>
    <w:rsid w:val="0005627F"/>
    <w:rsid w:val="00056B53"/>
    <w:rsid w:val="00056E41"/>
    <w:rsid w:val="00056F2A"/>
    <w:rsid w:val="000571B0"/>
    <w:rsid w:val="00057384"/>
    <w:rsid w:val="00057C71"/>
    <w:rsid w:val="0006038E"/>
    <w:rsid w:val="000606AA"/>
    <w:rsid w:val="00060A88"/>
    <w:rsid w:val="00060BCC"/>
    <w:rsid w:val="0006128F"/>
    <w:rsid w:val="000612D0"/>
    <w:rsid w:val="00061B01"/>
    <w:rsid w:val="00061B04"/>
    <w:rsid w:val="00061BF6"/>
    <w:rsid w:val="00062326"/>
    <w:rsid w:val="00062AD5"/>
    <w:rsid w:val="00062FCD"/>
    <w:rsid w:val="00063816"/>
    <w:rsid w:val="00063EDD"/>
    <w:rsid w:val="00064439"/>
    <w:rsid w:val="00064954"/>
    <w:rsid w:val="00065267"/>
    <w:rsid w:val="00065743"/>
    <w:rsid w:val="00065995"/>
    <w:rsid w:val="00065D9B"/>
    <w:rsid w:val="0006679E"/>
    <w:rsid w:val="000669C2"/>
    <w:rsid w:val="000670FB"/>
    <w:rsid w:val="00070837"/>
    <w:rsid w:val="00070A02"/>
    <w:rsid w:val="00070AB0"/>
    <w:rsid w:val="00070FD3"/>
    <w:rsid w:val="00071224"/>
    <w:rsid w:val="00071B41"/>
    <w:rsid w:val="00071E3A"/>
    <w:rsid w:val="0007258E"/>
    <w:rsid w:val="0007268A"/>
    <w:rsid w:val="00073268"/>
    <w:rsid w:val="00073402"/>
    <w:rsid w:val="000737DA"/>
    <w:rsid w:val="00073946"/>
    <w:rsid w:val="00073AD3"/>
    <w:rsid w:val="00074162"/>
    <w:rsid w:val="00074752"/>
    <w:rsid w:val="0007497C"/>
    <w:rsid w:val="00074B2E"/>
    <w:rsid w:val="00074E4F"/>
    <w:rsid w:val="00075162"/>
    <w:rsid w:val="00075499"/>
    <w:rsid w:val="000755CE"/>
    <w:rsid w:val="0007573F"/>
    <w:rsid w:val="000759CE"/>
    <w:rsid w:val="00075B58"/>
    <w:rsid w:val="000764E6"/>
    <w:rsid w:val="00076635"/>
    <w:rsid w:val="000766DB"/>
    <w:rsid w:val="000771B1"/>
    <w:rsid w:val="00077511"/>
    <w:rsid w:val="0007757E"/>
    <w:rsid w:val="00077ABC"/>
    <w:rsid w:val="00077C69"/>
    <w:rsid w:val="00077D83"/>
    <w:rsid w:val="00077E7E"/>
    <w:rsid w:val="00080C49"/>
    <w:rsid w:val="0008122D"/>
    <w:rsid w:val="00081787"/>
    <w:rsid w:val="00081C4F"/>
    <w:rsid w:val="000821F6"/>
    <w:rsid w:val="00082606"/>
    <w:rsid w:val="000829D0"/>
    <w:rsid w:val="00083018"/>
    <w:rsid w:val="00083717"/>
    <w:rsid w:val="00083A3F"/>
    <w:rsid w:val="00084122"/>
    <w:rsid w:val="000845DD"/>
    <w:rsid w:val="000845E4"/>
    <w:rsid w:val="000846BB"/>
    <w:rsid w:val="0008481F"/>
    <w:rsid w:val="00084994"/>
    <w:rsid w:val="000849D1"/>
    <w:rsid w:val="00084F3E"/>
    <w:rsid w:val="000851EC"/>
    <w:rsid w:val="0008586B"/>
    <w:rsid w:val="00085B1D"/>
    <w:rsid w:val="00085B54"/>
    <w:rsid w:val="000863A6"/>
    <w:rsid w:val="00086641"/>
    <w:rsid w:val="00087103"/>
    <w:rsid w:val="000878D7"/>
    <w:rsid w:val="00087A60"/>
    <w:rsid w:val="00087E78"/>
    <w:rsid w:val="00090045"/>
    <w:rsid w:val="00090532"/>
    <w:rsid w:val="000909A9"/>
    <w:rsid w:val="00090E3F"/>
    <w:rsid w:val="00090F09"/>
    <w:rsid w:val="000910BB"/>
    <w:rsid w:val="00091340"/>
    <w:rsid w:val="00091A43"/>
    <w:rsid w:val="00091B8E"/>
    <w:rsid w:val="00091DD3"/>
    <w:rsid w:val="00091EEC"/>
    <w:rsid w:val="00091F20"/>
    <w:rsid w:val="00092270"/>
    <w:rsid w:val="000925E6"/>
    <w:rsid w:val="0009297D"/>
    <w:rsid w:val="00093110"/>
    <w:rsid w:val="000936B1"/>
    <w:rsid w:val="0009447E"/>
    <w:rsid w:val="0009479D"/>
    <w:rsid w:val="000948C1"/>
    <w:rsid w:val="0009533D"/>
    <w:rsid w:val="000954D4"/>
    <w:rsid w:val="00095532"/>
    <w:rsid w:val="00095CFD"/>
    <w:rsid w:val="000961A4"/>
    <w:rsid w:val="00096890"/>
    <w:rsid w:val="0009737F"/>
    <w:rsid w:val="0009739F"/>
    <w:rsid w:val="000979C0"/>
    <w:rsid w:val="00097C94"/>
    <w:rsid w:val="000A00D9"/>
    <w:rsid w:val="000A1623"/>
    <w:rsid w:val="000A1A62"/>
    <w:rsid w:val="000A1D94"/>
    <w:rsid w:val="000A2240"/>
    <w:rsid w:val="000A26AF"/>
    <w:rsid w:val="000A3ECC"/>
    <w:rsid w:val="000A415D"/>
    <w:rsid w:val="000A4361"/>
    <w:rsid w:val="000A43AB"/>
    <w:rsid w:val="000A4C20"/>
    <w:rsid w:val="000A4C6D"/>
    <w:rsid w:val="000A5A5A"/>
    <w:rsid w:val="000A6102"/>
    <w:rsid w:val="000A65ED"/>
    <w:rsid w:val="000A6662"/>
    <w:rsid w:val="000A7D9C"/>
    <w:rsid w:val="000B0BA2"/>
    <w:rsid w:val="000B0C59"/>
    <w:rsid w:val="000B0CBA"/>
    <w:rsid w:val="000B13DD"/>
    <w:rsid w:val="000B2E83"/>
    <w:rsid w:val="000B312C"/>
    <w:rsid w:val="000B337E"/>
    <w:rsid w:val="000B3C8B"/>
    <w:rsid w:val="000B410E"/>
    <w:rsid w:val="000B4137"/>
    <w:rsid w:val="000B441A"/>
    <w:rsid w:val="000B4621"/>
    <w:rsid w:val="000B559D"/>
    <w:rsid w:val="000B600B"/>
    <w:rsid w:val="000B6111"/>
    <w:rsid w:val="000B63AD"/>
    <w:rsid w:val="000B64C7"/>
    <w:rsid w:val="000B7066"/>
    <w:rsid w:val="000B743C"/>
    <w:rsid w:val="000B7564"/>
    <w:rsid w:val="000B7908"/>
    <w:rsid w:val="000B7963"/>
    <w:rsid w:val="000C0164"/>
    <w:rsid w:val="000C096C"/>
    <w:rsid w:val="000C1088"/>
    <w:rsid w:val="000C12E3"/>
    <w:rsid w:val="000C1896"/>
    <w:rsid w:val="000C19AD"/>
    <w:rsid w:val="000C25CC"/>
    <w:rsid w:val="000C28CB"/>
    <w:rsid w:val="000C2C58"/>
    <w:rsid w:val="000C3435"/>
    <w:rsid w:val="000C34AF"/>
    <w:rsid w:val="000C34BC"/>
    <w:rsid w:val="000C34BD"/>
    <w:rsid w:val="000C3519"/>
    <w:rsid w:val="000C3669"/>
    <w:rsid w:val="000C36B8"/>
    <w:rsid w:val="000C38BF"/>
    <w:rsid w:val="000C39E7"/>
    <w:rsid w:val="000C3E3D"/>
    <w:rsid w:val="000C4164"/>
    <w:rsid w:val="000C5499"/>
    <w:rsid w:val="000C5B16"/>
    <w:rsid w:val="000C5B93"/>
    <w:rsid w:val="000C660E"/>
    <w:rsid w:val="000C6617"/>
    <w:rsid w:val="000C6AD1"/>
    <w:rsid w:val="000C6B2B"/>
    <w:rsid w:val="000C6F48"/>
    <w:rsid w:val="000C6FA7"/>
    <w:rsid w:val="000C793A"/>
    <w:rsid w:val="000C7980"/>
    <w:rsid w:val="000C7AA5"/>
    <w:rsid w:val="000C7F7F"/>
    <w:rsid w:val="000D07D8"/>
    <w:rsid w:val="000D0A19"/>
    <w:rsid w:val="000D0EFA"/>
    <w:rsid w:val="000D147B"/>
    <w:rsid w:val="000D2077"/>
    <w:rsid w:val="000D2C51"/>
    <w:rsid w:val="000D2D23"/>
    <w:rsid w:val="000D3233"/>
    <w:rsid w:val="000D331B"/>
    <w:rsid w:val="000D3429"/>
    <w:rsid w:val="000D3D4C"/>
    <w:rsid w:val="000D3DBB"/>
    <w:rsid w:val="000D42BB"/>
    <w:rsid w:val="000D4801"/>
    <w:rsid w:val="000D4AD1"/>
    <w:rsid w:val="000D53B8"/>
    <w:rsid w:val="000D5E0B"/>
    <w:rsid w:val="000D5EE9"/>
    <w:rsid w:val="000D6023"/>
    <w:rsid w:val="000D6E19"/>
    <w:rsid w:val="000D718C"/>
    <w:rsid w:val="000D7D1C"/>
    <w:rsid w:val="000E0172"/>
    <w:rsid w:val="000E0A29"/>
    <w:rsid w:val="000E0A56"/>
    <w:rsid w:val="000E0FF2"/>
    <w:rsid w:val="000E1D69"/>
    <w:rsid w:val="000E216A"/>
    <w:rsid w:val="000E261A"/>
    <w:rsid w:val="000E2A6B"/>
    <w:rsid w:val="000E4479"/>
    <w:rsid w:val="000E4880"/>
    <w:rsid w:val="000E4B48"/>
    <w:rsid w:val="000E4D3D"/>
    <w:rsid w:val="000E548E"/>
    <w:rsid w:val="000E5492"/>
    <w:rsid w:val="000E5BE4"/>
    <w:rsid w:val="000E6275"/>
    <w:rsid w:val="000E643E"/>
    <w:rsid w:val="000E65CE"/>
    <w:rsid w:val="000E66CC"/>
    <w:rsid w:val="000E6B9F"/>
    <w:rsid w:val="000E6E3A"/>
    <w:rsid w:val="000E787C"/>
    <w:rsid w:val="000E7C49"/>
    <w:rsid w:val="000E7C72"/>
    <w:rsid w:val="000E7F10"/>
    <w:rsid w:val="000E7F85"/>
    <w:rsid w:val="000F026E"/>
    <w:rsid w:val="000F039A"/>
    <w:rsid w:val="000F0B35"/>
    <w:rsid w:val="000F151B"/>
    <w:rsid w:val="000F1A10"/>
    <w:rsid w:val="000F217D"/>
    <w:rsid w:val="000F269C"/>
    <w:rsid w:val="000F27E1"/>
    <w:rsid w:val="000F2D8A"/>
    <w:rsid w:val="000F3644"/>
    <w:rsid w:val="000F36B8"/>
    <w:rsid w:val="000F3925"/>
    <w:rsid w:val="000F3E2C"/>
    <w:rsid w:val="000F4252"/>
    <w:rsid w:val="000F42F7"/>
    <w:rsid w:val="000F4666"/>
    <w:rsid w:val="000F4D86"/>
    <w:rsid w:val="000F4DAF"/>
    <w:rsid w:val="000F5529"/>
    <w:rsid w:val="000F552D"/>
    <w:rsid w:val="000F5766"/>
    <w:rsid w:val="000F5C55"/>
    <w:rsid w:val="000F5E12"/>
    <w:rsid w:val="000F5EE9"/>
    <w:rsid w:val="000F5F48"/>
    <w:rsid w:val="000F6442"/>
    <w:rsid w:val="000F660C"/>
    <w:rsid w:val="000F6DCB"/>
    <w:rsid w:val="000F6DFF"/>
    <w:rsid w:val="000F6EA4"/>
    <w:rsid w:val="000F7DC0"/>
    <w:rsid w:val="00100146"/>
    <w:rsid w:val="00100A51"/>
    <w:rsid w:val="0010163D"/>
    <w:rsid w:val="00101709"/>
    <w:rsid w:val="00101F3B"/>
    <w:rsid w:val="00102297"/>
    <w:rsid w:val="0010264D"/>
    <w:rsid w:val="00102E2E"/>
    <w:rsid w:val="00102F14"/>
    <w:rsid w:val="001036BB"/>
    <w:rsid w:val="00103BE8"/>
    <w:rsid w:val="00103D79"/>
    <w:rsid w:val="00103E10"/>
    <w:rsid w:val="001048F3"/>
    <w:rsid w:val="00104D3D"/>
    <w:rsid w:val="00105172"/>
    <w:rsid w:val="00105390"/>
    <w:rsid w:val="00105747"/>
    <w:rsid w:val="001058D3"/>
    <w:rsid w:val="00105D73"/>
    <w:rsid w:val="00105F74"/>
    <w:rsid w:val="00106B72"/>
    <w:rsid w:val="001070E3"/>
    <w:rsid w:val="0010730C"/>
    <w:rsid w:val="00107424"/>
    <w:rsid w:val="00107493"/>
    <w:rsid w:val="001075FE"/>
    <w:rsid w:val="001076D0"/>
    <w:rsid w:val="00107BA9"/>
    <w:rsid w:val="0011013D"/>
    <w:rsid w:val="00110869"/>
    <w:rsid w:val="001111C5"/>
    <w:rsid w:val="0011136C"/>
    <w:rsid w:val="00111CD7"/>
    <w:rsid w:val="001125F7"/>
    <w:rsid w:val="00112620"/>
    <w:rsid w:val="00112D4C"/>
    <w:rsid w:val="00113735"/>
    <w:rsid w:val="00113A94"/>
    <w:rsid w:val="0011462A"/>
    <w:rsid w:val="00114FDB"/>
    <w:rsid w:val="0011505D"/>
    <w:rsid w:val="00115790"/>
    <w:rsid w:val="00115982"/>
    <w:rsid w:val="00115C55"/>
    <w:rsid w:val="00115CD8"/>
    <w:rsid w:val="00115ED1"/>
    <w:rsid w:val="00115EEE"/>
    <w:rsid w:val="00116163"/>
    <w:rsid w:val="001167F8"/>
    <w:rsid w:val="001174B2"/>
    <w:rsid w:val="00117C1F"/>
    <w:rsid w:val="00120034"/>
    <w:rsid w:val="0012017D"/>
    <w:rsid w:val="00120242"/>
    <w:rsid w:val="001208E6"/>
    <w:rsid w:val="00120CAC"/>
    <w:rsid w:val="00120D66"/>
    <w:rsid w:val="00120E9C"/>
    <w:rsid w:val="00120FE4"/>
    <w:rsid w:val="00121022"/>
    <w:rsid w:val="001216F5"/>
    <w:rsid w:val="00121C9D"/>
    <w:rsid w:val="00121CB7"/>
    <w:rsid w:val="00121D78"/>
    <w:rsid w:val="0012208B"/>
    <w:rsid w:val="00122305"/>
    <w:rsid w:val="00122803"/>
    <w:rsid w:val="00122B6F"/>
    <w:rsid w:val="00123CCD"/>
    <w:rsid w:val="00123D88"/>
    <w:rsid w:val="00123FC2"/>
    <w:rsid w:val="00124127"/>
    <w:rsid w:val="00124AEE"/>
    <w:rsid w:val="00125091"/>
    <w:rsid w:val="001259B8"/>
    <w:rsid w:val="00125D73"/>
    <w:rsid w:val="00125D8D"/>
    <w:rsid w:val="001261FC"/>
    <w:rsid w:val="001264C9"/>
    <w:rsid w:val="00126570"/>
    <w:rsid w:val="001267E7"/>
    <w:rsid w:val="00126825"/>
    <w:rsid w:val="001269A4"/>
    <w:rsid w:val="001269E4"/>
    <w:rsid w:val="00126C56"/>
    <w:rsid w:val="00126C71"/>
    <w:rsid w:val="0012715F"/>
    <w:rsid w:val="001279D4"/>
    <w:rsid w:val="001300CB"/>
    <w:rsid w:val="001303B3"/>
    <w:rsid w:val="0013109B"/>
    <w:rsid w:val="001310CD"/>
    <w:rsid w:val="00131152"/>
    <w:rsid w:val="00131CF6"/>
    <w:rsid w:val="00131E7B"/>
    <w:rsid w:val="00132337"/>
    <w:rsid w:val="00132DD0"/>
    <w:rsid w:val="0013344F"/>
    <w:rsid w:val="00133583"/>
    <w:rsid w:val="001341B8"/>
    <w:rsid w:val="001348AC"/>
    <w:rsid w:val="00134E2E"/>
    <w:rsid w:val="00134E92"/>
    <w:rsid w:val="001362B3"/>
    <w:rsid w:val="001364C4"/>
    <w:rsid w:val="0013686E"/>
    <w:rsid w:val="001369F9"/>
    <w:rsid w:val="00137627"/>
    <w:rsid w:val="00137659"/>
    <w:rsid w:val="001401CF"/>
    <w:rsid w:val="0014076A"/>
    <w:rsid w:val="00140DDD"/>
    <w:rsid w:val="001411DE"/>
    <w:rsid w:val="00141317"/>
    <w:rsid w:val="00141B93"/>
    <w:rsid w:val="00142C79"/>
    <w:rsid w:val="00142D32"/>
    <w:rsid w:val="00142F87"/>
    <w:rsid w:val="00143582"/>
    <w:rsid w:val="001436A0"/>
    <w:rsid w:val="00143A42"/>
    <w:rsid w:val="00143CB3"/>
    <w:rsid w:val="001442A4"/>
    <w:rsid w:val="001443AF"/>
    <w:rsid w:val="00144802"/>
    <w:rsid w:val="001449E4"/>
    <w:rsid w:val="00144C5F"/>
    <w:rsid w:val="00144CAB"/>
    <w:rsid w:val="00144E43"/>
    <w:rsid w:val="0014553C"/>
    <w:rsid w:val="00145CE9"/>
    <w:rsid w:val="00146138"/>
    <w:rsid w:val="001466C2"/>
    <w:rsid w:val="00147401"/>
    <w:rsid w:val="00147542"/>
    <w:rsid w:val="00147822"/>
    <w:rsid w:val="0014783B"/>
    <w:rsid w:val="001478AA"/>
    <w:rsid w:val="00147CB6"/>
    <w:rsid w:val="0015037C"/>
    <w:rsid w:val="00150500"/>
    <w:rsid w:val="00150632"/>
    <w:rsid w:val="001506CC"/>
    <w:rsid w:val="00151625"/>
    <w:rsid w:val="00151745"/>
    <w:rsid w:val="00151BD8"/>
    <w:rsid w:val="00152078"/>
    <w:rsid w:val="0015219D"/>
    <w:rsid w:val="001523DA"/>
    <w:rsid w:val="00152F3E"/>
    <w:rsid w:val="0015331D"/>
    <w:rsid w:val="00153357"/>
    <w:rsid w:val="00153E2C"/>
    <w:rsid w:val="00154008"/>
    <w:rsid w:val="0015468A"/>
    <w:rsid w:val="00154D37"/>
    <w:rsid w:val="001553F6"/>
    <w:rsid w:val="0015559F"/>
    <w:rsid w:val="0015583D"/>
    <w:rsid w:val="00155841"/>
    <w:rsid w:val="00155B3A"/>
    <w:rsid w:val="001573EC"/>
    <w:rsid w:val="00157594"/>
    <w:rsid w:val="001578B7"/>
    <w:rsid w:val="00157E5C"/>
    <w:rsid w:val="0016004F"/>
    <w:rsid w:val="0016070D"/>
    <w:rsid w:val="00160724"/>
    <w:rsid w:val="00160760"/>
    <w:rsid w:val="00160887"/>
    <w:rsid w:val="00160B21"/>
    <w:rsid w:val="0016151C"/>
    <w:rsid w:val="00161FA5"/>
    <w:rsid w:val="00162D44"/>
    <w:rsid w:val="00162FCB"/>
    <w:rsid w:val="0016305C"/>
    <w:rsid w:val="00164579"/>
    <w:rsid w:val="0016465C"/>
    <w:rsid w:val="00164666"/>
    <w:rsid w:val="00165094"/>
    <w:rsid w:val="00165444"/>
    <w:rsid w:val="001659CA"/>
    <w:rsid w:val="00165EAD"/>
    <w:rsid w:val="00165FE1"/>
    <w:rsid w:val="00166480"/>
    <w:rsid w:val="00166C1A"/>
    <w:rsid w:val="0016757B"/>
    <w:rsid w:val="001675FD"/>
    <w:rsid w:val="00167634"/>
    <w:rsid w:val="001676DE"/>
    <w:rsid w:val="0016793D"/>
    <w:rsid w:val="00167D5A"/>
    <w:rsid w:val="00167DE5"/>
    <w:rsid w:val="00170920"/>
    <w:rsid w:val="00170A74"/>
    <w:rsid w:val="0017139A"/>
    <w:rsid w:val="0017180F"/>
    <w:rsid w:val="00171CE1"/>
    <w:rsid w:val="0017223F"/>
    <w:rsid w:val="00172711"/>
    <w:rsid w:val="00172896"/>
    <w:rsid w:val="0017296F"/>
    <w:rsid w:val="001734C8"/>
    <w:rsid w:val="001736FD"/>
    <w:rsid w:val="00173AF0"/>
    <w:rsid w:val="00173C74"/>
    <w:rsid w:val="00173E47"/>
    <w:rsid w:val="00175099"/>
    <w:rsid w:val="001751A6"/>
    <w:rsid w:val="0017544F"/>
    <w:rsid w:val="0017623D"/>
    <w:rsid w:val="00176298"/>
    <w:rsid w:val="0017654D"/>
    <w:rsid w:val="00176721"/>
    <w:rsid w:val="0017694F"/>
    <w:rsid w:val="00176C57"/>
    <w:rsid w:val="00176C83"/>
    <w:rsid w:val="00177DD4"/>
    <w:rsid w:val="00177E02"/>
    <w:rsid w:val="00177FE2"/>
    <w:rsid w:val="00180151"/>
    <w:rsid w:val="00180272"/>
    <w:rsid w:val="00180595"/>
    <w:rsid w:val="001805F6"/>
    <w:rsid w:val="001807EB"/>
    <w:rsid w:val="00180E91"/>
    <w:rsid w:val="001812D3"/>
    <w:rsid w:val="00181511"/>
    <w:rsid w:val="0018187A"/>
    <w:rsid w:val="00181966"/>
    <w:rsid w:val="00181ECD"/>
    <w:rsid w:val="0018224F"/>
    <w:rsid w:val="00182715"/>
    <w:rsid w:val="001829FD"/>
    <w:rsid w:val="00182F82"/>
    <w:rsid w:val="001833E9"/>
    <w:rsid w:val="001833EE"/>
    <w:rsid w:val="00183404"/>
    <w:rsid w:val="00183520"/>
    <w:rsid w:val="00183651"/>
    <w:rsid w:val="00183977"/>
    <w:rsid w:val="00183B59"/>
    <w:rsid w:val="00183E53"/>
    <w:rsid w:val="00184096"/>
    <w:rsid w:val="001842BE"/>
    <w:rsid w:val="00184650"/>
    <w:rsid w:val="0018478A"/>
    <w:rsid w:val="00184B25"/>
    <w:rsid w:val="00184DE1"/>
    <w:rsid w:val="00185098"/>
    <w:rsid w:val="0018518A"/>
    <w:rsid w:val="0018563B"/>
    <w:rsid w:val="00185BB2"/>
    <w:rsid w:val="001862ED"/>
    <w:rsid w:val="0018630C"/>
    <w:rsid w:val="001865A8"/>
    <w:rsid w:val="0018692C"/>
    <w:rsid w:val="001869DA"/>
    <w:rsid w:val="001869FA"/>
    <w:rsid w:val="00187496"/>
    <w:rsid w:val="00190412"/>
    <w:rsid w:val="00190815"/>
    <w:rsid w:val="00190870"/>
    <w:rsid w:val="00190FC4"/>
    <w:rsid w:val="00191193"/>
    <w:rsid w:val="00191449"/>
    <w:rsid w:val="00191836"/>
    <w:rsid w:val="001925AC"/>
    <w:rsid w:val="00193004"/>
    <w:rsid w:val="00193CF5"/>
    <w:rsid w:val="00193D35"/>
    <w:rsid w:val="00193DEC"/>
    <w:rsid w:val="0019538A"/>
    <w:rsid w:val="00195D6B"/>
    <w:rsid w:val="00196307"/>
    <w:rsid w:val="001965D9"/>
    <w:rsid w:val="00196AE8"/>
    <w:rsid w:val="00196BBF"/>
    <w:rsid w:val="00196C66"/>
    <w:rsid w:val="00197511"/>
    <w:rsid w:val="00197857"/>
    <w:rsid w:val="0019795B"/>
    <w:rsid w:val="001A03FA"/>
    <w:rsid w:val="001A0B9B"/>
    <w:rsid w:val="001A0CC3"/>
    <w:rsid w:val="001A1474"/>
    <w:rsid w:val="001A1571"/>
    <w:rsid w:val="001A29D7"/>
    <w:rsid w:val="001A29FC"/>
    <w:rsid w:val="001A2AAB"/>
    <w:rsid w:val="001A3387"/>
    <w:rsid w:val="001A3633"/>
    <w:rsid w:val="001A426E"/>
    <w:rsid w:val="001A4331"/>
    <w:rsid w:val="001A4606"/>
    <w:rsid w:val="001A4C2C"/>
    <w:rsid w:val="001A50E2"/>
    <w:rsid w:val="001A5E41"/>
    <w:rsid w:val="001A5F94"/>
    <w:rsid w:val="001A6466"/>
    <w:rsid w:val="001A6D6A"/>
    <w:rsid w:val="001A6F9A"/>
    <w:rsid w:val="001A77A6"/>
    <w:rsid w:val="001A77E8"/>
    <w:rsid w:val="001A7DE9"/>
    <w:rsid w:val="001B0548"/>
    <w:rsid w:val="001B0716"/>
    <w:rsid w:val="001B119E"/>
    <w:rsid w:val="001B132D"/>
    <w:rsid w:val="001B1413"/>
    <w:rsid w:val="001B1B78"/>
    <w:rsid w:val="001B1BA4"/>
    <w:rsid w:val="001B1CE0"/>
    <w:rsid w:val="001B1E8F"/>
    <w:rsid w:val="001B24B4"/>
    <w:rsid w:val="001B24E9"/>
    <w:rsid w:val="001B25DE"/>
    <w:rsid w:val="001B2B87"/>
    <w:rsid w:val="001B2EBA"/>
    <w:rsid w:val="001B333A"/>
    <w:rsid w:val="001B36E3"/>
    <w:rsid w:val="001B3729"/>
    <w:rsid w:val="001B3A5B"/>
    <w:rsid w:val="001B47FC"/>
    <w:rsid w:val="001B4B55"/>
    <w:rsid w:val="001B56D5"/>
    <w:rsid w:val="001B5954"/>
    <w:rsid w:val="001B5A0A"/>
    <w:rsid w:val="001B5A25"/>
    <w:rsid w:val="001B5AC4"/>
    <w:rsid w:val="001B5C09"/>
    <w:rsid w:val="001B5CE6"/>
    <w:rsid w:val="001B5DC8"/>
    <w:rsid w:val="001B5E61"/>
    <w:rsid w:val="001B5EDA"/>
    <w:rsid w:val="001B66F6"/>
    <w:rsid w:val="001B6B00"/>
    <w:rsid w:val="001C0860"/>
    <w:rsid w:val="001C0E32"/>
    <w:rsid w:val="001C0F10"/>
    <w:rsid w:val="001C1718"/>
    <w:rsid w:val="001C1DC5"/>
    <w:rsid w:val="001C2B0A"/>
    <w:rsid w:val="001C2EFE"/>
    <w:rsid w:val="001C316E"/>
    <w:rsid w:val="001C37BF"/>
    <w:rsid w:val="001C3ECA"/>
    <w:rsid w:val="001C3EEB"/>
    <w:rsid w:val="001C5120"/>
    <w:rsid w:val="001C571F"/>
    <w:rsid w:val="001C5DD9"/>
    <w:rsid w:val="001C6205"/>
    <w:rsid w:val="001C62E3"/>
    <w:rsid w:val="001C64AD"/>
    <w:rsid w:val="001C6770"/>
    <w:rsid w:val="001C69BE"/>
    <w:rsid w:val="001C714F"/>
    <w:rsid w:val="001C7A0D"/>
    <w:rsid w:val="001C7B1B"/>
    <w:rsid w:val="001D00E2"/>
    <w:rsid w:val="001D0124"/>
    <w:rsid w:val="001D06AB"/>
    <w:rsid w:val="001D0BE7"/>
    <w:rsid w:val="001D11E3"/>
    <w:rsid w:val="001D1697"/>
    <w:rsid w:val="001D1CFB"/>
    <w:rsid w:val="001D367D"/>
    <w:rsid w:val="001D3776"/>
    <w:rsid w:val="001D4DE1"/>
    <w:rsid w:val="001D50BA"/>
    <w:rsid w:val="001D512B"/>
    <w:rsid w:val="001D52DC"/>
    <w:rsid w:val="001D5437"/>
    <w:rsid w:val="001D54B6"/>
    <w:rsid w:val="001D5618"/>
    <w:rsid w:val="001D5EB7"/>
    <w:rsid w:val="001D5F3C"/>
    <w:rsid w:val="001D619B"/>
    <w:rsid w:val="001D7099"/>
    <w:rsid w:val="001D71F4"/>
    <w:rsid w:val="001D78B7"/>
    <w:rsid w:val="001D7B89"/>
    <w:rsid w:val="001D7E01"/>
    <w:rsid w:val="001E03DF"/>
    <w:rsid w:val="001E040B"/>
    <w:rsid w:val="001E0678"/>
    <w:rsid w:val="001E099A"/>
    <w:rsid w:val="001E0DE8"/>
    <w:rsid w:val="001E1172"/>
    <w:rsid w:val="001E161E"/>
    <w:rsid w:val="001E2D81"/>
    <w:rsid w:val="001E2DF8"/>
    <w:rsid w:val="001E344A"/>
    <w:rsid w:val="001E3538"/>
    <w:rsid w:val="001E3AB4"/>
    <w:rsid w:val="001E3B74"/>
    <w:rsid w:val="001E40AC"/>
    <w:rsid w:val="001E4FD6"/>
    <w:rsid w:val="001E58B0"/>
    <w:rsid w:val="001E5BA1"/>
    <w:rsid w:val="001E5E56"/>
    <w:rsid w:val="001E5F47"/>
    <w:rsid w:val="001E5FAC"/>
    <w:rsid w:val="001E62C6"/>
    <w:rsid w:val="001E64A1"/>
    <w:rsid w:val="001E69E0"/>
    <w:rsid w:val="001E6D5F"/>
    <w:rsid w:val="001E7516"/>
    <w:rsid w:val="001F034B"/>
    <w:rsid w:val="001F07DB"/>
    <w:rsid w:val="001F0B07"/>
    <w:rsid w:val="001F0E8D"/>
    <w:rsid w:val="001F1038"/>
    <w:rsid w:val="001F1368"/>
    <w:rsid w:val="001F1810"/>
    <w:rsid w:val="001F18FA"/>
    <w:rsid w:val="001F1E0A"/>
    <w:rsid w:val="001F26CB"/>
    <w:rsid w:val="001F28C5"/>
    <w:rsid w:val="001F388A"/>
    <w:rsid w:val="001F3C55"/>
    <w:rsid w:val="001F3EAB"/>
    <w:rsid w:val="001F4330"/>
    <w:rsid w:val="001F45B6"/>
    <w:rsid w:val="001F474B"/>
    <w:rsid w:val="001F4FCA"/>
    <w:rsid w:val="001F55EB"/>
    <w:rsid w:val="001F59B3"/>
    <w:rsid w:val="001F6418"/>
    <w:rsid w:val="001F6CAC"/>
    <w:rsid w:val="001F71E6"/>
    <w:rsid w:val="001F73DF"/>
    <w:rsid w:val="001F77AD"/>
    <w:rsid w:val="001F77BF"/>
    <w:rsid w:val="002000C6"/>
    <w:rsid w:val="002002CB"/>
    <w:rsid w:val="00200B91"/>
    <w:rsid w:val="00200B9B"/>
    <w:rsid w:val="002010DF"/>
    <w:rsid w:val="00201344"/>
    <w:rsid w:val="00201816"/>
    <w:rsid w:val="00201A9B"/>
    <w:rsid w:val="00201E8A"/>
    <w:rsid w:val="002020B3"/>
    <w:rsid w:val="0020227B"/>
    <w:rsid w:val="002026F9"/>
    <w:rsid w:val="00203201"/>
    <w:rsid w:val="002035F5"/>
    <w:rsid w:val="002036C3"/>
    <w:rsid w:val="00203A2C"/>
    <w:rsid w:val="00203A4F"/>
    <w:rsid w:val="002047C6"/>
    <w:rsid w:val="00204C1D"/>
    <w:rsid w:val="00205482"/>
    <w:rsid w:val="002054A7"/>
    <w:rsid w:val="002054AC"/>
    <w:rsid w:val="002063A9"/>
    <w:rsid w:val="002063B7"/>
    <w:rsid w:val="0020669C"/>
    <w:rsid w:val="00207236"/>
    <w:rsid w:val="0020747E"/>
    <w:rsid w:val="002077D7"/>
    <w:rsid w:val="00207921"/>
    <w:rsid w:val="0020795B"/>
    <w:rsid w:val="00210A67"/>
    <w:rsid w:val="00211362"/>
    <w:rsid w:val="002118D6"/>
    <w:rsid w:val="00211A6E"/>
    <w:rsid w:val="0021255F"/>
    <w:rsid w:val="00212736"/>
    <w:rsid w:val="002127E0"/>
    <w:rsid w:val="0021288C"/>
    <w:rsid w:val="002129A2"/>
    <w:rsid w:val="002129C7"/>
    <w:rsid w:val="002133E0"/>
    <w:rsid w:val="00213EF5"/>
    <w:rsid w:val="0021436A"/>
    <w:rsid w:val="0021472F"/>
    <w:rsid w:val="00214ADE"/>
    <w:rsid w:val="00214B43"/>
    <w:rsid w:val="00215305"/>
    <w:rsid w:val="0021532B"/>
    <w:rsid w:val="002153E6"/>
    <w:rsid w:val="00216123"/>
    <w:rsid w:val="00216239"/>
    <w:rsid w:val="00216975"/>
    <w:rsid w:val="00216ABD"/>
    <w:rsid w:val="00216D90"/>
    <w:rsid w:val="00216DBC"/>
    <w:rsid w:val="00216DC8"/>
    <w:rsid w:val="00216F4A"/>
    <w:rsid w:val="00220090"/>
    <w:rsid w:val="0022051B"/>
    <w:rsid w:val="00220A53"/>
    <w:rsid w:val="00220AFB"/>
    <w:rsid w:val="00220BCD"/>
    <w:rsid w:val="00221984"/>
    <w:rsid w:val="0022203A"/>
    <w:rsid w:val="002222B5"/>
    <w:rsid w:val="00222476"/>
    <w:rsid w:val="00222765"/>
    <w:rsid w:val="00222B95"/>
    <w:rsid w:val="00222FF2"/>
    <w:rsid w:val="00223201"/>
    <w:rsid w:val="002236A6"/>
    <w:rsid w:val="002238C7"/>
    <w:rsid w:val="00224129"/>
    <w:rsid w:val="002243C8"/>
    <w:rsid w:val="00224951"/>
    <w:rsid w:val="00224CA5"/>
    <w:rsid w:val="002256E6"/>
    <w:rsid w:val="00225DC0"/>
    <w:rsid w:val="00226045"/>
    <w:rsid w:val="00226120"/>
    <w:rsid w:val="0022633E"/>
    <w:rsid w:val="00226345"/>
    <w:rsid w:val="00226544"/>
    <w:rsid w:val="00226B3D"/>
    <w:rsid w:val="00226EFC"/>
    <w:rsid w:val="002275C1"/>
    <w:rsid w:val="00227AC1"/>
    <w:rsid w:val="00227BEF"/>
    <w:rsid w:val="00227C6A"/>
    <w:rsid w:val="00230603"/>
    <w:rsid w:val="00230788"/>
    <w:rsid w:val="002309EA"/>
    <w:rsid w:val="00230A79"/>
    <w:rsid w:val="00230BC4"/>
    <w:rsid w:val="00230C29"/>
    <w:rsid w:val="0023146A"/>
    <w:rsid w:val="0023169A"/>
    <w:rsid w:val="00232983"/>
    <w:rsid w:val="00232B0B"/>
    <w:rsid w:val="00232D98"/>
    <w:rsid w:val="002334FE"/>
    <w:rsid w:val="00233818"/>
    <w:rsid w:val="002338DD"/>
    <w:rsid w:val="00233942"/>
    <w:rsid w:val="00234250"/>
    <w:rsid w:val="0023428C"/>
    <w:rsid w:val="00234530"/>
    <w:rsid w:val="00234639"/>
    <w:rsid w:val="002346FC"/>
    <w:rsid w:val="00234914"/>
    <w:rsid w:val="00235032"/>
    <w:rsid w:val="002352FE"/>
    <w:rsid w:val="00235477"/>
    <w:rsid w:val="002354FB"/>
    <w:rsid w:val="00235C0F"/>
    <w:rsid w:val="00235C6B"/>
    <w:rsid w:val="00235C88"/>
    <w:rsid w:val="00235FDC"/>
    <w:rsid w:val="002361D2"/>
    <w:rsid w:val="00236C71"/>
    <w:rsid w:val="00236E3F"/>
    <w:rsid w:val="0023714B"/>
    <w:rsid w:val="00237418"/>
    <w:rsid w:val="00237633"/>
    <w:rsid w:val="00237898"/>
    <w:rsid w:val="00237CCC"/>
    <w:rsid w:val="00237D46"/>
    <w:rsid w:val="00237E25"/>
    <w:rsid w:val="002400EB"/>
    <w:rsid w:val="00240188"/>
    <w:rsid w:val="00241425"/>
    <w:rsid w:val="00241787"/>
    <w:rsid w:val="00241DCB"/>
    <w:rsid w:val="00241ED9"/>
    <w:rsid w:val="0024293F"/>
    <w:rsid w:val="00243458"/>
    <w:rsid w:val="00243537"/>
    <w:rsid w:val="00243F5E"/>
    <w:rsid w:val="002443E0"/>
    <w:rsid w:val="002447A4"/>
    <w:rsid w:val="0024489D"/>
    <w:rsid w:val="00244B82"/>
    <w:rsid w:val="00244F8E"/>
    <w:rsid w:val="00245128"/>
    <w:rsid w:val="00245358"/>
    <w:rsid w:val="00245B7A"/>
    <w:rsid w:val="00245C14"/>
    <w:rsid w:val="00245F1A"/>
    <w:rsid w:val="00246324"/>
    <w:rsid w:val="002467DC"/>
    <w:rsid w:val="002469AB"/>
    <w:rsid w:val="00246B92"/>
    <w:rsid w:val="00247191"/>
    <w:rsid w:val="002476E0"/>
    <w:rsid w:val="00247E01"/>
    <w:rsid w:val="00247ECF"/>
    <w:rsid w:val="002500A0"/>
    <w:rsid w:val="00250950"/>
    <w:rsid w:val="00251255"/>
    <w:rsid w:val="00251960"/>
    <w:rsid w:val="00251B20"/>
    <w:rsid w:val="00251FBD"/>
    <w:rsid w:val="0025216D"/>
    <w:rsid w:val="0025241E"/>
    <w:rsid w:val="00252A34"/>
    <w:rsid w:val="00253A5B"/>
    <w:rsid w:val="002546ED"/>
    <w:rsid w:val="00254C38"/>
    <w:rsid w:val="00254E92"/>
    <w:rsid w:val="002552DF"/>
    <w:rsid w:val="0025595E"/>
    <w:rsid w:val="00256435"/>
    <w:rsid w:val="00256444"/>
    <w:rsid w:val="002566CD"/>
    <w:rsid w:val="00256AAF"/>
    <w:rsid w:val="002571DA"/>
    <w:rsid w:val="002572BA"/>
    <w:rsid w:val="002579F1"/>
    <w:rsid w:val="00257E3F"/>
    <w:rsid w:val="0026057A"/>
    <w:rsid w:val="002606DE"/>
    <w:rsid w:val="00260B92"/>
    <w:rsid w:val="002610DF"/>
    <w:rsid w:val="00261220"/>
    <w:rsid w:val="00261D41"/>
    <w:rsid w:val="00261D63"/>
    <w:rsid w:val="002622C7"/>
    <w:rsid w:val="00263133"/>
    <w:rsid w:val="002635D2"/>
    <w:rsid w:val="0026360B"/>
    <w:rsid w:val="002638BC"/>
    <w:rsid w:val="00264185"/>
    <w:rsid w:val="002641E6"/>
    <w:rsid w:val="002655B5"/>
    <w:rsid w:val="00265754"/>
    <w:rsid w:val="0026618F"/>
    <w:rsid w:val="00266302"/>
    <w:rsid w:val="00266361"/>
    <w:rsid w:val="0026639E"/>
    <w:rsid w:val="00266B1F"/>
    <w:rsid w:val="00266EB6"/>
    <w:rsid w:val="00267945"/>
    <w:rsid w:val="00267A82"/>
    <w:rsid w:val="00267E1D"/>
    <w:rsid w:val="0027030B"/>
    <w:rsid w:val="002703D3"/>
    <w:rsid w:val="00270528"/>
    <w:rsid w:val="0027053C"/>
    <w:rsid w:val="0027059E"/>
    <w:rsid w:val="00270DA9"/>
    <w:rsid w:val="0027196D"/>
    <w:rsid w:val="002719DD"/>
    <w:rsid w:val="00271F58"/>
    <w:rsid w:val="00272482"/>
    <w:rsid w:val="002726BC"/>
    <w:rsid w:val="00272AAF"/>
    <w:rsid w:val="00273A96"/>
    <w:rsid w:val="00273F30"/>
    <w:rsid w:val="002740B0"/>
    <w:rsid w:val="00274482"/>
    <w:rsid w:val="002745FE"/>
    <w:rsid w:val="00274F19"/>
    <w:rsid w:val="00275123"/>
    <w:rsid w:val="002753A3"/>
    <w:rsid w:val="0027544F"/>
    <w:rsid w:val="0027572C"/>
    <w:rsid w:val="00275A5B"/>
    <w:rsid w:val="00275C93"/>
    <w:rsid w:val="00275C96"/>
    <w:rsid w:val="002768FF"/>
    <w:rsid w:val="00276C12"/>
    <w:rsid w:val="00276C52"/>
    <w:rsid w:val="00276E04"/>
    <w:rsid w:val="00276F26"/>
    <w:rsid w:val="0027785F"/>
    <w:rsid w:val="0027787A"/>
    <w:rsid w:val="002779A7"/>
    <w:rsid w:val="00277B67"/>
    <w:rsid w:val="00277DDE"/>
    <w:rsid w:val="00277F64"/>
    <w:rsid w:val="00280113"/>
    <w:rsid w:val="002802DD"/>
    <w:rsid w:val="00280557"/>
    <w:rsid w:val="002807C5"/>
    <w:rsid w:val="00280CA4"/>
    <w:rsid w:val="0028158C"/>
    <w:rsid w:val="0028173E"/>
    <w:rsid w:val="002828CF"/>
    <w:rsid w:val="00282D90"/>
    <w:rsid w:val="00282F3F"/>
    <w:rsid w:val="00283177"/>
    <w:rsid w:val="00283519"/>
    <w:rsid w:val="002837B6"/>
    <w:rsid w:val="00283CAA"/>
    <w:rsid w:val="002841BC"/>
    <w:rsid w:val="00284501"/>
    <w:rsid w:val="002847FE"/>
    <w:rsid w:val="00285867"/>
    <w:rsid w:val="0028628A"/>
    <w:rsid w:val="0028632D"/>
    <w:rsid w:val="0028640C"/>
    <w:rsid w:val="00286653"/>
    <w:rsid w:val="00286664"/>
    <w:rsid w:val="00286AE4"/>
    <w:rsid w:val="00286EC4"/>
    <w:rsid w:val="002871DC"/>
    <w:rsid w:val="00287546"/>
    <w:rsid w:val="002877C3"/>
    <w:rsid w:val="002901C5"/>
    <w:rsid w:val="00290857"/>
    <w:rsid w:val="00290AAC"/>
    <w:rsid w:val="00290B18"/>
    <w:rsid w:val="00291011"/>
    <w:rsid w:val="002910B5"/>
    <w:rsid w:val="00291136"/>
    <w:rsid w:val="002911BA"/>
    <w:rsid w:val="002919C7"/>
    <w:rsid w:val="00292619"/>
    <w:rsid w:val="00292AAA"/>
    <w:rsid w:val="002935F1"/>
    <w:rsid w:val="002936B6"/>
    <w:rsid w:val="00293746"/>
    <w:rsid w:val="00293913"/>
    <w:rsid w:val="00294946"/>
    <w:rsid w:val="002949B4"/>
    <w:rsid w:val="0029538E"/>
    <w:rsid w:val="002961DA"/>
    <w:rsid w:val="002961FB"/>
    <w:rsid w:val="00296863"/>
    <w:rsid w:val="00297820"/>
    <w:rsid w:val="00297857"/>
    <w:rsid w:val="002979DA"/>
    <w:rsid w:val="00297D25"/>
    <w:rsid w:val="00297D60"/>
    <w:rsid w:val="00297EEF"/>
    <w:rsid w:val="002A06B2"/>
    <w:rsid w:val="002A16E2"/>
    <w:rsid w:val="002A1CCF"/>
    <w:rsid w:val="002A1EB3"/>
    <w:rsid w:val="002A2338"/>
    <w:rsid w:val="002A2B21"/>
    <w:rsid w:val="002A2CE3"/>
    <w:rsid w:val="002A3379"/>
    <w:rsid w:val="002A3DAF"/>
    <w:rsid w:val="002A4209"/>
    <w:rsid w:val="002A438B"/>
    <w:rsid w:val="002A4C54"/>
    <w:rsid w:val="002A50A6"/>
    <w:rsid w:val="002A56FD"/>
    <w:rsid w:val="002A58EA"/>
    <w:rsid w:val="002A5F32"/>
    <w:rsid w:val="002A6138"/>
    <w:rsid w:val="002A61E1"/>
    <w:rsid w:val="002B007B"/>
    <w:rsid w:val="002B0CF3"/>
    <w:rsid w:val="002B0E00"/>
    <w:rsid w:val="002B1686"/>
    <w:rsid w:val="002B190B"/>
    <w:rsid w:val="002B1CC2"/>
    <w:rsid w:val="002B1D5B"/>
    <w:rsid w:val="002B2D48"/>
    <w:rsid w:val="002B3048"/>
    <w:rsid w:val="002B3626"/>
    <w:rsid w:val="002B3A6D"/>
    <w:rsid w:val="002B3BC6"/>
    <w:rsid w:val="002B3C4D"/>
    <w:rsid w:val="002B4F5F"/>
    <w:rsid w:val="002B4FB5"/>
    <w:rsid w:val="002B5249"/>
    <w:rsid w:val="002B5548"/>
    <w:rsid w:val="002B5BE1"/>
    <w:rsid w:val="002B6229"/>
    <w:rsid w:val="002B62E3"/>
    <w:rsid w:val="002B6541"/>
    <w:rsid w:val="002B6867"/>
    <w:rsid w:val="002B6BC5"/>
    <w:rsid w:val="002B7DCE"/>
    <w:rsid w:val="002B7E0C"/>
    <w:rsid w:val="002B7FC4"/>
    <w:rsid w:val="002C01CB"/>
    <w:rsid w:val="002C05FA"/>
    <w:rsid w:val="002C08DD"/>
    <w:rsid w:val="002C094A"/>
    <w:rsid w:val="002C0E6C"/>
    <w:rsid w:val="002C13FC"/>
    <w:rsid w:val="002C1E69"/>
    <w:rsid w:val="002C1F6E"/>
    <w:rsid w:val="002C1F91"/>
    <w:rsid w:val="002C27B0"/>
    <w:rsid w:val="002C2824"/>
    <w:rsid w:val="002C28B2"/>
    <w:rsid w:val="002C2C47"/>
    <w:rsid w:val="002C2F3D"/>
    <w:rsid w:val="002C3A9D"/>
    <w:rsid w:val="002C3CF0"/>
    <w:rsid w:val="002C4D67"/>
    <w:rsid w:val="002C4DEA"/>
    <w:rsid w:val="002C5366"/>
    <w:rsid w:val="002C5565"/>
    <w:rsid w:val="002C58FB"/>
    <w:rsid w:val="002C5B47"/>
    <w:rsid w:val="002C6877"/>
    <w:rsid w:val="002C7213"/>
    <w:rsid w:val="002C7802"/>
    <w:rsid w:val="002C7FAE"/>
    <w:rsid w:val="002D032F"/>
    <w:rsid w:val="002D03D0"/>
    <w:rsid w:val="002D12E9"/>
    <w:rsid w:val="002D1311"/>
    <w:rsid w:val="002D19E5"/>
    <w:rsid w:val="002D1B2D"/>
    <w:rsid w:val="002D1CF0"/>
    <w:rsid w:val="002D23E0"/>
    <w:rsid w:val="002D2524"/>
    <w:rsid w:val="002D2E91"/>
    <w:rsid w:val="002D3E84"/>
    <w:rsid w:val="002D42BE"/>
    <w:rsid w:val="002D44F8"/>
    <w:rsid w:val="002D467D"/>
    <w:rsid w:val="002D4727"/>
    <w:rsid w:val="002D4767"/>
    <w:rsid w:val="002D4AE1"/>
    <w:rsid w:val="002D4BEE"/>
    <w:rsid w:val="002D5A11"/>
    <w:rsid w:val="002D5A21"/>
    <w:rsid w:val="002D6526"/>
    <w:rsid w:val="002D7274"/>
    <w:rsid w:val="002D7A3B"/>
    <w:rsid w:val="002D7BB8"/>
    <w:rsid w:val="002D7C69"/>
    <w:rsid w:val="002E02CE"/>
    <w:rsid w:val="002E0936"/>
    <w:rsid w:val="002E1212"/>
    <w:rsid w:val="002E1672"/>
    <w:rsid w:val="002E1713"/>
    <w:rsid w:val="002E1808"/>
    <w:rsid w:val="002E1BF5"/>
    <w:rsid w:val="002E237E"/>
    <w:rsid w:val="002E2D59"/>
    <w:rsid w:val="002E316E"/>
    <w:rsid w:val="002E3F13"/>
    <w:rsid w:val="002E4246"/>
    <w:rsid w:val="002E445B"/>
    <w:rsid w:val="002E4738"/>
    <w:rsid w:val="002E4E66"/>
    <w:rsid w:val="002E5100"/>
    <w:rsid w:val="002E511B"/>
    <w:rsid w:val="002E52BC"/>
    <w:rsid w:val="002E67F9"/>
    <w:rsid w:val="002E6C53"/>
    <w:rsid w:val="002F0B59"/>
    <w:rsid w:val="002F279B"/>
    <w:rsid w:val="002F395B"/>
    <w:rsid w:val="002F3C21"/>
    <w:rsid w:val="002F3CDD"/>
    <w:rsid w:val="002F3D91"/>
    <w:rsid w:val="002F3EDE"/>
    <w:rsid w:val="002F4525"/>
    <w:rsid w:val="002F46A0"/>
    <w:rsid w:val="002F4CD1"/>
    <w:rsid w:val="002F6095"/>
    <w:rsid w:val="002F669D"/>
    <w:rsid w:val="002F6762"/>
    <w:rsid w:val="002F685A"/>
    <w:rsid w:val="002F6978"/>
    <w:rsid w:val="002F6C28"/>
    <w:rsid w:val="002F6C2C"/>
    <w:rsid w:val="002F6DE5"/>
    <w:rsid w:val="002F70FB"/>
    <w:rsid w:val="002F72CB"/>
    <w:rsid w:val="002F72FF"/>
    <w:rsid w:val="00300356"/>
    <w:rsid w:val="0030044E"/>
    <w:rsid w:val="00301283"/>
    <w:rsid w:val="00301441"/>
    <w:rsid w:val="003015FB"/>
    <w:rsid w:val="003022E5"/>
    <w:rsid w:val="003024EE"/>
    <w:rsid w:val="00302562"/>
    <w:rsid w:val="003029ED"/>
    <w:rsid w:val="00302CCC"/>
    <w:rsid w:val="00302CEC"/>
    <w:rsid w:val="00302D76"/>
    <w:rsid w:val="00302E28"/>
    <w:rsid w:val="0030383F"/>
    <w:rsid w:val="00303D7E"/>
    <w:rsid w:val="003041A3"/>
    <w:rsid w:val="0030420E"/>
    <w:rsid w:val="00304272"/>
    <w:rsid w:val="00304BC8"/>
    <w:rsid w:val="00304BD1"/>
    <w:rsid w:val="00304CEC"/>
    <w:rsid w:val="00304DB0"/>
    <w:rsid w:val="00305435"/>
    <w:rsid w:val="003055A7"/>
    <w:rsid w:val="003055C7"/>
    <w:rsid w:val="00305B0A"/>
    <w:rsid w:val="0030619C"/>
    <w:rsid w:val="0030646E"/>
    <w:rsid w:val="00306520"/>
    <w:rsid w:val="00306768"/>
    <w:rsid w:val="00306C21"/>
    <w:rsid w:val="00306DA3"/>
    <w:rsid w:val="00307529"/>
    <w:rsid w:val="00307624"/>
    <w:rsid w:val="00307A65"/>
    <w:rsid w:val="00307AC0"/>
    <w:rsid w:val="00310C9A"/>
    <w:rsid w:val="0031162C"/>
    <w:rsid w:val="00311A74"/>
    <w:rsid w:val="00312910"/>
    <w:rsid w:val="00312B8B"/>
    <w:rsid w:val="00312D7B"/>
    <w:rsid w:val="00313B92"/>
    <w:rsid w:val="00313C0E"/>
    <w:rsid w:val="00313E58"/>
    <w:rsid w:val="00313FF2"/>
    <w:rsid w:val="00314778"/>
    <w:rsid w:val="00314C13"/>
    <w:rsid w:val="00314EE3"/>
    <w:rsid w:val="00314F45"/>
    <w:rsid w:val="00315436"/>
    <w:rsid w:val="00315712"/>
    <w:rsid w:val="003157A7"/>
    <w:rsid w:val="003159CF"/>
    <w:rsid w:val="00315D5C"/>
    <w:rsid w:val="00316298"/>
    <w:rsid w:val="0031630D"/>
    <w:rsid w:val="00316506"/>
    <w:rsid w:val="003167A3"/>
    <w:rsid w:val="00316D36"/>
    <w:rsid w:val="00317119"/>
    <w:rsid w:val="003171AA"/>
    <w:rsid w:val="0031762F"/>
    <w:rsid w:val="00317928"/>
    <w:rsid w:val="0031795E"/>
    <w:rsid w:val="00317CFD"/>
    <w:rsid w:val="00320168"/>
    <w:rsid w:val="00320348"/>
    <w:rsid w:val="00320628"/>
    <w:rsid w:val="00320EB3"/>
    <w:rsid w:val="003210A7"/>
    <w:rsid w:val="00321263"/>
    <w:rsid w:val="00321976"/>
    <w:rsid w:val="00322291"/>
    <w:rsid w:val="0032269E"/>
    <w:rsid w:val="003228C9"/>
    <w:rsid w:val="00322D25"/>
    <w:rsid w:val="00323543"/>
    <w:rsid w:val="00323921"/>
    <w:rsid w:val="00323C8F"/>
    <w:rsid w:val="003243CE"/>
    <w:rsid w:val="00324603"/>
    <w:rsid w:val="00324C33"/>
    <w:rsid w:val="00325413"/>
    <w:rsid w:val="00325522"/>
    <w:rsid w:val="00325FD1"/>
    <w:rsid w:val="003262BA"/>
    <w:rsid w:val="00326E3E"/>
    <w:rsid w:val="003270A4"/>
    <w:rsid w:val="003270B3"/>
    <w:rsid w:val="003274E1"/>
    <w:rsid w:val="003279FD"/>
    <w:rsid w:val="00327B2E"/>
    <w:rsid w:val="00327CD5"/>
    <w:rsid w:val="00327F86"/>
    <w:rsid w:val="003301A7"/>
    <w:rsid w:val="00330746"/>
    <w:rsid w:val="003323E2"/>
    <w:rsid w:val="0033266C"/>
    <w:rsid w:val="003327AE"/>
    <w:rsid w:val="00333F45"/>
    <w:rsid w:val="003342A3"/>
    <w:rsid w:val="003345D6"/>
    <w:rsid w:val="00334F53"/>
    <w:rsid w:val="003353BB"/>
    <w:rsid w:val="00335917"/>
    <w:rsid w:val="00336014"/>
    <w:rsid w:val="0033671F"/>
    <w:rsid w:val="00336AD5"/>
    <w:rsid w:val="00336C59"/>
    <w:rsid w:val="003370B0"/>
    <w:rsid w:val="003371DB"/>
    <w:rsid w:val="003373E3"/>
    <w:rsid w:val="003379F3"/>
    <w:rsid w:val="00340009"/>
    <w:rsid w:val="0034018B"/>
    <w:rsid w:val="00340CEF"/>
    <w:rsid w:val="0034104F"/>
    <w:rsid w:val="00341253"/>
    <w:rsid w:val="00341908"/>
    <w:rsid w:val="00341D8E"/>
    <w:rsid w:val="00341F90"/>
    <w:rsid w:val="003423B4"/>
    <w:rsid w:val="003432E2"/>
    <w:rsid w:val="003439C7"/>
    <w:rsid w:val="00343F43"/>
    <w:rsid w:val="00344600"/>
    <w:rsid w:val="00344794"/>
    <w:rsid w:val="00344AB6"/>
    <w:rsid w:val="003451FF"/>
    <w:rsid w:val="00345349"/>
    <w:rsid w:val="003453C1"/>
    <w:rsid w:val="0034546C"/>
    <w:rsid w:val="00345744"/>
    <w:rsid w:val="00345A82"/>
    <w:rsid w:val="00345F07"/>
    <w:rsid w:val="00346483"/>
    <w:rsid w:val="0034670D"/>
    <w:rsid w:val="00346ABB"/>
    <w:rsid w:val="00346C0B"/>
    <w:rsid w:val="003471F3"/>
    <w:rsid w:val="0034753B"/>
    <w:rsid w:val="0034769B"/>
    <w:rsid w:val="00347A17"/>
    <w:rsid w:val="00350B4E"/>
    <w:rsid w:val="00350C83"/>
    <w:rsid w:val="00351956"/>
    <w:rsid w:val="00351BC2"/>
    <w:rsid w:val="0035219C"/>
    <w:rsid w:val="00352571"/>
    <w:rsid w:val="0035269E"/>
    <w:rsid w:val="00352B6F"/>
    <w:rsid w:val="0035335B"/>
    <w:rsid w:val="00353388"/>
    <w:rsid w:val="00353421"/>
    <w:rsid w:val="003536A6"/>
    <w:rsid w:val="0035399C"/>
    <w:rsid w:val="00353A5A"/>
    <w:rsid w:val="00354316"/>
    <w:rsid w:val="0035588E"/>
    <w:rsid w:val="00355E36"/>
    <w:rsid w:val="00355E62"/>
    <w:rsid w:val="0035605D"/>
    <w:rsid w:val="003560AD"/>
    <w:rsid w:val="00356384"/>
    <w:rsid w:val="0035689E"/>
    <w:rsid w:val="003573F6"/>
    <w:rsid w:val="003578B2"/>
    <w:rsid w:val="003609B3"/>
    <w:rsid w:val="0036146C"/>
    <w:rsid w:val="00361593"/>
    <w:rsid w:val="00361BFB"/>
    <w:rsid w:val="00362281"/>
    <w:rsid w:val="00362BC1"/>
    <w:rsid w:val="00362F08"/>
    <w:rsid w:val="0036404C"/>
    <w:rsid w:val="00364363"/>
    <w:rsid w:val="00364B78"/>
    <w:rsid w:val="00365144"/>
    <w:rsid w:val="003652C8"/>
    <w:rsid w:val="0036546D"/>
    <w:rsid w:val="003659E5"/>
    <w:rsid w:val="00365E3D"/>
    <w:rsid w:val="00365E94"/>
    <w:rsid w:val="003664AF"/>
    <w:rsid w:val="003665C1"/>
    <w:rsid w:val="00366DDC"/>
    <w:rsid w:val="0036755E"/>
    <w:rsid w:val="00367687"/>
    <w:rsid w:val="0036784E"/>
    <w:rsid w:val="00367BE6"/>
    <w:rsid w:val="00370623"/>
    <w:rsid w:val="00370775"/>
    <w:rsid w:val="00370782"/>
    <w:rsid w:val="00370EA5"/>
    <w:rsid w:val="00371070"/>
    <w:rsid w:val="003728EB"/>
    <w:rsid w:val="00372E80"/>
    <w:rsid w:val="003730F5"/>
    <w:rsid w:val="00373607"/>
    <w:rsid w:val="00373ADB"/>
    <w:rsid w:val="00374D07"/>
    <w:rsid w:val="00375317"/>
    <w:rsid w:val="00375728"/>
    <w:rsid w:val="00375868"/>
    <w:rsid w:val="00375EDA"/>
    <w:rsid w:val="00376040"/>
    <w:rsid w:val="00376111"/>
    <w:rsid w:val="003762DE"/>
    <w:rsid w:val="00376616"/>
    <w:rsid w:val="0037726D"/>
    <w:rsid w:val="00377499"/>
    <w:rsid w:val="003774B0"/>
    <w:rsid w:val="00377868"/>
    <w:rsid w:val="0038068F"/>
    <w:rsid w:val="00380894"/>
    <w:rsid w:val="00380C99"/>
    <w:rsid w:val="00380F06"/>
    <w:rsid w:val="00381081"/>
    <w:rsid w:val="00381384"/>
    <w:rsid w:val="00381ADD"/>
    <w:rsid w:val="00381B21"/>
    <w:rsid w:val="00382233"/>
    <w:rsid w:val="003831CA"/>
    <w:rsid w:val="00383E74"/>
    <w:rsid w:val="00383EC4"/>
    <w:rsid w:val="003862E6"/>
    <w:rsid w:val="0038649F"/>
    <w:rsid w:val="00386C4B"/>
    <w:rsid w:val="00386F49"/>
    <w:rsid w:val="003875F0"/>
    <w:rsid w:val="00390077"/>
    <w:rsid w:val="003905DF"/>
    <w:rsid w:val="0039063B"/>
    <w:rsid w:val="003909FA"/>
    <w:rsid w:val="00390F97"/>
    <w:rsid w:val="00391421"/>
    <w:rsid w:val="003915A5"/>
    <w:rsid w:val="003915CA"/>
    <w:rsid w:val="00391BAA"/>
    <w:rsid w:val="00391BD3"/>
    <w:rsid w:val="003920DE"/>
    <w:rsid w:val="003925B8"/>
    <w:rsid w:val="003931B1"/>
    <w:rsid w:val="003934FA"/>
    <w:rsid w:val="00393A5A"/>
    <w:rsid w:val="00393C0A"/>
    <w:rsid w:val="00394B70"/>
    <w:rsid w:val="0039567D"/>
    <w:rsid w:val="003959A4"/>
    <w:rsid w:val="00395E49"/>
    <w:rsid w:val="0039649A"/>
    <w:rsid w:val="00396BD0"/>
    <w:rsid w:val="00397091"/>
    <w:rsid w:val="00397128"/>
    <w:rsid w:val="003A07BD"/>
    <w:rsid w:val="003A07FD"/>
    <w:rsid w:val="003A0F7E"/>
    <w:rsid w:val="003A1007"/>
    <w:rsid w:val="003A1219"/>
    <w:rsid w:val="003A1502"/>
    <w:rsid w:val="003A1A56"/>
    <w:rsid w:val="003A22A5"/>
    <w:rsid w:val="003A23B5"/>
    <w:rsid w:val="003A2744"/>
    <w:rsid w:val="003A2757"/>
    <w:rsid w:val="003A2B5F"/>
    <w:rsid w:val="003A2CCF"/>
    <w:rsid w:val="003A2ECF"/>
    <w:rsid w:val="003A3280"/>
    <w:rsid w:val="003A3361"/>
    <w:rsid w:val="003A35E9"/>
    <w:rsid w:val="003A3679"/>
    <w:rsid w:val="003A39CF"/>
    <w:rsid w:val="003A3FB8"/>
    <w:rsid w:val="003A419B"/>
    <w:rsid w:val="003A4233"/>
    <w:rsid w:val="003A4247"/>
    <w:rsid w:val="003A46C0"/>
    <w:rsid w:val="003A4917"/>
    <w:rsid w:val="003A4E75"/>
    <w:rsid w:val="003A5253"/>
    <w:rsid w:val="003A5436"/>
    <w:rsid w:val="003A5A62"/>
    <w:rsid w:val="003A6013"/>
    <w:rsid w:val="003A6266"/>
    <w:rsid w:val="003A626C"/>
    <w:rsid w:val="003A6428"/>
    <w:rsid w:val="003A6EDE"/>
    <w:rsid w:val="003A75E4"/>
    <w:rsid w:val="003B042E"/>
    <w:rsid w:val="003B06C9"/>
    <w:rsid w:val="003B08F6"/>
    <w:rsid w:val="003B181D"/>
    <w:rsid w:val="003B1B3F"/>
    <w:rsid w:val="003B1CDA"/>
    <w:rsid w:val="003B1D12"/>
    <w:rsid w:val="003B2050"/>
    <w:rsid w:val="003B25E7"/>
    <w:rsid w:val="003B2794"/>
    <w:rsid w:val="003B297A"/>
    <w:rsid w:val="003B2B11"/>
    <w:rsid w:val="003B3666"/>
    <w:rsid w:val="003B3C03"/>
    <w:rsid w:val="003B40EE"/>
    <w:rsid w:val="003B4B52"/>
    <w:rsid w:val="003B5012"/>
    <w:rsid w:val="003B5122"/>
    <w:rsid w:val="003B5238"/>
    <w:rsid w:val="003B5405"/>
    <w:rsid w:val="003B7A52"/>
    <w:rsid w:val="003C0249"/>
    <w:rsid w:val="003C076D"/>
    <w:rsid w:val="003C0784"/>
    <w:rsid w:val="003C0DB5"/>
    <w:rsid w:val="003C1688"/>
    <w:rsid w:val="003C195E"/>
    <w:rsid w:val="003C1D79"/>
    <w:rsid w:val="003C244D"/>
    <w:rsid w:val="003C2659"/>
    <w:rsid w:val="003C29FB"/>
    <w:rsid w:val="003C42D7"/>
    <w:rsid w:val="003C49E6"/>
    <w:rsid w:val="003C53A0"/>
    <w:rsid w:val="003C5444"/>
    <w:rsid w:val="003C5624"/>
    <w:rsid w:val="003C6716"/>
    <w:rsid w:val="003C6771"/>
    <w:rsid w:val="003C6949"/>
    <w:rsid w:val="003C7EBF"/>
    <w:rsid w:val="003C7ED9"/>
    <w:rsid w:val="003C7F87"/>
    <w:rsid w:val="003D0236"/>
    <w:rsid w:val="003D04D6"/>
    <w:rsid w:val="003D0C88"/>
    <w:rsid w:val="003D2526"/>
    <w:rsid w:val="003D2BFC"/>
    <w:rsid w:val="003D326A"/>
    <w:rsid w:val="003D33A9"/>
    <w:rsid w:val="003D3AA2"/>
    <w:rsid w:val="003D3CC4"/>
    <w:rsid w:val="003D3CD2"/>
    <w:rsid w:val="003D4039"/>
    <w:rsid w:val="003D40E2"/>
    <w:rsid w:val="003D47ED"/>
    <w:rsid w:val="003D47F3"/>
    <w:rsid w:val="003D4B29"/>
    <w:rsid w:val="003D505C"/>
    <w:rsid w:val="003D5C4D"/>
    <w:rsid w:val="003D5CCF"/>
    <w:rsid w:val="003D642F"/>
    <w:rsid w:val="003D697C"/>
    <w:rsid w:val="003D6F60"/>
    <w:rsid w:val="003D6F8D"/>
    <w:rsid w:val="003D7554"/>
    <w:rsid w:val="003D7D42"/>
    <w:rsid w:val="003D7E57"/>
    <w:rsid w:val="003E03CF"/>
    <w:rsid w:val="003E0490"/>
    <w:rsid w:val="003E096B"/>
    <w:rsid w:val="003E0EE6"/>
    <w:rsid w:val="003E0F66"/>
    <w:rsid w:val="003E12CE"/>
    <w:rsid w:val="003E1448"/>
    <w:rsid w:val="003E1BB1"/>
    <w:rsid w:val="003E1D2A"/>
    <w:rsid w:val="003E1D91"/>
    <w:rsid w:val="003E201D"/>
    <w:rsid w:val="003E3F2B"/>
    <w:rsid w:val="003E4387"/>
    <w:rsid w:val="003E463D"/>
    <w:rsid w:val="003E4A3A"/>
    <w:rsid w:val="003E5041"/>
    <w:rsid w:val="003E5241"/>
    <w:rsid w:val="003E52FD"/>
    <w:rsid w:val="003E57CE"/>
    <w:rsid w:val="003E5945"/>
    <w:rsid w:val="003E5BF9"/>
    <w:rsid w:val="003E6569"/>
    <w:rsid w:val="003E66E9"/>
    <w:rsid w:val="003E6B03"/>
    <w:rsid w:val="003E6B22"/>
    <w:rsid w:val="003E70E7"/>
    <w:rsid w:val="003E70EB"/>
    <w:rsid w:val="003E760B"/>
    <w:rsid w:val="003E772E"/>
    <w:rsid w:val="003E77ED"/>
    <w:rsid w:val="003E7A32"/>
    <w:rsid w:val="003E7EB8"/>
    <w:rsid w:val="003E7F97"/>
    <w:rsid w:val="003F07AE"/>
    <w:rsid w:val="003F1035"/>
    <w:rsid w:val="003F10D6"/>
    <w:rsid w:val="003F1531"/>
    <w:rsid w:val="003F1C08"/>
    <w:rsid w:val="003F24E1"/>
    <w:rsid w:val="003F2BD0"/>
    <w:rsid w:val="003F2D5F"/>
    <w:rsid w:val="003F3A79"/>
    <w:rsid w:val="003F3E04"/>
    <w:rsid w:val="003F3F1D"/>
    <w:rsid w:val="003F4D8F"/>
    <w:rsid w:val="003F5A9D"/>
    <w:rsid w:val="003F5D78"/>
    <w:rsid w:val="003F62D4"/>
    <w:rsid w:val="003F63FB"/>
    <w:rsid w:val="003F67A5"/>
    <w:rsid w:val="003F6BB8"/>
    <w:rsid w:val="003F7952"/>
    <w:rsid w:val="003F79A4"/>
    <w:rsid w:val="003F7F39"/>
    <w:rsid w:val="00400225"/>
    <w:rsid w:val="00400B31"/>
    <w:rsid w:val="00401125"/>
    <w:rsid w:val="004015AB"/>
    <w:rsid w:val="0040251E"/>
    <w:rsid w:val="00402A3B"/>
    <w:rsid w:val="00402C75"/>
    <w:rsid w:val="00402E4B"/>
    <w:rsid w:val="00402FA8"/>
    <w:rsid w:val="004036FF"/>
    <w:rsid w:val="00403705"/>
    <w:rsid w:val="00403B37"/>
    <w:rsid w:val="00403E8F"/>
    <w:rsid w:val="00403EF5"/>
    <w:rsid w:val="004041B1"/>
    <w:rsid w:val="00404367"/>
    <w:rsid w:val="004050CE"/>
    <w:rsid w:val="0040538E"/>
    <w:rsid w:val="00405783"/>
    <w:rsid w:val="004059B6"/>
    <w:rsid w:val="00405B2F"/>
    <w:rsid w:val="00405C0D"/>
    <w:rsid w:val="00405E59"/>
    <w:rsid w:val="00406298"/>
    <w:rsid w:val="004062C7"/>
    <w:rsid w:val="00406775"/>
    <w:rsid w:val="00406E66"/>
    <w:rsid w:val="0040728E"/>
    <w:rsid w:val="004076D5"/>
    <w:rsid w:val="004107BB"/>
    <w:rsid w:val="004107FF"/>
    <w:rsid w:val="004112D5"/>
    <w:rsid w:val="00411B6D"/>
    <w:rsid w:val="00411FD1"/>
    <w:rsid w:val="0041243B"/>
    <w:rsid w:val="00412DB6"/>
    <w:rsid w:val="00412F46"/>
    <w:rsid w:val="0041303F"/>
    <w:rsid w:val="004131E1"/>
    <w:rsid w:val="00413A2E"/>
    <w:rsid w:val="00413B49"/>
    <w:rsid w:val="00413D5E"/>
    <w:rsid w:val="004144A3"/>
    <w:rsid w:val="00414918"/>
    <w:rsid w:val="00414CA8"/>
    <w:rsid w:val="00414D2B"/>
    <w:rsid w:val="0041564F"/>
    <w:rsid w:val="00415958"/>
    <w:rsid w:val="00416E93"/>
    <w:rsid w:val="0041710A"/>
    <w:rsid w:val="004175DA"/>
    <w:rsid w:val="00417B09"/>
    <w:rsid w:val="00417C8E"/>
    <w:rsid w:val="00417D3D"/>
    <w:rsid w:val="00420758"/>
    <w:rsid w:val="00420796"/>
    <w:rsid w:val="00420D2F"/>
    <w:rsid w:val="0042142E"/>
    <w:rsid w:val="00421891"/>
    <w:rsid w:val="00421D16"/>
    <w:rsid w:val="00421DA5"/>
    <w:rsid w:val="00422054"/>
    <w:rsid w:val="00422D6D"/>
    <w:rsid w:val="0042352A"/>
    <w:rsid w:val="00423BCE"/>
    <w:rsid w:val="00423C98"/>
    <w:rsid w:val="00424A45"/>
    <w:rsid w:val="00424AD8"/>
    <w:rsid w:val="00426042"/>
    <w:rsid w:val="004261E6"/>
    <w:rsid w:val="004265BD"/>
    <w:rsid w:val="004265EC"/>
    <w:rsid w:val="0042753F"/>
    <w:rsid w:val="004275CE"/>
    <w:rsid w:val="00427944"/>
    <w:rsid w:val="0043013F"/>
    <w:rsid w:val="00430566"/>
    <w:rsid w:val="004306AC"/>
    <w:rsid w:val="00430C8B"/>
    <w:rsid w:val="0043193D"/>
    <w:rsid w:val="00431BCF"/>
    <w:rsid w:val="00431CC9"/>
    <w:rsid w:val="00432043"/>
    <w:rsid w:val="00434A6D"/>
    <w:rsid w:val="00434C44"/>
    <w:rsid w:val="00435E82"/>
    <w:rsid w:val="0043644A"/>
    <w:rsid w:val="00436DF0"/>
    <w:rsid w:val="00436FAB"/>
    <w:rsid w:val="00437181"/>
    <w:rsid w:val="004374AD"/>
    <w:rsid w:val="004375A6"/>
    <w:rsid w:val="004376E3"/>
    <w:rsid w:val="004401FD"/>
    <w:rsid w:val="00440453"/>
    <w:rsid w:val="0044082D"/>
    <w:rsid w:val="00440E0D"/>
    <w:rsid w:val="00441269"/>
    <w:rsid w:val="0044152A"/>
    <w:rsid w:val="00441A81"/>
    <w:rsid w:val="00441DB5"/>
    <w:rsid w:val="00442E9B"/>
    <w:rsid w:val="00442EA4"/>
    <w:rsid w:val="0044394B"/>
    <w:rsid w:val="00443AA2"/>
    <w:rsid w:val="0044483E"/>
    <w:rsid w:val="00444977"/>
    <w:rsid w:val="00444A50"/>
    <w:rsid w:val="00444FA3"/>
    <w:rsid w:val="0044504A"/>
    <w:rsid w:val="00445B6B"/>
    <w:rsid w:val="0044649C"/>
    <w:rsid w:val="00446AF4"/>
    <w:rsid w:val="00447303"/>
    <w:rsid w:val="00447790"/>
    <w:rsid w:val="00447CF0"/>
    <w:rsid w:val="0045080F"/>
    <w:rsid w:val="0045129A"/>
    <w:rsid w:val="00451428"/>
    <w:rsid w:val="0045187C"/>
    <w:rsid w:val="00451F0F"/>
    <w:rsid w:val="00453147"/>
    <w:rsid w:val="0045325C"/>
    <w:rsid w:val="00453729"/>
    <w:rsid w:val="00453748"/>
    <w:rsid w:val="004543A0"/>
    <w:rsid w:val="004543AF"/>
    <w:rsid w:val="00454626"/>
    <w:rsid w:val="0045466D"/>
    <w:rsid w:val="00454F84"/>
    <w:rsid w:val="0045502C"/>
    <w:rsid w:val="004550A0"/>
    <w:rsid w:val="0045541B"/>
    <w:rsid w:val="0045553D"/>
    <w:rsid w:val="0045589C"/>
    <w:rsid w:val="00455D3F"/>
    <w:rsid w:val="0045639D"/>
    <w:rsid w:val="004569FC"/>
    <w:rsid w:val="00457462"/>
    <w:rsid w:val="00457681"/>
    <w:rsid w:val="0045797F"/>
    <w:rsid w:val="00460845"/>
    <w:rsid w:val="00460959"/>
    <w:rsid w:val="00460AA9"/>
    <w:rsid w:val="00460FA5"/>
    <w:rsid w:val="004617B2"/>
    <w:rsid w:val="00461815"/>
    <w:rsid w:val="00461824"/>
    <w:rsid w:val="0046236C"/>
    <w:rsid w:val="00462963"/>
    <w:rsid w:val="004629B5"/>
    <w:rsid w:val="00462D77"/>
    <w:rsid w:val="00462E8E"/>
    <w:rsid w:val="00462F15"/>
    <w:rsid w:val="00463148"/>
    <w:rsid w:val="004636C2"/>
    <w:rsid w:val="004641B3"/>
    <w:rsid w:val="00464202"/>
    <w:rsid w:val="00464803"/>
    <w:rsid w:val="00464FDB"/>
    <w:rsid w:val="004650A8"/>
    <w:rsid w:val="004650DC"/>
    <w:rsid w:val="004652E9"/>
    <w:rsid w:val="00465395"/>
    <w:rsid w:val="00465A6A"/>
    <w:rsid w:val="00465BEF"/>
    <w:rsid w:val="00465D26"/>
    <w:rsid w:val="00466BF1"/>
    <w:rsid w:val="00466CB6"/>
    <w:rsid w:val="004670C0"/>
    <w:rsid w:val="0046754B"/>
    <w:rsid w:val="00467556"/>
    <w:rsid w:val="00467850"/>
    <w:rsid w:val="00467C2B"/>
    <w:rsid w:val="00467F3F"/>
    <w:rsid w:val="004700B7"/>
    <w:rsid w:val="0047018A"/>
    <w:rsid w:val="00470881"/>
    <w:rsid w:val="00470BEC"/>
    <w:rsid w:val="00470DB2"/>
    <w:rsid w:val="0047115C"/>
    <w:rsid w:val="004712CD"/>
    <w:rsid w:val="00471343"/>
    <w:rsid w:val="0047141E"/>
    <w:rsid w:val="00471AAC"/>
    <w:rsid w:val="00471E1C"/>
    <w:rsid w:val="004721E7"/>
    <w:rsid w:val="00472748"/>
    <w:rsid w:val="0047292D"/>
    <w:rsid w:val="004733FC"/>
    <w:rsid w:val="0047351D"/>
    <w:rsid w:val="00473747"/>
    <w:rsid w:val="004737E0"/>
    <w:rsid w:val="00473897"/>
    <w:rsid w:val="00473BF8"/>
    <w:rsid w:val="00473C19"/>
    <w:rsid w:val="004748A4"/>
    <w:rsid w:val="004752F1"/>
    <w:rsid w:val="00475CBF"/>
    <w:rsid w:val="00476110"/>
    <w:rsid w:val="004761EC"/>
    <w:rsid w:val="004772E5"/>
    <w:rsid w:val="004773CA"/>
    <w:rsid w:val="00480227"/>
    <w:rsid w:val="00480415"/>
    <w:rsid w:val="0048094A"/>
    <w:rsid w:val="00480A7D"/>
    <w:rsid w:val="00481328"/>
    <w:rsid w:val="004814B6"/>
    <w:rsid w:val="00481612"/>
    <w:rsid w:val="004819A5"/>
    <w:rsid w:val="00481DE2"/>
    <w:rsid w:val="0048237F"/>
    <w:rsid w:val="004830AF"/>
    <w:rsid w:val="004831D4"/>
    <w:rsid w:val="004835F1"/>
    <w:rsid w:val="00483D05"/>
    <w:rsid w:val="00484D67"/>
    <w:rsid w:val="004851E3"/>
    <w:rsid w:val="00485D27"/>
    <w:rsid w:val="00485E2A"/>
    <w:rsid w:val="0048681E"/>
    <w:rsid w:val="00486841"/>
    <w:rsid w:val="00486C36"/>
    <w:rsid w:val="00486CC5"/>
    <w:rsid w:val="00486D8F"/>
    <w:rsid w:val="00486F53"/>
    <w:rsid w:val="00490120"/>
    <w:rsid w:val="00490AF8"/>
    <w:rsid w:val="00490BD7"/>
    <w:rsid w:val="00490BEB"/>
    <w:rsid w:val="004911FE"/>
    <w:rsid w:val="0049217C"/>
    <w:rsid w:val="0049234F"/>
    <w:rsid w:val="00492462"/>
    <w:rsid w:val="00492CAC"/>
    <w:rsid w:val="00493033"/>
    <w:rsid w:val="00493155"/>
    <w:rsid w:val="004934A5"/>
    <w:rsid w:val="00493C49"/>
    <w:rsid w:val="00494344"/>
    <w:rsid w:val="00494AA2"/>
    <w:rsid w:val="00494F53"/>
    <w:rsid w:val="004958E4"/>
    <w:rsid w:val="0049687D"/>
    <w:rsid w:val="00496AFC"/>
    <w:rsid w:val="00496E86"/>
    <w:rsid w:val="00497053"/>
    <w:rsid w:val="004972C2"/>
    <w:rsid w:val="00497833"/>
    <w:rsid w:val="00497B33"/>
    <w:rsid w:val="004A021A"/>
    <w:rsid w:val="004A042B"/>
    <w:rsid w:val="004A0895"/>
    <w:rsid w:val="004A09E7"/>
    <w:rsid w:val="004A14CC"/>
    <w:rsid w:val="004A2E03"/>
    <w:rsid w:val="004A3057"/>
    <w:rsid w:val="004A3396"/>
    <w:rsid w:val="004A3433"/>
    <w:rsid w:val="004A3C83"/>
    <w:rsid w:val="004A3E96"/>
    <w:rsid w:val="004A415F"/>
    <w:rsid w:val="004A430B"/>
    <w:rsid w:val="004A4329"/>
    <w:rsid w:val="004A4859"/>
    <w:rsid w:val="004A5AA5"/>
    <w:rsid w:val="004A5B24"/>
    <w:rsid w:val="004A5EE2"/>
    <w:rsid w:val="004A6034"/>
    <w:rsid w:val="004A6510"/>
    <w:rsid w:val="004A669E"/>
    <w:rsid w:val="004A6EFC"/>
    <w:rsid w:val="004A772B"/>
    <w:rsid w:val="004A7AA8"/>
    <w:rsid w:val="004A7C94"/>
    <w:rsid w:val="004B0433"/>
    <w:rsid w:val="004B0734"/>
    <w:rsid w:val="004B17DA"/>
    <w:rsid w:val="004B1A2E"/>
    <w:rsid w:val="004B1CCF"/>
    <w:rsid w:val="004B1E1E"/>
    <w:rsid w:val="004B27EB"/>
    <w:rsid w:val="004B27F7"/>
    <w:rsid w:val="004B2B9A"/>
    <w:rsid w:val="004B2C7E"/>
    <w:rsid w:val="004B3286"/>
    <w:rsid w:val="004B36FF"/>
    <w:rsid w:val="004B39BD"/>
    <w:rsid w:val="004B3A33"/>
    <w:rsid w:val="004B4187"/>
    <w:rsid w:val="004B44AD"/>
    <w:rsid w:val="004B45CF"/>
    <w:rsid w:val="004B53C4"/>
    <w:rsid w:val="004B5A9B"/>
    <w:rsid w:val="004B5E88"/>
    <w:rsid w:val="004B6456"/>
    <w:rsid w:val="004B654D"/>
    <w:rsid w:val="004B6A91"/>
    <w:rsid w:val="004B6CE8"/>
    <w:rsid w:val="004B6D1C"/>
    <w:rsid w:val="004B6F94"/>
    <w:rsid w:val="004B702A"/>
    <w:rsid w:val="004B7567"/>
    <w:rsid w:val="004B75A9"/>
    <w:rsid w:val="004B7CB5"/>
    <w:rsid w:val="004B7ED1"/>
    <w:rsid w:val="004B7F18"/>
    <w:rsid w:val="004C001A"/>
    <w:rsid w:val="004C094E"/>
    <w:rsid w:val="004C0CC4"/>
    <w:rsid w:val="004C1033"/>
    <w:rsid w:val="004C1A10"/>
    <w:rsid w:val="004C1FD5"/>
    <w:rsid w:val="004C200B"/>
    <w:rsid w:val="004C2023"/>
    <w:rsid w:val="004C218A"/>
    <w:rsid w:val="004C2644"/>
    <w:rsid w:val="004C29F7"/>
    <w:rsid w:val="004C2CAE"/>
    <w:rsid w:val="004C372E"/>
    <w:rsid w:val="004C380B"/>
    <w:rsid w:val="004C3A01"/>
    <w:rsid w:val="004C3B9B"/>
    <w:rsid w:val="004C462B"/>
    <w:rsid w:val="004C481F"/>
    <w:rsid w:val="004C5182"/>
    <w:rsid w:val="004C5EFA"/>
    <w:rsid w:val="004C641F"/>
    <w:rsid w:val="004C6809"/>
    <w:rsid w:val="004C681B"/>
    <w:rsid w:val="004C69DE"/>
    <w:rsid w:val="004C7034"/>
    <w:rsid w:val="004C718C"/>
    <w:rsid w:val="004C7A20"/>
    <w:rsid w:val="004C7F63"/>
    <w:rsid w:val="004D00CA"/>
    <w:rsid w:val="004D038A"/>
    <w:rsid w:val="004D05BC"/>
    <w:rsid w:val="004D05C4"/>
    <w:rsid w:val="004D096D"/>
    <w:rsid w:val="004D0990"/>
    <w:rsid w:val="004D0AF0"/>
    <w:rsid w:val="004D138F"/>
    <w:rsid w:val="004D1590"/>
    <w:rsid w:val="004D17F5"/>
    <w:rsid w:val="004D1CB2"/>
    <w:rsid w:val="004D2225"/>
    <w:rsid w:val="004D2423"/>
    <w:rsid w:val="004D24D8"/>
    <w:rsid w:val="004D29F5"/>
    <w:rsid w:val="004D2A6D"/>
    <w:rsid w:val="004D2D4F"/>
    <w:rsid w:val="004D30B5"/>
    <w:rsid w:val="004D33D3"/>
    <w:rsid w:val="004D368D"/>
    <w:rsid w:val="004D39FC"/>
    <w:rsid w:val="004D3CB8"/>
    <w:rsid w:val="004D3EBB"/>
    <w:rsid w:val="004D3FEA"/>
    <w:rsid w:val="004D41BC"/>
    <w:rsid w:val="004D43E1"/>
    <w:rsid w:val="004D46AF"/>
    <w:rsid w:val="004D5414"/>
    <w:rsid w:val="004D6080"/>
    <w:rsid w:val="004D60AF"/>
    <w:rsid w:val="004D686F"/>
    <w:rsid w:val="004D72D7"/>
    <w:rsid w:val="004D782C"/>
    <w:rsid w:val="004D7B54"/>
    <w:rsid w:val="004D7C5D"/>
    <w:rsid w:val="004E0165"/>
    <w:rsid w:val="004E0D03"/>
    <w:rsid w:val="004E0EF7"/>
    <w:rsid w:val="004E1684"/>
    <w:rsid w:val="004E2061"/>
    <w:rsid w:val="004E238A"/>
    <w:rsid w:val="004E24C4"/>
    <w:rsid w:val="004E2653"/>
    <w:rsid w:val="004E27F5"/>
    <w:rsid w:val="004E2C66"/>
    <w:rsid w:val="004E36C1"/>
    <w:rsid w:val="004E409A"/>
    <w:rsid w:val="004E41EB"/>
    <w:rsid w:val="004E43F1"/>
    <w:rsid w:val="004E44A1"/>
    <w:rsid w:val="004E47C2"/>
    <w:rsid w:val="004E4DD9"/>
    <w:rsid w:val="004E4F14"/>
    <w:rsid w:val="004E4FB8"/>
    <w:rsid w:val="004E523F"/>
    <w:rsid w:val="004E59DA"/>
    <w:rsid w:val="004E5F19"/>
    <w:rsid w:val="004E60C6"/>
    <w:rsid w:val="004E60F3"/>
    <w:rsid w:val="004E67FD"/>
    <w:rsid w:val="004E6A57"/>
    <w:rsid w:val="004E6C01"/>
    <w:rsid w:val="004E786F"/>
    <w:rsid w:val="004E7A7D"/>
    <w:rsid w:val="004E7AE7"/>
    <w:rsid w:val="004E7C6B"/>
    <w:rsid w:val="004F063F"/>
    <w:rsid w:val="004F1963"/>
    <w:rsid w:val="004F19E1"/>
    <w:rsid w:val="004F1A0B"/>
    <w:rsid w:val="004F1E7D"/>
    <w:rsid w:val="004F234A"/>
    <w:rsid w:val="004F250E"/>
    <w:rsid w:val="004F2542"/>
    <w:rsid w:val="004F25C5"/>
    <w:rsid w:val="004F2AC2"/>
    <w:rsid w:val="004F420E"/>
    <w:rsid w:val="004F459F"/>
    <w:rsid w:val="004F4BEA"/>
    <w:rsid w:val="004F4F79"/>
    <w:rsid w:val="004F4F97"/>
    <w:rsid w:val="004F57B2"/>
    <w:rsid w:val="004F6205"/>
    <w:rsid w:val="004F65AC"/>
    <w:rsid w:val="004F689B"/>
    <w:rsid w:val="004F68E1"/>
    <w:rsid w:val="004F6905"/>
    <w:rsid w:val="004F7010"/>
    <w:rsid w:val="004F7372"/>
    <w:rsid w:val="004F7758"/>
    <w:rsid w:val="004F7BE9"/>
    <w:rsid w:val="004F7F36"/>
    <w:rsid w:val="0050001E"/>
    <w:rsid w:val="0050065C"/>
    <w:rsid w:val="005006FF"/>
    <w:rsid w:val="0050085A"/>
    <w:rsid w:val="00500B9C"/>
    <w:rsid w:val="0050149C"/>
    <w:rsid w:val="00501CCB"/>
    <w:rsid w:val="00502686"/>
    <w:rsid w:val="00502F1C"/>
    <w:rsid w:val="0050311E"/>
    <w:rsid w:val="00503A05"/>
    <w:rsid w:val="00503D40"/>
    <w:rsid w:val="00504048"/>
    <w:rsid w:val="005042F3"/>
    <w:rsid w:val="0050479C"/>
    <w:rsid w:val="005049BC"/>
    <w:rsid w:val="00504FF0"/>
    <w:rsid w:val="00505281"/>
    <w:rsid w:val="005055DC"/>
    <w:rsid w:val="0050569F"/>
    <w:rsid w:val="005056B9"/>
    <w:rsid w:val="00505D29"/>
    <w:rsid w:val="00505EC7"/>
    <w:rsid w:val="0050621A"/>
    <w:rsid w:val="0050631D"/>
    <w:rsid w:val="00506D97"/>
    <w:rsid w:val="005070A7"/>
    <w:rsid w:val="0050780D"/>
    <w:rsid w:val="005079D2"/>
    <w:rsid w:val="00507E6C"/>
    <w:rsid w:val="0051004F"/>
    <w:rsid w:val="005106F5"/>
    <w:rsid w:val="00510AD6"/>
    <w:rsid w:val="00510B1A"/>
    <w:rsid w:val="00510D10"/>
    <w:rsid w:val="00511626"/>
    <w:rsid w:val="005116F1"/>
    <w:rsid w:val="00511E8C"/>
    <w:rsid w:val="005127DA"/>
    <w:rsid w:val="00512915"/>
    <w:rsid w:val="00512A74"/>
    <w:rsid w:val="00512AC4"/>
    <w:rsid w:val="00513A21"/>
    <w:rsid w:val="0051474F"/>
    <w:rsid w:val="00514B66"/>
    <w:rsid w:val="00514C82"/>
    <w:rsid w:val="00514C86"/>
    <w:rsid w:val="00514E62"/>
    <w:rsid w:val="00514F39"/>
    <w:rsid w:val="00515112"/>
    <w:rsid w:val="0051576A"/>
    <w:rsid w:val="00515827"/>
    <w:rsid w:val="00515B08"/>
    <w:rsid w:val="00515CCA"/>
    <w:rsid w:val="00515F46"/>
    <w:rsid w:val="0051608D"/>
    <w:rsid w:val="005160CC"/>
    <w:rsid w:val="005162E9"/>
    <w:rsid w:val="00516365"/>
    <w:rsid w:val="00516B97"/>
    <w:rsid w:val="00517319"/>
    <w:rsid w:val="005177AD"/>
    <w:rsid w:val="005178A9"/>
    <w:rsid w:val="00517B0A"/>
    <w:rsid w:val="00517FCA"/>
    <w:rsid w:val="0052097F"/>
    <w:rsid w:val="0052147B"/>
    <w:rsid w:val="005215F0"/>
    <w:rsid w:val="005216CE"/>
    <w:rsid w:val="00521942"/>
    <w:rsid w:val="00521EFD"/>
    <w:rsid w:val="00521F1A"/>
    <w:rsid w:val="005220D4"/>
    <w:rsid w:val="00523230"/>
    <w:rsid w:val="00523E51"/>
    <w:rsid w:val="0052433B"/>
    <w:rsid w:val="0052447B"/>
    <w:rsid w:val="00524ED4"/>
    <w:rsid w:val="00525476"/>
    <w:rsid w:val="00525A87"/>
    <w:rsid w:val="00525C43"/>
    <w:rsid w:val="00526103"/>
    <w:rsid w:val="00526414"/>
    <w:rsid w:val="0052673A"/>
    <w:rsid w:val="00526C1B"/>
    <w:rsid w:val="005270EA"/>
    <w:rsid w:val="00527136"/>
    <w:rsid w:val="00527263"/>
    <w:rsid w:val="0052752C"/>
    <w:rsid w:val="00527757"/>
    <w:rsid w:val="0052787C"/>
    <w:rsid w:val="00527B32"/>
    <w:rsid w:val="00527DCB"/>
    <w:rsid w:val="00527E22"/>
    <w:rsid w:val="00527F56"/>
    <w:rsid w:val="00530035"/>
    <w:rsid w:val="005304BA"/>
    <w:rsid w:val="00530714"/>
    <w:rsid w:val="00530DF3"/>
    <w:rsid w:val="00531941"/>
    <w:rsid w:val="00531AE0"/>
    <w:rsid w:val="00531E79"/>
    <w:rsid w:val="00531F66"/>
    <w:rsid w:val="00532159"/>
    <w:rsid w:val="00532A82"/>
    <w:rsid w:val="00532B3A"/>
    <w:rsid w:val="005330F9"/>
    <w:rsid w:val="005331CB"/>
    <w:rsid w:val="005338CB"/>
    <w:rsid w:val="00533B27"/>
    <w:rsid w:val="00533D6E"/>
    <w:rsid w:val="005340F9"/>
    <w:rsid w:val="00534643"/>
    <w:rsid w:val="00535144"/>
    <w:rsid w:val="005352C4"/>
    <w:rsid w:val="00535844"/>
    <w:rsid w:val="00535925"/>
    <w:rsid w:val="005359ED"/>
    <w:rsid w:val="00535D63"/>
    <w:rsid w:val="00536038"/>
    <w:rsid w:val="00536337"/>
    <w:rsid w:val="005367EB"/>
    <w:rsid w:val="00536CF0"/>
    <w:rsid w:val="005370C2"/>
    <w:rsid w:val="005373AF"/>
    <w:rsid w:val="00537723"/>
    <w:rsid w:val="0053788E"/>
    <w:rsid w:val="00537A51"/>
    <w:rsid w:val="00537AB8"/>
    <w:rsid w:val="00537B95"/>
    <w:rsid w:val="00537CC8"/>
    <w:rsid w:val="00537CD9"/>
    <w:rsid w:val="00537FC9"/>
    <w:rsid w:val="0054096F"/>
    <w:rsid w:val="00540B70"/>
    <w:rsid w:val="00540BEE"/>
    <w:rsid w:val="00540EDA"/>
    <w:rsid w:val="00541A93"/>
    <w:rsid w:val="00541CE4"/>
    <w:rsid w:val="0054207B"/>
    <w:rsid w:val="00542717"/>
    <w:rsid w:val="00542C8B"/>
    <w:rsid w:val="00542CF6"/>
    <w:rsid w:val="00543422"/>
    <w:rsid w:val="0054344A"/>
    <w:rsid w:val="00543503"/>
    <w:rsid w:val="005438FF"/>
    <w:rsid w:val="00543BF7"/>
    <w:rsid w:val="00543EC5"/>
    <w:rsid w:val="00543F35"/>
    <w:rsid w:val="005440F7"/>
    <w:rsid w:val="00544654"/>
    <w:rsid w:val="00544D37"/>
    <w:rsid w:val="00544FB6"/>
    <w:rsid w:val="00545360"/>
    <w:rsid w:val="005455A4"/>
    <w:rsid w:val="00545A45"/>
    <w:rsid w:val="00545DFB"/>
    <w:rsid w:val="00547C11"/>
    <w:rsid w:val="00550012"/>
    <w:rsid w:val="00550408"/>
    <w:rsid w:val="00550744"/>
    <w:rsid w:val="005507E1"/>
    <w:rsid w:val="00550EF3"/>
    <w:rsid w:val="005511FF"/>
    <w:rsid w:val="005512C0"/>
    <w:rsid w:val="0055135E"/>
    <w:rsid w:val="0055168D"/>
    <w:rsid w:val="00551A43"/>
    <w:rsid w:val="00552015"/>
    <w:rsid w:val="0055212F"/>
    <w:rsid w:val="005526ED"/>
    <w:rsid w:val="00553527"/>
    <w:rsid w:val="0055359F"/>
    <w:rsid w:val="0055380B"/>
    <w:rsid w:val="005540B8"/>
    <w:rsid w:val="0055427E"/>
    <w:rsid w:val="00554463"/>
    <w:rsid w:val="00554926"/>
    <w:rsid w:val="00554D6C"/>
    <w:rsid w:val="00555058"/>
    <w:rsid w:val="005553A7"/>
    <w:rsid w:val="00555B5B"/>
    <w:rsid w:val="00555CA9"/>
    <w:rsid w:val="00555FE1"/>
    <w:rsid w:val="00556452"/>
    <w:rsid w:val="0055679A"/>
    <w:rsid w:val="005567B8"/>
    <w:rsid w:val="00556FD9"/>
    <w:rsid w:val="00557096"/>
    <w:rsid w:val="005578F9"/>
    <w:rsid w:val="00560704"/>
    <w:rsid w:val="00560E2D"/>
    <w:rsid w:val="0056158D"/>
    <w:rsid w:val="005616D7"/>
    <w:rsid w:val="00561CAA"/>
    <w:rsid w:val="005622E7"/>
    <w:rsid w:val="00562641"/>
    <w:rsid w:val="00562FB0"/>
    <w:rsid w:val="005633D2"/>
    <w:rsid w:val="00563403"/>
    <w:rsid w:val="005635EC"/>
    <w:rsid w:val="00563663"/>
    <w:rsid w:val="00563834"/>
    <w:rsid w:val="00564957"/>
    <w:rsid w:val="00565105"/>
    <w:rsid w:val="00566481"/>
    <w:rsid w:val="005664D9"/>
    <w:rsid w:val="005664F3"/>
    <w:rsid w:val="005666AF"/>
    <w:rsid w:val="00566766"/>
    <w:rsid w:val="00566CD1"/>
    <w:rsid w:val="005679F1"/>
    <w:rsid w:val="00567ADC"/>
    <w:rsid w:val="00567C3D"/>
    <w:rsid w:val="00567FBC"/>
    <w:rsid w:val="0057046F"/>
    <w:rsid w:val="00570710"/>
    <w:rsid w:val="00570916"/>
    <w:rsid w:val="00570D18"/>
    <w:rsid w:val="005722FB"/>
    <w:rsid w:val="00572689"/>
    <w:rsid w:val="005728F6"/>
    <w:rsid w:val="005732FA"/>
    <w:rsid w:val="00573C6B"/>
    <w:rsid w:val="005741BB"/>
    <w:rsid w:val="00574314"/>
    <w:rsid w:val="00574451"/>
    <w:rsid w:val="00574556"/>
    <w:rsid w:val="00575064"/>
    <w:rsid w:val="005750D2"/>
    <w:rsid w:val="0057561F"/>
    <w:rsid w:val="00575742"/>
    <w:rsid w:val="00576256"/>
    <w:rsid w:val="005772ED"/>
    <w:rsid w:val="00577E2F"/>
    <w:rsid w:val="0058092C"/>
    <w:rsid w:val="00580B43"/>
    <w:rsid w:val="00580C50"/>
    <w:rsid w:val="00581B3A"/>
    <w:rsid w:val="00582162"/>
    <w:rsid w:val="00582468"/>
    <w:rsid w:val="005825BD"/>
    <w:rsid w:val="00582E5A"/>
    <w:rsid w:val="00582F6C"/>
    <w:rsid w:val="00583101"/>
    <w:rsid w:val="0058353A"/>
    <w:rsid w:val="0058359C"/>
    <w:rsid w:val="005837E3"/>
    <w:rsid w:val="00583F3C"/>
    <w:rsid w:val="0058413E"/>
    <w:rsid w:val="00584774"/>
    <w:rsid w:val="00584C18"/>
    <w:rsid w:val="00584EE7"/>
    <w:rsid w:val="005850C6"/>
    <w:rsid w:val="005852E3"/>
    <w:rsid w:val="005854AF"/>
    <w:rsid w:val="005858DE"/>
    <w:rsid w:val="00585901"/>
    <w:rsid w:val="00585D19"/>
    <w:rsid w:val="0058642E"/>
    <w:rsid w:val="0058644F"/>
    <w:rsid w:val="0058655B"/>
    <w:rsid w:val="00586B81"/>
    <w:rsid w:val="00586BF0"/>
    <w:rsid w:val="00587AC3"/>
    <w:rsid w:val="005900FC"/>
    <w:rsid w:val="005904BB"/>
    <w:rsid w:val="00590A6D"/>
    <w:rsid w:val="00590CB4"/>
    <w:rsid w:val="00591046"/>
    <w:rsid w:val="00591880"/>
    <w:rsid w:val="00591A76"/>
    <w:rsid w:val="00591ED2"/>
    <w:rsid w:val="0059244B"/>
    <w:rsid w:val="00592520"/>
    <w:rsid w:val="005927C4"/>
    <w:rsid w:val="0059280B"/>
    <w:rsid w:val="00592F5A"/>
    <w:rsid w:val="00593160"/>
    <w:rsid w:val="005931CC"/>
    <w:rsid w:val="00593663"/>
    <w:rsid w:val="0059369E"/>
    <w:rsid w:val="005936F6"/>
    <w:rsid w:val="00594393"/>
    <w:rsid w:val="005946C2"/>
    <w:rsid w:val="00594BAC"/>
    <w:rsid w:val="00594CAE"/>
    <w:rsid w:val="00595016"/>
    <w:rsid w:val="005950DA"/>
    <w:rsid w:val="005953C8"/>
    <w:rsid w:val="00596431"/>
    <w:rsid w:val="00596EC9"/>
    <w:rsid w:val="00596FDC"/>
    <w:rsid w:val="005A08D0"/>
    <w:rsid w:val="005A0A75"/>
    <w:rsid w:val="005A0DFF"/>
    <w:rsid w:val="005A0E99"/>
    <w:rsid w:val="005A14E5"/>
    <w:rsid w:val="005A1514"/>
    <w:rsid w:val="005A157A"/>
    <w:rsid w:val="005A15AF"/>
    <w:rsid w:val="005A1A5B"/>
    <w:rsid w:val="005A1C04"/>
    <w:rsid w:val="005A1C88"/>
    <w:rsid w:val="005A240A"/>
    <w:rsid w:val="005A2547"/>
    <w:rsid w:val="005A2870"/>
    <w:rsid w:val="005A2BF6"/>
    <w:rsid w:val="005A3190"/>
    <w:rsid w:val="005A3A4E"/>
    <w:rsid w:val="005A43A3"/>
    <w:rsid w:val="005A442C"/>
    <w:rsid w:val="005A4E29"/>
    <w:rsid w:val="005A527D"/>
    <w:rsid w:val="005A535A"/>
    <w:rsid w:val="005A53DB"/>
    <w:rsid w:val="005A5763"/>
    <w:rsid w:val="005A62F1"/>
    <w:rsid w:val="005A68F1"/>
    <w:rsid w:val="005A6A2A"/>
    <w:rsid w:val="005A6FA7"/>
    <w:rsid w:val="005A6FB9"/>
    <w:rsid w:val="005A71C1"/>
    <w:rsid w:val="005A7A20"/>
    <w:rsid w:val="005A7A8D"/>
    <w:rsid w:val="005B017B"/>
    <w:rsid w:val="005B01E1"/>
    <w:rsid w:val="005B0226"/>
    <w:rsid w:val="005B0422"/>
    <w:rsid w:val="005B13FC"/>
    <w:rsid w:val="005B1743"/>
    <w:rsid w:val="005B3737"/>
    <w:rsid w:val="005B3F53"/>
    <w:rsid w:val="005B4020"/>
    <w:rsid w:val="005B41DD"/>
    <w:rsid w:val="005B45BA"/>
    <w:rsid w:val="005B475A"/>
    <w:rsid w:val="005B4A43"/>
    <w:rsid w:val="005B4B02"/>
    <w:rsid w:val="005B4D8A"/>
    <w:rsid w:val="005B52BA"/>
    <w:rsid w:val="005B5479"/>
    <w:rsid w:val="005B61A5"/>
    <w:rsid w:val="005B624A"/>
    <w:rsid w:val="005B63EC"/>
    <w:rsid w:val="005B6986"/>
    <w:rsid w:val="005B6A2C"/>
    <w:rsid w:val="005B776C"/>
    <w:rsid w:val="005B7E97"/>
    <w:rsid w:val="005C03EC"/>
    <w:rsid w:val="005C1503"/>
    <w:rsid w:val="005C18D6"/>
    <w:rsid w:val="005C263D"/>
    <w:rsid w:val="005C2947"/>
    <w:rsid w:val="005C2D1B"/>
    <w:rsid w:val="005C38EB"/>
    <w:rsid w:val="005C3B24"/>
    <w:rsid w:val="005C4668"/>
    <w:rsid w:val="005C4CDE"/>
    <w:rsid w:val="005C517F"/>
    <w:rsid w:val="005C52CE"/>
    <w:rsid w:val="005C535B"/>
    <w:rsid w:val="005C6993"/>
    <w:rsid w:val="005C6AF3"/>
    <w:rsid w:val="005C6FF3"/>
    <w:rsid w:val="005C7040"/>
    <w:rsid w:val="005C7427"/>
    <w:rsid w:val="005C7586"/>
    <w:rsid w:val="005D07BF"/>
    <w:rsid w:val="005D0E22"/>
    <w:rsid w:val="005D0F51"/>
    <w:rsid w:val="005D0F5B"/>
    <w:rsid w:val="005D1218"/>
    <w:rsid w:val="005D14C7"/>
    <w:rsid w:val="005D1AB0"/>
    <w:rsid w:val="005D1B3D"/>
    <w:rsid w:val="005D1BDC"/>
    <w:rsid w:val="005D25C0"/>
    <w:rsid w:val="005D2B34"/>
    <w:rsid w:val="005D2D0E"/>
    <w:rsid w:val="005D41EC"/>
    <w:rsid w:val="005D437C"/>
    <w:rsid w:val="005D4A43"/>
    <w:rsid w:val="005D51F1"/>
    <w:rsid w:val="005D5310"/>
    <w:rsid w:val="005D5479"/>
    <w:rsid w:val="005D5B34"/>
    <w:rsid w:val="005D5EE0"/>
    <w:rsid w:val="005D691F"/>
    <w:rsid w:val="005D6CF8"/>
    <w:rsid w:val="005D6F1B"/>
    <w:rsid w:val="005D7406"/>
    <w:rsid w:val="005D7E10"/>
    <w:rsid w:val="005E0172"/>
    <w:rsid w:val="005E04A7"/>
    <w:rsid w:val="005E0615"/>
    <w:rsid w:val="005E06AA"/>
    <w:rsid w:val="005E0AF5"/>
    <w:rsid w:val="005E0F7C"/>
    <w:rsid w:val="005E11F5"/>
    <w:rsid w:val="005E12C7"/>
    <w:rsid w:val="005E14B8"/>
    <w:rsid w:val="005E15D2"/>
    <w:rsid w:val="005E2CE2"/>
    <w:rsid w:val="005E391F"/>
    <w:rsid w:val="005E3F56"/>
    <w:rsid w:val="005E465D"/>
    <w:rsid w:val="005E49BA"/>
    <w:rsid w:val="005E4B10"/>
    <w:rsid w:val="005E4B2D"/>
    <w:rsid w:val="005E4B34"/>
    <w:rsid w:val="005E5038"/>
    <w:rsid w:val="005E512B"/>
    <w:rsid w:val="005E534B"/>
    <w:rsid w:val="005E5517"/>
    <w:rsid w:val="005E5541"/>
    <w:rsid w:val="005E587C"/>
    <w:rsid w:val="005E58BF"/>
    <w:rsid w:val="005E5977"/>
    <w:rsid w:val="005E5D8A"/>
    <w:rsid w:val="005E5E04"/>
    <w:rsid w:val="005E5E84"/>
    <w:rsid w:val="005E692A"/>
    <w:rsid w:val="005E6F9F"/>
    <w:rsid w:val="005E7143"/>
    <w:rsid w:val="005E7727"/>
    <w:rsid w:val="005E7C72"/>
    <w:rsid w:val="005E7CC1"/>
    <w:rsid w:val="005F0354"/>
    <w:rsid w:val="005F091A"/>
    <w:rsid w:val="005F184D"/>
    <w:rsid w:val="005F1D2F"/>
    <w:rsid w:val="005F26C3"/>
    <w:rsid w:val="005F2D0C"/>
    <w:rsid w:val="005F2DB9"/>
    <w:rsid w:val="005F2E6B"/>
    <w:rsid w:val="005F30AA"/>
    <w:rsid w:val="005F3175"/>
    <w:rsid w:val="005F349A"/>
    <w:rsid w:val="005F3B22"/>
    <w:rsid w:val="005F3F15"/>
    <w:rsid w:val="005F3FCA"/>
    <w:rsid w:val="005F441D"/>
    <w:rsid w:val="005F4CCC"/>
    <w:rsid w:val="005F510C"/>
    <w:rsid w:val="005F5DBC"/>
    <w:rsid w:val="005F60DF"/>
    <w:rsid w:val="005F6287"/>
    <w:rsid w:val="005F6331"/>
    <w:rsid w:val="005F6471"/>
    <w:rsid w:val="005F6AA9"/>
    <w:rsid w:val="005F71F3"/>
    <w:rsid w:val="005F7A5A"/>
    <w:rsid w:val="00600254"/>
    <w:rsid w:val="00600314"/>
    <w:rsid w:val="006004BD"/>
    <w:rsid w:val="006007AE"/>
    <w:rsid w:val="006008CA"/>
    <w:rsid w:val="00601125"/>
    <w:rsid w:val="00601366"/>
    <w:rsid w:val="00601689"/>
    <w:rsid w:val="0060188C"/>
    <w:rsid w:val="00601959"/>
    <w:rsid w:val="00601D48"/>
    <w:rsid w:val="00601FAD"/>
    <w:rsid w:val="0060211C"/>
    <w:rsid w:val="00602C5A"/>
    <w:rsid w:val="00602E67"/>
    <w:rsid w:val="00602E72"/>
    <w:rsid w:val="006039D9"/>
    <w:rsid w:val="00603D61"/>
    <w:rsid w:val="006044D0"/>
    <w:rsid w:val="006045E0"/>
    <w:rsid w:val="006050E5"/>
    <w:rsid w:val="00605333"/>
    <w:rsid w:val="00605546"/>
    <w:rsid w:val="00605BF6"/>
    <w:rsid w:val="00605C68"/>
    <w:rsid w:val="00606489"/>
    <w:rsid w:val="00607204"/>
    <w:rsid w:val="006073BD"/>
    <w:rsid w:val="00607E42"/>
    <w:rsid w:val="0061033B"/>
    <w:rsid w:val="0061054C"/>
    <w:rsid w:val="00610843"/>
    <w:rsid w:val="00610886"/>
    <w:rsid w:val="00610A8A"/>
    <w:rsid w:val="006112F5"/>
    <w:rsid w:val="006115D9"/>
    <w:rsid w:val="006115F8"/>
    <w:rsid w:val="00611749"/>
    <w:rsid w:val="006117B3"/>
    <w:rsid w:val="00611DEC"/>
    <w:rsid w:val="00612357"/>
    <w:rsid w:val="006141B3"/>
    <w:rsid w:val="00614494"/>
    <w:rsid w:val="0061461A"/>
    <w:rsid w:val="00614CEE"/>
    <w:rsid w:val="00615393"/>
    <w:rsid w:val="006154E7"/>
    <w:rsid w:val="00615E66"/>
    <w:rsid w:val="006160B0"/>
    <w:rsid w:val="0061655D"/>
    <w:rsid w:val="00616629"/>
    <w:rsid w:val="00616B02"/>
    <w:rsid w:val="00616B36"/>
    <w:rsid w:val="00616DAC"/>
    <w:rsid w:val="00617239"/>
    <w:rsid w:val="00617B58"/>
    <w:rsid w:val="00620049"/>
    <w:rsid w:val="00620CF4"/>
    <w:rsid w:val="00621093"/>
    <w:rsid w:val="006212E9"/>
    <w:rsid w:val="00621396"/>
    <w:rsid w:val="006219D5"/>
    <w:rsid w:val="00621FF6"/>
    <w:rsid w:val="00622593"/>
    <w:rsid w:val="00622740"/>
    <w:rsid w:val="006229B3"/>
    <w:rsid w:val="00622B12"/>
    <w:rsid w:val="00622DBF"/>
    <w:rsid w:val="006230D8"/>
    <w:rsid w:val="0062367B"/>
    <w:rsid w:val="006236CE"/>
    <w:rsid w:val="00623E4E"/>
    <w:rsid w:val="00624045"/>
    <w:rsid w:val="006243D2"/>
    <w:rsid w:val="00624E44"/>
    <w:rsid w:val="00625618"/>
    <w:rsid w:val="00625EAE"/>
    <w:rsid w:val="00626420"/>
    <w:rsid w:val="00626480"/>
    <w:rsid w:val="00626647"/>
    <w:rsid w:val="00626AA8"/>
    <w:rsid w:val="00626FD1"/>
    <w:rsid w:val="006270B7"/>
    <w:rsid w:val="006272E1"/>
    <w:rsid w:val="006273C2"/>
    <w:rsid w:val="006278C6"/>
    <w:rsid w:val="00630047"/>
    <w:rsid w:val="0063015D"/>
    <w:rsid w:val="00630259"/>
    <w:rsid w:val="006308A7"/>
    <w:rsid w:val="00630B4E"/>
    <w:rsid w:val="0063186D"/>
    <w:rsid w:val="00631E51"/>
    <w:rsid w:val="00632158"/>
    <w:rsid w:val="006323D8"/>
    <w:rsid w:val="006324B7"/>
    <w:rsid w:val="00632958"/>
    <w:rsid w:val="00632AD9"/>
    <w:rsid w:val="006330AC"/>
    <w:rsid w:val="00633272"/>
    <w:rsid w:val="006332F7"/>
    <w:rsid w:val="006338D0"/>
    <w:rsid w:val="00633E45"/>
    <w:rsid w:val="00634372"/>
    <w:rsid w:val="006346EC"/>
    <w:rsid w:val="0063486C"/>
    <w:rsid w:val="00634D7C"/>
    <w:rsid w:val="00634FD0"/>
    <w:rsid w:val="006350C1"/>
    <w:rsid w:val="006350F4"/>
    <w:rsid w:val="00635F16"/>
    <w:rsid w:val="0063622B"/>
    <w:rsid w:val="00636D5F"/>
    <w:rsid w:val="00637BEE"/>
    <w:rsid w:val="00637CE1"/>
    <w:rsid w:val="00640258"/>
    <w:rsid w:val="00640729"/>
    <w:rsid w:val="0064125D"/>
    <w:rsid w:val="00641EBD"/>
    <w:rsid w:val="0064229C"/>
    <w:rsid w:val="0064230F"/>
    <w:rsid w:val="00642657"/>
    <w:rsid w:val="006427F9"/>
    <w:rsid w:val="006429B6"/>
    <w:rsid w:val="00642A5D"/>
    <w:rsid w:val="00642C2F"/>
    <w:rsid w:val="00642CFA"/>
    <w:rsid w:val="0064368E"/>
    <w:rsid w:val="00643778"/>
    <w:rsid w:val="00643786"/>
    <w:rsid w:val="00643CF2"/>
    <w:rsid w:val="0064407A"/>
    <w:rsid w:val="00644AA0"/>
    <w:rsid w:val="00644B77"/>
    <w:rsid w:val="00644EA8"/>
    <w:rsid w:val="00645366"/>
    <w:rsid w:val="00645E70"/>
    <w:rsid w:val="00645FD7"/>
    <w:rsid w:val="00646360"/>
    <w:rsid w:val="00646C43"/>
    <w:rsid w:val="00646D31"/>
    <w:rsid w:val="00646D76"/>
    <w:rsid w:val="00650894"/>
    <w:rsid w:val="006509F4"/>
    <w:rsid w:val="00650C9A"/>
    <w:rsid w:val="00650DA1"/>
    <w:rsid w:val="00650DD7"/>
    <w:rsid w:val="00650E54"/>
    <w:rsid w:val="006510C9"/>
    <w:rsid w:val="006510F3"/>
    <w:rsid w:val="00651106"/>
    <w:rsid w:val="00651890"/>
    <w:rsid w:val="00651B71"/>
    <w:rsid w:val="00651D26"/>
    <w:rsid w:val="00651E41"/>
    <w:rsid w:val="00651EDE"/>
    <w:rsid w:val="00651FB8"/>
    <w:rsid w:val="00652109"/>
    <w:rsid w:val="006524B9"/>
    <w:rsid w:val="006525CE"/>
    <w:rsid w:val="006527F1"/>
    <w:rsid w:val="00652817"/>
    <w:rsid w:val="006529AC"/>
    <w:rsid w:val="00652FEB"/>
    <w:rsid w:val="00653832"/>
    <w:rsid w:val="0065392F"/>
    <w:rsid w:val="00654283"/>
    <w:rsid w:val="00654347"/>
    <w:rsid w:val="006546D6"/>
    <w:rsid w:val="00654920"/>
    <w:rsid w:val="00654B7D"/>
    <w:rsid w:val="00654E28"/>
    <w:rsid w:val="00654FEB"/>
    <w:rsid w:val="00655946"/>
    <w:rsid w:val="00655CE9"/>
    <w:rsid w:val="006560A7"/>
    <w:rsid w:val="00656362"/>
    <w:rsid w:val="00656E2E"/>
    <w:rsid w:val="00657370"/>
    <w:rsid w:val="006575D4"/>
    <w:rsid w:val="006578CF"/>
    <w:rsid w:val="00657AEB"/>
    <w:rsid w:val="00657B37"/>
    <w:rsid w:val="00657CB8"/>
    <w:rsid w:val="00657CC5"/>
    <w:rsid w:val="0066027C"/>
    <w:rsid w:val="006603BD"/>
    <w:rsid w:val="00660ACA"/>
    <w:rsid w:val="00662343"/>
    <w:rsid w:val="00662E55"/>
    <w:rsid w:val="00663EB2"/>
    <w:rsid w:val="006642EF"/>
    <w:rsid w:val="006644E7"/>
    <w:rsid w:val="00664619"/>
    <w:rsid w:val="006649FC"/>
    <w:rsid w:val="00664C49"/>
    <w:rsid w:val="00664D41"/>
    <w:rsid w:val="00664F34"/>
    <w:rsid w:val="0066683D"/>
    <w:rsid w:val="00666F7C"/>
    <w:rsid w:val="0066770B"/>
    <w:rsid w:val="00667A5C"/>
    <w:rsid w:val="00667DDA"/>
    <w:rsid w:val="00667FED"/>
    <w:rsid w:val="006703F6"/>
    <w:rsid w:val="00670516"/>
    <w:rsid w:val="00670805"/>
    <w:rsid w:val="00670DC1"/>
    <w:rsid w:val="00671709"/>
    <w:rsid w:val="006723C3"/>
    <w:rsid w:val="0067271C"/>
    <w:rsid w:val="00672CB8"/>
    <w:rsid w:val="00672D2C"/>
    <w:rsid w:val="00672EFA"/>
    <w:rsid w:val="00673104"/>
    <w:rsid w:val="0067374C"/>
    <w:rsid w:val="006737E6"/>
    <w:rsid w:val="00674C0B"/>
    <w:rsid w:val="0067571D"/>
    <w:rsid w:val="00675AE2"/>
    <w:rsid w:val="00675F61"/>
    <w:rsid w:val="006771FC"/>
    <w:rsid w:val="00677B9C"/>
    <w:rsid w:val="006800F7"/>
    <w:rsid w:val="00680166"/>
    <w:rsid w:val="0068107C"/>
    <w:rsid w:val="0068187C"/>
    <w:rsid w:val="006818BD"/>
    <w:rsid w:val="0068211C"/>
    <w:rsid w:val="006824C3"/>
    <w:rsid w:val="00682551"/>
    <w:rsid w:val="00683B1C"/>
    <w:rsid w:val="006840D0"/>
    <w:rsid w:val="006841FB"/>
    <w:rsid w:val="0068441B"/>
    <w:rsid w:val="00684A29"/>
    <w:rsid w:val="00684E44"/>
    <w:rsid w:val="00685501"/>
    <w:rsid w:val="00686C8F"/>
    <w:rsid w:val="0068709C"/>
    <w:rsid w:val="0068743B"/>
    <w:rsid w:val="006874BE"/>
    <w:rsid w:val="00687EAD"/>
    <w:rsid w:val="006902A4"/>
    <w:rsid w:val="00690FD9"/>
    <w:rsid w:val="006911F0"/>
    <w:rsid w:val="00691E2D"/>
    <w:rsid w:val="00692239"/>
    <w:rsid w:val="0069258B"/>
    <w:rsid w:val="00692B39"/>
    <w:rsid w:val="00692BFC"/>
    <w:rsid w:val="00692E13"/>
    <w:rsid w:val="0069435C"/>
    <w:rsid w:val="0069470F"/>
    <w:rsid w:val="0069499F"/>
    <w:rsid w:val="00694A42"/>
    <w:rsid w:val="00694F43"/>
    <w:rsid w:val="00695560"/>
    <w:rsid w:val="00695652"/>
    <w:rsid w:val="00695FE7"/>
    <w:rsid w:val="00697006"/>
    <w:rsid w:val="0069716B"/>
    <w:rsid w:val="00697329"/>
    <w:rsid w:val="006976E3"/>
    <w:rsid w:val="00697BE5"/>
    <w:rsid w:val="006A0140"/>
    <w:rsid w:val="006A034B"/>
    <w:rsid w:val="006A0B79"/>
    <w:rsid w:val="006A13D3"/>
    <w:rsid w:val="006A1715"/>
    <w:rsid w:val="006A1C35"/>
    <w:rsid w:val="006A1D3B"/>
    <w:rsid w:val="006A2CE5"/>
    <w:rsid w:val="006A3158"/>
    <w:rsid w:val="006A319C"/>
    <w:rsid w:val="006A31B4"/>
    <w:rsid w:val="006A32F0"/>
    <w:rsid w:val="006A336C"/>
    <w:rsid w:val="006A3474"/>
    <w:rsid w:val="006A3527"/>
    <w:rsid w:val="006A37D6"/>
    <w:rsid w:val="006A396A"/>
    <w:rsid w:val="006A467A"/>
    <w:rsid w:val="006A48A2"/>
    <w:rsid w:val="006A50E7"/>
    <w:rsid w:val="006A53E1"/>
    <w:rsid w:val="006A5492"/>
    <w:rsid w:val="006A5B4D"/>
    <w:rsid w:val="006A6563"/>
    <w:rsid w:val="006A6B19"/>
    <w:rsid w:val="006A7138"/>
    <w:rsid w:val="006A7379"/>
    <w:rsid w:val="006A7CC5"/>
    <w:rsid w:val="006A7D9D"/>
    <w:rsid w:val="006A7E3E"/>
    <w:rsid w:val="006B02BE"/>
    <w:rsid w:val="006B0483"/>
    <w:rsid w:val="006B08A7"/>
    <w:rsid w:val="006B0CA8"/>
    <w:rsid w:val="006B1012"/>
    <w:rsid w:val="006B120A"/>
    <w:rsid w:val="006B1210"/>
    <w:rsid w:val="006B1752"/>
    <w:rsid w:val="006B19DD"/>
    <w:rsid w:val="006B23F3"/>
    <w:rsid w:val="006B24C1"/>
    <w:rsid w:val="006B2BEE"/>
    <w:rsid w:val="006B318C"/>
    <w:rsid w:val="006B3398"/>
    <w:rsid w:val="006B3621"/>
    <w:rsid w:val="006B3A0F"/>
    <w:rsid w:val="006B3AC2"/>
    <w:rsid w:val="006B3EA8"/>
    <w:rsid w:val="006B4227"/>
    <w:rsid w:val="006B45CE"/>
    <w:rsid w:val="006B4E87"/>
    <w:rsid w:val="006B4FA5"/>
    <w:rsid w:val="006B51E0"/>
    <w:rsid w:val="006B52B8"/>
    <w:rsid w:val="006B689A"/>
    <w:rsid w:val="006B69A8"/>
    <w:rsid w:val="006B6CB3"/>
    <w:rsid w:val="006B73C8"/>
    <w:rsid w:val="006B7692"/>
    <w:rsid w:val="006B78D5"/>
    <w:rsid w:val="006B7C42"/>
    <w:rsid w:val="006B7D5E"/>
    <w:rsid w:val="006B7DA5"/>
    <w:rsid w:val="006C014E"/>
    <w:rsid w:val="006C0162"/>
    <w:rsid w:val="006C0530"/>
    <w:rsid w:val="006C06C3"/>
    <w:rsid w:val="006C0A72"/>
    <w:rsid w:val="006C0A90"/>
    <w:rsid w:val="006C0B8B"/>
    <w:rsid w:val="006C1138"/>
    <w:rsid w:val="006C20F3"/>
    <w:rsid w:val="006C22D9"/>
    <w:rsid w:val="006C24E1"/>
    <w:rsid w:val="006C251C"/>
    <w:rsid w:val="006C287B"/>
    <w:rsid w:val="006C29A4"/>
    <w:rsid w:val="006C2E2E"/>
    <w:rsid w:val="006C2ED9"/>
    <w:rsid w:val="006C3100"/>
    <w:rsid w:val="006C35FF"/>
    <w:rsid w:val="006C39D0"/>
    <w:rsid w:val="006C3DA2"/>
    <w:rsid w:val="006C3E16"/>
    <w:rsid w:val="006C3F33"/>
    <w:rsid w:val="006C4EA6"/>
    <w:rsid w:val="006C505C"/>
    <w:rsid w:val="006C50D1"/>
    <w:rsid w:val="006C5710"/>
    <w:rsid w:val="006C58F5"/>
    <w:rsid w:val="006C59B5"/>
    <w:rsid w:val="006C6283"/>
    <w:rsid w:val="006C629C"/>
    <w:rsid w:val="006C640F"/>
    <w:rsid w:val="006C7246"/>
    <w:rsid w:val="006C72F1"/>
    <w:rsid w:val="006C7D4B"/>
    <w:rsid w:val="006C7F5E"/>
    <w:rsid w:val="006D03B6"/>
    <w:rsid w:val="006D05A7"/>
    <w:rsid w:val="006D0A22"/>
    <w:rsid w:val="006D0EAF"/>
    <w:rsid w:val="006D0EDD"/>
    <w:rsid w:val="006D1739"/>
    <w:rsid w:val="006D1750"/>
    <w:rsid w:val="006D1947"/>
    <w:rsid w:val="006D19FA"/>
    <w:rsid w:val="006D22FE"/>
    <w:rsid w:val="006D230D"/>
    <w:rsid w:val="006D23ED"/>
    <w:rsid w:val="006D2B04"/>
    <w:rsid w:val="006D301B"/>
    <w:rsid w:val="006D313F"/>
    <w:rsid w:val="006D3C24"/>
    <w:rsid w:val="006D3F85"/>
    <w:rsid w:val="006D4419"/>
    <w:rsid w:val="006D50DD"/>
    <w:rsid w:val="006D5A94"/>
    <w:rsid w:val="006D5BC7"/>
    <w:rsid w:val="006D63F6"/>
    <w:rsid w:val="006D66B1"/>
    <w:rsid w:val="006D6E6E"/>
    <w:rsid w:val="006D72CC"/>
    <w:rsid w:val="006E075E"/>
    <w:rsid w:val="006E171A"/>
    <w:rsid w:val="006E186D"/>
    <w:rsid w:val="006E1C5F"/>
    <w:rsid w:val="006E1EDB"/>
    <w:rsid w:val="006E1F0F"/>
    <w:rsid w:val="006E20B9"/>
    <w:rsid w:val="006E29AF"/>
    <w:rsid w:val="006E2CF0"/>
    <w:rsid w:val="006E36E1"/>
    <w:rsid w:val="006E39D6"/>
    <w:rsid w:val="006E41CE"/>
    <w:rsid w:val="006E4280"/>
    <w:rsid w:val="006E4503"/>
    <w:rsid w:val="006E4E04"/>
    <w:rsid w:val="006E4F07"/>
    <w:rsid w:val="006E5CFD"/>
    <w:rsid w:val="006E6A43"/>
    <w:rsid w:val="006E6BD2"/>
    <w:rsid w:val="006E6C54"/>
    <w:rsid w:val="006E6F70"/>
    <w:rsid w:val="006E7EF2"/>
    <w:rsid w:val="006F051F"/>
    <w:rsid w:val="006F0678"/>
    <w:rsid w:val="006F1A51"/>
    <w:rsid w:val="006F211D"/>
    <w:rsid w:val="006F2703"/>
    <w:rsid w:val="006F29E1"/>
    <w:rsid w:val="006F3B6A"/>
    <w:rsid w:val="006F3D04"/>
    <w:rsid w:val="006F418A"/>
    <w:rsid w:val="006F4296"/>
    <w:rsid w:val="006F48D7"/>
    <w:rsid w:val="006F4A4B"/>
    <w:rsid w:val="006F50AC"/>
    <w:rsid w:val="006F5DF9"/>
    <w:rsid w:val="006F6382"/>
    <w:rsid w:val="006F69F0"/>
    <w:rsid w:val="006F6EA4"/>
    <w:rsid w:val="006F722E"/>
    <w:rsid w:val="006F7248"/>
    <w:rsid w:val="006F7354"/>
    <w:rsid w:val="006F7986"/>
    <w:rsid w:val="0070140D"/>
    <w:rsid w:val="00701557"/>
    <w:rsid w:val="0070252C"/>
    <w:rsid w:val="0070256F"/>
    <w:rsid w:val="00702A73"/>
    <w:rsid w:val="00702C23"/>
    <w:rsid w:val="00702DB0"/>
    <w:rsid w:val="007032C1"/>
    <w:rsid w:val="00703337"/>
    <w:rsid w:val="007038B9"/>
    <w:rsid w:val="00703D27"/>
    <w:rsid w:val="0070484B"/>
    <w:rsid w:val="00704882"/>
    <w:rsid w:val="00704A65"/>
    <w:rsid w:val="00704F14"/>
    <w:rsid w:val="007051FD"/>
    <w:rsid w:val="0070524F"/>
    <w:rsid w:val="0070560C"/>
    <w:rsid w:val="0070575E"/>
    <w:rsid w:val="00710208"/>
    <w:rsid w:val="007102C8"/>
    <w:rsid w:val="007104FD"/>
    <w:rsid w:val="007107FF"/>
    <w:rsid w:val="00710B00"/>
    <w:rsid w:val="00711146"/>
    <w:rsid w:val="007117F0"/>
    <w:rsid w:val="007129E9"/>
    <w:rsid w:val="00712DBF"/>
    <w:rsid w:val="00712E22"/>
    <w:rsid w:val="007130A6"/>
    <w:rsid w:val="007134D5"/>
    <w:rsid w:val="007135B9"/>
    <w:rsid w:val="007136EB"/>
    <w:rsid w:val="007137E1"/>
    <w:rsid w:val="00713F1C"/>
    <w:rsid w:val="0071407E"/>
    <w:rsid w:val="00714C2F"/>
    <w:rsid w:val="00714CD7"/>
    <w:rsid w:val="00715441"/>
    <w:rsid w:val="00715792"/>
    <w:rsid w:val="0071587F"/>
    <w:rsid w:val="007165C9"/>
    <w:rsid w:val="00716D8A"/>
    <w:rsid w:val="00716E0C"/>
    <w:rsid w:val="00716F3C"/>
    <w:rsid w:val="00716F7D"/>
    <w:rsid w:val="007175A0"/>
    <w:rsid w:val="0071787A"/>
    <w:rsid w:val="0071794F"/>
    <w:rsid w:val="00717D09"/>
    <w:rsid w:val="00720259"/>
    <w:rsid w:val="00720BF4"/>
    <w:rsid w:val="00721071"/>
    <w:rsid w:val="007213F8"/>
    <w:rsid w:val="00721678"/>
    <w:rsid w:val="0072171E"/>
    <w:rsid w:val="00721CB8"/>
    <w:rsid w:val="00721F59"/>
    <w:rsid w:val="0072210B"/>
    <w:rsid w:val="0072230C"/>
    <w:rsid w:val="00722D65"/>
    <w:rsid w:val="00722E3D"/>
    <w:rsid w:val="00722FDC"/>
    <w:rsid w:val="007236A1"/>
    <w:rsid w:val="00723700"/>
    <w:rsid w:val="0072376E"/>
    <w:rsid w:val="007237C6"/>
    <w:rsid w:val="00723865"/>
    <w:rsid w:val="00723CE6"/>
    <w:rsid w:val="00723EC1"/>
    <w:rsid w:val="00724333"/>
    <w:rsid w:val="00724C9B"/>
    <w:rsid w:val="00724D55"/>
    <w:rsid w:val="00725912"/>
    <w:rsid w:val="00725E92"/>
    <w:rsid w:val="007263C5"/>
    <w:rsid w:val="007265AA"/>
    <w:rsid w:val="00726801"/>
    <w:rsid w:val="0072697B"/>
    <w:rsid w:val="00726B70"/>
    <w:rsid w:val="00726BD8"/>
    <w:rsid w:val="0072714B"/>
    <w:rsid w:val="00727268"/>
    <w:rsid w:val="007275DD"/>
    <w:rsid w:val="00727D11"/>
    <w:rsid w:val="007300B7"/>
    <w:rsid w:val="0073077A"/>
    <w:rsid w:val="00730D62"/>
    <w:rsid w:val="00730F06"/>
    <w:rsid w:val="00731032"/>
    <w:rsid w:val="0073123C"/>
    <w:rsid w:val="00731797"/>
    <w:rsid w:val="00731DCC"/>
    <w:rsid w:val="00731E00"/>
    <w:rsid w:val="00732FAE"/>
    <w:rsid w:val="0073316B"/>
    <w:rsid w:val="007331D1"/>
    <w:rsid w:val="0073362B"/>
    <w:rsid w:val="00733CEF"/>
    <w:rsid w:val="007340A5"/>
    <w:rsid w:val="00734913"/>
    <w:rsid w:val="00734A47"/>
    <w:rsid w:val="007352B5"/>
    <w:rsid w:val="007353AF"/>
    <w:rsid w:val="007359CB"/>
    <w:rsid w:val="00735BFB"/>
    <w:rsid w:val="00735EE1"/>
    <w:rsid w:val="00736C32"/>
    <w:rsid w:val="007378A7"/>
    <w:rsid w:val="00737A3A"/>
    <w:rsid w:val="00740169"/>
    <w:rsid w:val="00740A21"/>
    <w:rsid w:val="00740AD7"/>
    <w:rsid w:val="00740EB8"/>
    <w:rsid w:val="0074169C"/>
    <w:rsid w:val="00741A17"/>
    <w:rsid w:val="00741A66"/>
    <w:rsid w:val="00742902"/>
    <w:rsid w:val="007429AA"/>
    <w:rsid w:val="00743715"/>
    <w:rsid w:val="0074378B"/>
    <w:rsid w:val="00743A61"/>
    <w:rsid w:val="00743EAB"/>
    <w:rsid w:val="007441E5"/>
    <w:rsid w:val="00744409"/>
    <w:rsid w:val="0074441D"/>
    <w:rsid w:val="00744AA9"/>
    <w:rsid w:val="00745163"/>
    <w:rsid w:val="007454F1"/>
    <w:rsid w:val="007454F3"/>
    <w:rsid w:val="007455E7"/>
    <w:rsid w:val="00745CC0"/>
    <w:rsid w:val="00745E15"/>
    <w:rsid w:val="007462F2"/>
    <w:rsid w:val="0074646A"/>
    <w:rsid w:val="007464C1"/>
    <w:rsid w:val="007466D5"/>
    <w:rsid w:val="00746A01"/>
    <w:rsid w:val="00746A6C"/>
    <w:rsid w:val="00747091"/>
    <w:rsid w:val="00747798"/>
    <w:rsid w:val="007477EE"/>
    <w:rsid w:val="00747A10"/>
    <w:rsid w:val="00747A80"/>
    <w:rsid w:val="00750271"/>
    <w:rsid w:val="00750380"/>
    <w:rsid w:val="007505F8"/>
    <w:rsid w:val="00750CAE"/>
    <w:rsid w:val="00750ED0"/>
    <w:rsid w:val="0075161B"/>
    <w:rsid w:val="007523FB"/>
    <w:rsid w:val="00752AD0"/>
    <w:rsid w:val="00752B80"/>
    <w:rsid w:val="00752EB7"/>
    <w:rsid w:val="007531FE"/>
    <w:rsid w:val="007536F6"/>
    <w:rsid w:val="007538AB"/>
    <w:rsid w:val="00753A7C"/>
    <w:rsid w:val="00753E54"/>
    <w:rsid w:val="007542F3"/>
    <w:rsid w:val="0075458F"/>
    <w:rsid w:val="007549B9"/>
    <w:rsid w:val="00754B5A"/>
    <w:rsid w:val="00754F26"/>
    <w:rsid w:val="007554CB"/>
    <w:rsid w:val="0075598B"/>
    <w:rsid w:val="00755C02"/>
    <w:rsid w:val="00755D5D"/>
    <w:rsid w:val="00755EA9"/>
    <w:rsid w:val="00756510"/>
    <w:rsid w:val="007565BD"/>
    <w:rsid w:val="00756B42"/>
    <w:rsid w:val="00757348"/>
    <w:rsid w:val="00757756"/>
    <w:rsid w:val="007603D2"/>
    <w:rsid w:val="00760A0D"/>
    <w:rsid w:val="00760C00"/>
    <w:rsid w:val="00761DB3"/>
    <w:rsid w:val="00762007"/>
    <w:rsid w:val="00763743"/>
    <w:rsid w:val="007637E4"/>
    <w:rsid w:val="007639A0"/>
    <w:rsid w:val="0076426D"/>
    <w:rsid w:val="007642D6"/>
    <w:rsid w:val="007644F5"/>
    <w:rsid w:val="007645B2"/>
    <w:rsid w:val="00764F77"/>
    <w:rsid w:val="00765745"/>
    <w:rsid w:val="007660A0"/>
    <w:rsid w:val="007662E3"/>
    <w:rsid w:val="00766623"/>
    <w:rsid w:val="00766D8A"/>
    <w:rsid w:val="00766E08"/>
    <w:rsid w:val="00767281"/>
    <w:rsid w:val="0076729A"/>
    <w:rsid w:val="0076758A"/>
    <w:rsid w:val="00767F10"/>
    <w:rsid w:val="007703F4"/>
    <w:rsid w:val="00770540"/>
    <w:rsid w:val="0077112E"/>
    <w:rsid w:val="00771340"/>
    <w:rsid w:val="00771C83"/>
    <w:rsid w:val="0077222F"/>
    <w:rsid w:val="007722BD"/>
    <w:rsid w:val="0077345D"/>
    <w:rsid w:val="00773B39"/>
    <w:rsid w:val="00773B3F"/>
    <w:rsid w:val="00774157"/>
    <w:rsid w:val="0077430E"/>
    <w:rsid w:val="0077437C"/>
    <w:rsid w:val="00774838"/>
    <w:rsid w:val="00774C51"/>
    <w:rsid w:val="00774E44"/>
    <w:rsid w:val="00775452"/>
    <w:rsid w:val="007755C1"/>
    <w:rsid w:val="00775740"/>
    <w:rsid w:val="00775787"/>
    <w:rsid w:val="00775AE0"/>
    <w:rsid w:val="00775D75"/>
    <w:rsid w:val="00776193"/>
    <w:rsid w:val="00776716"/>
    <w:rsid w:val="007767F0"/>
    <w:rsid w:val="00776845"/>
    <w:rsid w:val="00776908"/>
    <w:rsid w:val="00776986"/>
    <w:rsid w:val="00777041"/>
    <w:rsid w:val="00777079"/>
    <w:rsid w:val="007772B9"/>
    <w:rsid w:val="00777417"/>
    <w:rsid w:val="007775E4"/>
    <w:rsid w:val="00777A4D"/>
    <w:rsid w:val="007808A9"/>
    <w:rsid w:val="00780BDF"/>
    <w:rsid w:val="00781B6B"/>
    <w:rsid w:val="00781E5D"/>
    <w:rsid w:val="00781F4B"/>
    <w:rsid w:val="007823FE"/>
    <w:rsid w:val="00782CFC"/>
    <w:rsid w:val="00782D48"/>
    <w:rsid w:val="007839C0"/>
    <w:rsid w:val="00784AFE"/>
    <w:rsid w:val="00784B13"/>
    <w:rsid w:val="00784B8B"/>
    <w:rsid w:val="00785002"/>
    <w:rsid w:val="00785396"/>
    <w:rsid w:val="007855AA"/>
    <w:rsid w:val="007861D7"/>
    <w:rsid w:val="007868D3"/>
    <w:rsid w:val="0078781D"/>
    <w:rsid w:val="007879F7"/>
    <w:rsid w:val="00787CF9"/>
    <w:rsid w:val="00787E66"/>
    <w:rsid w:val="00790217"/>
    <w:rsid w:val="007903B9"/>
    <w:rsid w:val="00790652"/>
    <w:rsid w:val="0079066E"/>
    <w:rsid w:val="00790856"/>
    <w:rsid w:val="00790974"/>
    <w:rsid w:val="007909D3"/>
    <w:rsid w:val="00790AE5"/>
    <w:rsid w:val="00790D2E"/>
    <w:rsid w:val="00790F66"/>
    <w:rsid w:val="00791072"/>
    <w:rsid w:val="00791452"/>
    <w:rsid w:val="00792E03"/>
    <w:rsid w:val="00792F34"/>
    <w:rsid w:val="00792FDD"/>
    <w:rsid w:val="00793451"/>
    <w:rsid w:val="00793F6A"/>
    <w:rsid w:val="007940BF"/>
    <w:rsid w:val="007948A3"/>
    <w:rsid w:val="0079525F"/>
    <w:rsid w:val="0079561D"/>
    <w:rsid w:val="00795973"/>
    <w:rsid w:val="00795D66"/>
    <w:rsid w:val="00795E4D"/>
    <w:rsid w:val="007963EE"/>
    <w:rsid w:val="00796875"/>
    <w:rsid w:val="007976EE"/>
    <w:rsid w:val="007A0FD8"/>
    <w:rsid w:val="007A130B"/>
    <w:rsid w:val="007A16A9"/>
    <w:rsid w:val="007A21F7"/>
    <w:rsid w:val="007A2418"/>
    <w:rsid w:val="007A25D7"/>
    <w:rsid w:val="007A2BFB"/>
    <w:rsid w:val="007A3984"/>
    <w:rsid w:val="007A3ABD"/>
    <w:rsid w:val="007A3E76"/>
    <w:rsid w:val="007A3F75"/>
    <w:rsid w:val="007A428D"/>
    <w:rsid w:val="007A4BFB"/>
    <w:rsid w:val="007A4C6A"/>
    <w:rsid w:val="007A4E23"/>
    <w:rsid w:val="007A58B5"/>
    <w:rsid w:val="007A5AC0"/>
    <w:rsid w:val="007A65B5"/>
    <w:rsid w:val="007A6F7E"/>
    <w:rsid w:val="007A75A6"/>
    <w:rsid w:val="007A7620"/>
    <w:rsid w:val="007A76AA"/>
    <w:rsid w:val="007A7C6D"/>
    <w:rsid w:val="007A7DF9"/>
    <w:rsid w:val="007A7E04"/>
    <w:rsid w:val="007B1A9D"/>
    <w:rsid w:val="007B1B37"/>
    <w:rsid w:val="007B1CC4"/>
    <w:rsid w:val="007B2154"/>
    <w:rsid w:val="007B2316"/>
    <w:rsid w:val="007B27AB"/>
    <w:rsid w:val="007B2802"/>
    <w:rsid w:val="007B2BED"/>
    <w:rsid w:val="007B3372"/>
    <w:rsid w:val="007B369A"/>
    <w:rsid w:val="007B376A"/>
    <w:rsid w:val="007B3B09"/>
    <w:rsid w:val="007B3EE2"/>
    <w:rsid w:val="007B5010"/>
    <w:rsid w:val="007B52D1"/>
    <w:rsid w:val="007B532D"/>
    <w:rsid w:val="007B5555"/>
    <w:rsid w:val="007B5C2E"/>
    <w:rsid w:val="007B5D57"/>
    <w:rsid w:val="007B6126"/>
    <w:rsid w:val="007B6798"/>
    <w:rsid w:val="007B6BDD"/>
    <w:rsid w:val="007B6F9B"/>
    <w:rsid w:val="007B70D5"/>
    <w:rsid w:val="007B7357"/>
    <w:rsid w:val="007B752C"/>
    <w:rsid w:val="007B7706"/>
    <w:rsid w:val="007B77C4"/>
    <w:rsid w:val="007B787E"/>
    <w:rsid w:val="007B7C1E"/>
    <w:rsid w:val="007B7EF6"/>
    <w:rsid w:val="007C00E4"/>
    <w:rsid w:val="007C0501"/>
    <w:rsid w:val="007C0618"/>
    <w:rsid w:val="007C092A"/>
    <w:rsid w:val="007C0B45"/>
    <w:rsid w:val="007C0F9E"/>
    <w:rsid w:val="007C101A"/>
    <w:rsid w:val="007C107C"/>
    <w:rsid w:val="007C1288"/>
    <w:rsid w:val="007C1E59"/>
    <w:rsid w:val="007C22CC"/>
    <w:rsid w:val="007C24ED"/>
    <w:rsid w:val="007C2547"/>
    <w:rsid w:val="007C263C"/>
    <w:rsid w:val="007C2964"/>
    <w:rsid w:val="007C342A"/>
    <w:rsid w:val="007C344E"/>
    <w:rsid w:val="007C39D4"/>
    <w:rsid w:val="007C3F8B"/>
    <w:rsid w:val="007C4508"/>
    <w:rsid w:val="007C458D"/>
    <w:rsid w:val="007C5D4A"/>
    <w:rsid w:val="007C5D6B"/>
    <w:rsid w:val="007C5E39"/>
    <w:rsid w:val="007C60E6"/>
    <w:rsid w:val="007C755A"/>
    <w:rsid w:val="007C7598"/>
    <w:rsid w:val="007C767D"/>
    <w:rsid w:val="007C7767"/>
    <w:rsid w:val="007C7AF7"/>
    <w:rsid w:val="007C7EFC"/>
    <w:rsid w:val="007D03CC"/>
    <w:rsid w:val="007D0712"/>
    <w:rsid w:val="007D073F"/>
    <w:rsid w:val="007D078B"/>
    <w:rsid w:val="007D0CB5"/>
    <w:rsid w:val="007D15FB"/>
    <w:rsid w:val="007D18E1"/>
    <w:rsid w:val="007D1B36"/>
    <w:rsid w:val="007D2306"/>
    <w:rsid w:val="007D2923"/>
    <w:rsid w:val="007D2D96"/>
    <w:rsid w:val="007D2F48"/>
    <w:rsid w:val="007D3331"/>
    <w:rsid w:val="007D37F2"/>
    <w:rsid w:val="007D3824"/>
    <w:rsid w:val="007D3A9F"/>
    <w:rsid w:val="007D3B91"/>
    <w:rsid w:val="007D4398"/>
    <w:rsid w:val="007D455A"/>
    <w:rsid w:val="007D491D"/>
    <w:rsid w:val="007D497B"/>
    <w:rsid w:val="007D4A2F"/>
    <w:rsid w:val="007D5064"/>
    <w:rsid w:val="007D52D2"/>
    <w:rsid w:val="007D59BA"/>
    <w:rsid w:val="007D69B5"/>
    <w:rsid w:val="007D6A2C"/>
    <w:rsid w:val="007D7190"/>
    <w:rsid w:val="007D7B71"/>
    <w:rsid w:val="007E0091"/>
    <w:rsid w:val="007E00F1"/>
    <w:rsid w:val="007E0299"/>
    <w:rsid w:val="007E07A1"/>
    <w:rsid w:val="007E0F71"/>
    <w:rsid w:val="007E1805"/>
    <w:rsid w:val="007E1D17"/>
    <w:rsid w:val="007E1E53"/>
    <w:rsid w:val="007E2324"/>
    <w:rsid w:val="007E26C5"/>
    <w:rsid w:val="007E27DE"/>
    <w:rsid w:val="007E2835"/>
    <w:rsid w:val="007E36AE"/>
    <w:rsid w:val="007E3960"/>
    <w:rsid w:val="007E3A4E"/>
    <w:rsid w:val="007E3B2D"/>
    <w:rsid w:val="007E3E34"/>
    <w:rsid w:val="007E42B9"/>
    <w:rsid w:val="007E438D"/>
    <w:rsid w:val="007E5029"/>
    <w:rsid w:val="007E51AF"/>
    <w:rsid w:val="007E5968"/>
    <w:rsid w:val="007E5DAD"/>
    <w:rsid w:val="007E5E08"/>
    <w:rsid w:val="007E620E"/>
    <w:rsid w:val="007E6C5A"/>
    <w:rsid w:val="007E700B"/>
    <w:rsid w:val="007E7685"/>
    <w:rsid w:val="007E78E5"/>
    <w:rsid w:val="007E7B0F"/>
    <w:rsid w:val="007E7C1A"/>
    <w:rsid w:val="007E7F0F"/>
    <w:rsid w:val="007F06C3"/>
    <w:rsid w:val="007F0E6E"/>
    <w:rsid w:val="007F1966"/>
    <w:rsid w:val="007F19A0"/>
    <w:rsid w:val="007F1A32"/>
    <w:rsid w:val="007F1A4D"/>
    <w:rsid w:val="007F26ED"/>
    <w:rsid w:val="007F2C0E"/>
    <w:rsid w:val="007F2D0C"/>
    <w:rsid w:val="007F2D16"/>
    <w:rsid w:val="007F3419"/>
    <w:rsid w:val="007F3B9C"/>
    <w:rsid w:val="007F40A3"/>
    <w:rsid w:val="007F410D"/>
    <w:rsid w:val="007F4684"/>
    <w:rsid w:val="007F4818"/>
    <w:rsid w:val="007F48CC"/>
    <w:rsid w:val="007F4EDE"/>
    <w:rsid w:val="007F5B02"/>
    <w:rsid w:val="007F6F29"/>
    <w:rsid w:val="007F70D3"/>
    <w:rsid w:val="007F71FF"/>
    <w:rsid w:val="007F72C3"/>
    <w:rsid w:val="007F7552"/>
    <w:rsid w:val="007F765E"/>
    <w:rsid w:val="007F77E9"/>
    <w:rsid w:val="007F783D"/>
    <w:rsid w:val="007F7C14"/>
    <w:rsid w:val="007F7C31"/>
    <w:rsid w:val="00800034"/>
    <w:rsid w:val="008001D4"/>
    <w:rsid w:val="008007D8"/>
    <w:rsid w:val="00800AA0"/>
    <w:rsid w:val="00801373"/>
    <w:rsid w:val="008013B0"/>
    <w:rsid w:val="0080140A"/>
    <w:rsid w:val="008016C2"/>
    <w:rsid w:val="00802236"/>
    <w:rsid w:val="00802247"/>
    <w:rsid w:val="00802287"/>
    <w:rsid w:val="008022B7"/>
    <w:rsid w:val="008022CC"/>
    <w:rsid w:val="0080275B"/>
    <w:rsid w:val="008031DB"/>
    <w:rsid w:val="008032AD"/>
    <w:rsid w:val="00803629"/>
    <w:rsid w:val="00803B9B"/>
    <w:rsid w:val="0080450B"/>
    <w:rsid w:val="008048F3"/>
    <w:rsid w:val="00804DD1"/>
    <w:rsid w:val="00804EAE"/>
    <w:rsid w:val="00805693"/>
    <w:rsid w:val="00805731"/>
    <w:rsid w:val="00806096"/>
    <w:rsid w:val="00806167"/>
    <w:rsid w:val="00806C45"/>
    <w:rsid w:val="00806D17"/>
    <w:rsid w:val="00806DF0"/>
    <w:rsid w:val="0080755C"/>
    <w:rsid w:val="008075EB"/>
    <w:rsid w:val="008078B9"/>
    <w:rsid w:val="0080797C"/>
    <w:rsid w:val="00807DE3"/>
    <w:rsid w:val="0081014E"/>
    <w:rsid w:val="00810ADA"/>
    <w:rsid w:val="008122C2"/>
    <w:rsid w:val="008123A8"/>
    <w:rsid w:val="0081245E"/>
    <w:rsid w:val="0081302C"/>
    <w:rsid w:val="00813316"/>
    <w:rsid w:val="00813375"/>
    <w:rsid w:val="0081368D"/>
    <w:rsid w:val="008136BE"/>
    <w:rsid w:val="00814893"/>
    <w:rsid w:val="008149DF"/>
    <w:rsid w:val="008155FA"/>
    <w:rsid w:val="008160AC"/>
    <w:rsid w:val="00816195"/>
    <w:rsid w:val="008162EE"/>
    <w:rsid w:val="008164B9"/>
    <w:rsid w:val="008168A0"/>
    <w:rsid w:val="0081694E"/>
    <w:rsid w:val="0081770A"/>
    <w:rsid w:val="00817B52"/>
    <w:rsid w:val="00820205"/>
    <w:rsid w:val="00820E2C"/>
    <w:rsid w:val="0082125B"/>
    <w:rsid w:val="00821FB3"/>
    <w:rsid w:val="00822450"/>
    <w:rsid w:val="0082297F"/>
    <w:rsid w:val="00822EBC"/>
    <w:rsid w:val="00822F36"/>
    <w:rsid w:val="008236F5"/>
    <w:rsid w:val="00823841"/>
    <w:rsid w:val="00823C0E"/>
    <w:rsid w:val="00823E75"/>
    <w:rsid w:val="00823FA3"/>
    <w:rsid w:val="00824111"/>
    <w:rsid w:val="008245D9"/>
    <w:rsid w:val="0082466C"/>
    <w:rsid w:val="00824905"/>
    <w:rsid w:val="00824E3D"/>
    <w:rsid w:val="008257FB"/>
    <w:rsid w:val="00825B3B"/>
    <w:rsid w:val="00826341"/>
    <w:rsid w:val="00826415"/>
    <w:rsid w:val="00826449"/>
    <w:rsid w:val="00826E9D"/>
    <w:rsid w:val="008273E0"/>
    <w:rsid w:val="008275FD"/>
    <w:rsid w:val="008277EA"/>
    <w:rsid w:val="00827A1E"/>
    <w:rsid w:val="00827D6B"/>
    <w:rsid w:val="008304FA"/>
    <w:rsid w:val="008305BE"/>
    <w:rsid w:val="00831024"/>
    <w:rsid w:val="0083132E"/>
    <w:rsid w:val="008314EA"/>
    <w:rsid w:val="008317DA"/>
    <w:rsid w:val="00831911"/>
    <w:rsid w:val="00831C3E"/>
    <w:rsid w:val="00831CEA"/>
    <w:rsid w:val="0083217D"/>
    <w:rsid w:val="008325C1"/>
    <w:rsid w:val="008326E8"/>
    <w:rsid w:val="00832E43"/>
    <w:rsid w:val="00832EEA"/>
    <w:rsid w:val="00833495"/>
    <w:rsid w:val="0083445C"/>
    <w:rsid w:val="0083482D"/>
    <w:rsid w:val="00834AC2"/>
    <w:rsid w:val="00834F64"/>
    <w:rsid w:val="0083581A"/>
    <w:rsid w:val="008358FE"/>
    <w:rsid w:val="008360F4"/>
    <w:rsid w:val="00836437"/>
    <w:rsid w:val="00836956"/>
    <w:rsid w:val="00836C80"/>
    <w:rsid w:val="008370BC"/>
    <w:rsid w:val="00837954"/>
    <w:rsid w:val="00837DBC"/>
    <w:rsid w:val="00837E0A"/>
    <w:rsid w:val="008402CD"/>
    <w:rsid w:val="00840C48"/>
    <w:rsid w:val="00841106"/>
    <w:rsid w:val="008411E4"/>
    <w:rsid w:val="00841D2E"/>
    <w:rsid w:val="00841FF0"/>
    <w:rsid w:val="008421D0"/>
    <w:rsid w:val="008429CF"/>
    <w:rsid w:val="00842D1F"/>
    <w:rsid w:val="00842F5C"/>
    <w:rsid w:val="00843113"/>
    <w:rsid w:val="008431D8"/>
    <w:rsid w:val="00844DB6"/>
    <w:rsid w:val="00844E31"/>
    <w:rsid w:val="00845ABD"/>
    <w:rsid w:val="00845C9B"/>
    <w:rsid w:val="008462E1"/>
    <w:rsid w:val="008465DA"/>
    <w:rsid w:val="00846693"/>
    <w:rsid w:val="00846B63"/>
    <w:rsid w:val="00846E29"/>
    <w:rsid w:val="008474FA"/>
    <w:rsid w:val="00847645"/>
    <w:rsid w:val="00847915"/>
    <w:rsid w:val="00847E8C"/>
    <w:rsid w:val="00850236"/>
    <w:rsid w:val="0085031A"/>
    <w:rsid w:val="00850332"/>
    <w:rsid w:val="00850900"/>
    <w:rsid w:val="00850BC6"/>
    <w:rsid w:val="008513A9"/>
    <w:rsid w:val="00851CEF"/>
    <w:rsid w:val="008521F0"/>
    <w:rsid w:val="008527AD"/>
    <w:rsid w:val="008531B9"/>
    <w:rsid w:val="00853F74"/>
    <w:rsid w:val="00854395"/>
    <w:rsid w:val="00854462"/>
    <w:rsid w:val="008546A8"/>
    <w:rsid w:val="008546B2"/>
    <w:rsid w:val="008547D1"/>
    <w:rsid w:val="0085501B"/>
    <w:rsid w:val="008551C4"/>
    <w:rsid w:val="00855D6A"/>
    <w:rsid w:val="00855EAE"/>
    <w:rsid w:val="00856668"/>
    <w:rsid w:val="00856B9A"/>
    <w:rsid w:val="00856D02"/>
    <w:rsid w:val="00856E1E"/>
    <w:rsid w:val="00856EA4"/>
    <w:rsid w:val="008575AC"/>
    <w:rsid w:val="008578A6"/>
    <w:rsid w:val="0085798E"/>
    <w:rsid w:val="0086015A"/>
    <w:rsid w:val="00860ACC"/>
    <w:rsid w:val="00860F7B"/>
    <w:rsid w:val="00861B7C"/>
    <w:rsid w:val="00862B30"/>
    <w:rsid w:val="00862D2B"/>
    <w:rsid w:val="00863269"/>
    <w:rsid w:val="0086467A"/>
    <w:rsid w:val="00864FBF"/>
    <w:rsid w:val="00865A72"/>
    <w:rsid w:val="00865FB2"/>
    <w:rsid w:val="008668ED"/>
    <w:rsid w:val="00866D63"/>
    <w:rsid w:val="008673AA"/>
    <w:rsid w:val="00867A89"/>
    <w:rsid w:val="008700CE"/>
    <w:rsid w:val="008701EF"/>
    <w:rsid w:val="008708F2"/>
    <w:rsid w:val="00870AD3"/>
    <w:rsid w:val="008716E2"/>
    <w:rsid w:val="0087173A"/>
    <w:rsid w:val="0087199C"/>
    <w:rsid w:val="00871D34"/>
    <w:rsid w:val="00871ED5"/>
    <w:rsid w:val="00872609"/>
    <w:rsid w:val="00872B08"/>
    <w:rsid w:val="00872DD6"/>
    <w:rsid w:val="00873048"/>
    <w:rsid w:val="008734E7"/>
    <w:rsid w:val="0087385E"/>
    <w:rsid w:val="00873EAC"/>
    <w:rsid w:val="00873F3C"/>
    <w:rsid w:val="00874818"/>
    <w:rsid w:val="00875206"/>
    <w:rsid w:val="008752A4"/>
    <w:rsid w:val="0087572A"/>
    <w:rsid w:val="00875898"/>
    <w:rsid w:val="00875CE6"/>
    <w:rsid w:val="00876788"/>
    <w:rsid w:val="00876941"/>
    <w:rsid w:val="00876F58"/>
    <w:rsid w:val="00877138"/>
    <w:rsid w:val="0087734F"/>
    <w:rsid w:val="008774A8"/>
    <w:rsid w:val="00877561"/>
    <w:rsid w:val="00877D46"/>
    <w:rsid w:val="0088008B"/>
    <w:rsid w:val="0088024F"/>
    <w:rsid w:val="008803F9"/>
    <w:rsid w:val="00880861"/>
    <w:rsid w:val="008808F1"/>
    <w:rsid w:val="00880A12"/>
    <w:rsid w:val="0088123C"/>
    <w:rsid w:val="008816BD"/>
    <w:rsid w:val="00881788"/>
    <w:rsid w:val="00882C2D"/>
    <w:rsid w:val="00882D1D"/>
    <w:rsid w:val="00883719"/>
    <w:rsid w:val="008839A5"/>
    <w:rsid w:val="008841FA"/>
    <w:rsid w:val="0088443F"/>
    <w:rsid w:val="008845C1"/>
    <w:rsid w:val="008846CE"/>
    <w:rsid w:val="0088483F"/>
    <w:rsid w:val="0088485F"/>
    <w:rsid w:val="00885023"/>
    <w:rsid w:val="00885108"/>
    <w:rsid w:val="008852D8"/>
    <w:rsid w:val="00885568"/>
    <w:rsid w:val="0088566C"/>
    <w:rsid w:val="0088597E"/>
    <w:rsid w:val="008862B2"/>
    <w:rsid w:val="00886676"/>
    <w:rsid w:val="00886BAD"/>
    <w:rsid w:val="00886CBA"/>
    <w:rsid w:val="00886D4C"/>
    <w:rsid w:val="00886D88"/>
    <w:rsid w:val="008875F2"/>
    <w:rsid w:val="00887732"/>
    <w:rsid w:val="0088789E"/>
    <w:rsid w:val="00887AAE"/>
    <w:rsid w:val="00887BB7"/>
    <w:rsid w:val="00887FA8"/>
    <w:rsid w:val="00887FB3"/>
    <w:rsid w:val="00890365"/>
    <w:rsid w:val="00890485"/>
    <w:rsid w:val="00891462"/>
    <w:rsid w:val="008921D9"/>
    <w:rsid w:val="00892250"/>
    <w:rsid w:val="00892860"/>
    <w:rsid w:val="00892A44"/>
    <w:rsid w:val="00892A59"/>
    <w:rsid w:val="00892BCA"/>
    <w:rsid w:val="0089325C"/>
    <w:rsid w:val="00893346"/>
    <w:rsid w:val="0089390C"/>
    <w:rsid w:val="00894611"/>
    <w:rsid w:val="00894B76"/>
    <w:rsid w:val="00894B7B"/>
    <w:rsid w:val="008953DB"/>
    <w:rsid w:val="008958AA"/>
    <w:rsid w:val="00895A23"/>
    <w:rsid w:val="00896067"/>
    <w:rsid w:val="008970AC"/>
    <w:rsid w:val="00897192"/>
    <w:rsid w:val="00897208"/>
    <w:rsid w:val="008973D4"/>
    <w:rsid w:val="00897CF0"/>
    <w:rsid w:val="00897F01"/>
    <w:rsid w:val="00897F88"/>
    <w:rsid w:val="00897FFB"/>
    <w:rsid w:val="008A0199"/>
    <w:rsid w:val="008A05BC"/>
    <w:rsid w:val="008A09C9"/>
    <w:rsid w:val="008A11B0"/>
    <w:rsid w:val="008A129F"/>
    <w:rsid w:val="008A160C"/>
    <w:rsid w:val="008A1748"/>
    <w:rsid w:val="008A1FB9"/>
    <w:rsid w:val="008A2D25"/>
    <w:rsid w:val="008A2E53"/>
    <w:rsid w:val="008A34FE"/>
    <w:rsid w:val="008A3977"/>
    <w:rsid w:val="008A4157"/>
    <w:rsid w:val="008A4BC6"/>
    <w:rsid w:val="008A5030"/>
    <w:rsid w:val="008A55E2"/>
    <w:rsid w:val="008A58D4"/>
    <w:rsid w:val="008A5C87"/>
    <w:rsid w:val="008A5D6C"/>
    <w:rsid w:val="008A6425"/>
    <w:rsid w:val="008A6895"/>
    <w:rsid w:val="008A72DD"/>
    <w:rsid w:val="008A78C7"/>
    <w:rsid w:val="008A7DC9"/>
    <w:rsid w:val="008A7EFF"/>
    <w:rsid w:val="008B0A9D"/>
    <w:rsid w:val="008B0ED6"/>
    <w:rsid w:val="008B0F0A"/>
    <w:rsid w:val="008B1AF8"/>
    <w:rsid w:val="008B1B34"/>
    <w:rsid w:val="008B1DF3"/>
    <w:rsid w:val="008B1F01"/>
    <w:rsid w:val="008B2159"/>
    <w:rsid w:val="008B23F7"/>
    <w:rsid w:val="008B2BD7"/>
    <w:rsid w:val="008B2D85"/>
    <w:rsid w:val="008B3094"/>
    <w:rsid w:val="008B36F8"/>
    <w:rsid w:val="008B3EBA"/>
    <w:rsid w:val="008B3FA8"/>
    <w:rsid w:val="008B4259"/>
    <w:rsid w:val="008B4868"/>
    <w:rsid w:val="008B4904"/>
    <w:rsid w:val="008B49DA"/>
    <w:rsid w:val="008B4B9C"/>
    <w:rsid w:val="008B4DB0"/>
    <w:rsid w:val="008B5060"/>
    <w:rsid w:val="008B5454"/>
    <w:rsid w:val="008B56CB"/>
    <w:rsid w:val="008B5A13"/>
    <w:rsid w:val="008B61F8"/>
    <w:rsid w:val="008B7128"/>
    <w:rsid w:val="008B73D6"/>
    <w:rsid w:val="008B7C15"/>
    <w:rsid w:val="008C07CE"/>
    <w:rsid w:val="008C0802"/>
    <w:rsid w:val="008C09FD"/>
    <w:rsid w:val="008C0A52"/>
    <w:rsid w:val="008C1171"/>
    <w:rsid w:val="008C1306"/>
    <w:rsid w:val="008C162D"/>
    <w:rsid w:val="008C1984"/>
    <w:rsid w:val="008C1BB6"/>
    <w:rsid w:val="008C2538"/>
    <w:rsid w:val="008C2766"/>
    <w:rsid w:val="008C2BA9"/>
    <w:rsid w:val="008C2E10"/>
    <w:rsid w:val="008C2F1D"/>
    <w:rsid w:val="008C363D"/>
    <w:rsid w:val="008C3D21"/>
    <w:rsid w:val="008C40C0"/>
    <w:rsid w:val="008C4C88"/>
    <w:rsid w:val="008C5567"/>
    <w:rsid w:val="008C5B4A"/>
    <w:rsid w:val="008C5C11"/>
    <w:rsid w:val="008C629C"/>
    <w:rsid w:val="008C65C9"/>
    <w:rsid w:val="008C6844"/>
    <w:rsid w:val="008C69E8"/>
    <w:rsid w:val="008C71AF"/>
    <w:rsid w:val="008C7606"/>
    <w:rsid w:val="008C7773"/>
    <w:rsid w:val="008C7BEA"/>
    <w:rsid w:val="008C7D03"/>
    <w:rsid w:val="008C7F17"/>
    <w:rsid w:val="008D01E0"/>
    <w:rsid w:val="008D02D9"/>
    <w:rsid w:val="008D0492"/>
    <w:rsid w:val="008D0766"/>
    <w:rsid w:val="008D0E0B"/>
    <w:rsid w:val="008D1703"/>
    <w:rsid w:val="008D17B9"/>
    <w:rsid w:val="008D1AF7"/>
    <w:rsid w:val="008D24B5"/>
    <w:rsid w:val="008D2530"/>
    <w:rsid w:val="008D258D"/>
    <w:rsid w:val="008D25C3"/>
    <w:rsid w:val="008D282B"/>
    <w:rsid w:val="008D2D9F"/>
    <w:rsid w:val="008D3238"/>
    <w:rsid w:val="008D3794"/>
    <w:rsid w:val="008D3862"/>
    <w:rsid w:val="008D3CF4"/>
    <w:rsid w:val="008D3F3B"/>
    <w:rsid w:val="008D4116"/>
    <w:rsid w:val="008D49AA"/>
    <w:rsid w:val="008D4B0D"/>
    <w:rsid w:val="008D4D19"/>
    <w:rsid w:val="008D4F12"/>
    <w:rsid w:val="008D5023"/>
    <w:rsid w:val="008D53F8"/>
    <w:rsid w:val="008D542D"/>
    <w:rsid w:val="008D6431"/>
    <w:rsid w:val="008D713B"/>
    <w:rsid w:val="008D7A70"/>
    <w:rsid w:val="008D7AD6"/>
    <w:rsid w:val="008D7B42"/>
    <w:rsid w:val="008D7B4F"/>
    <w:rsid w:val="008D7E86"/>
    <w:rsid w:val="008E1E85"/>
    <w:rsid w:val="008E24C5"/>
    <w:rsid w:val="008E252B"/>
    <w:rsid w:val="008E26B7"/>
    <w:rsid w:val="008E2B9C"/>
    <w:rsid w:val="008E426A"/>
    <w:rsid w:val="008E441E"/>
    <w:rsid w:val="008E4A6D"/>
    <w:rsid w:val="008E554F"/>
    <w:rsid w:val="008E58A7"/>
    <w:rsid w:val="008E5954"/>
    <w:rsid w:val="008E5E83"/>
    <w:rsid w:val="008E6A78"/>
    <w:rsid w:val="008E6B72"/>
    <w:rsid w:val="008E7247"/>
    <w:rsid w:val="008E761E"/>
    <w:rsid w:val="008E77D5"/>
    <w:rsid w:val="008E7927"/>
    <w:rsid w:val="008F048C"/>
    <w:rsid w:val="008F1257"/>
    <w:rsid w:val="008F1590"/>
    <w:rsid w:val="008F180D"/>
    <w:rsid w:val="008F1DE5"/>
    <w:rsid w:val="008F1F1D"/>
    <w:rsid w:val="008F2251"/>
    <w:rsid w:val="008F25A3"/>
    <w:rsid w:val="008F2D15"/>
    <w:rsid w:val="008F3043"/>
    <w:rsid w:val="008F3094"/>
    <w:rsid w:val="008F399D"/>
    <w:rsid w:val="008F4522"/>
    <w:rsid w:val="008F4AB1"/>
    <w:rsid w:val="008F4C3B"/>
    <w:rsid w:val="008F4F8E"/>
    <w:rsid w:val="008F574D"/>
    <w:rsid w:val="008F58FE"/>
    <w:rsid w:val="008F5B80"/>
    <w:rsid w:val="008F5F13"/>
    <w:rsid w:val="008F63CE"/>
    <w:rsid w:val="008F6567"/>
    <w:rsid w:val="008F6E9E"/>
    <w:rsid w:val="008F718B"/>
    <w:rsid w:val="008F722E"/>
    <w:rsid w:val="009003C1"/>
    <w:rsid w:val="00900564"/>
    <w:rsid w:val="00900D29"/>
    <w:rsid w:val="009011E4"/>
    <w:rsid w:val="0090186B"/>
    <w:rsid w:val="00901C5B"/>
    <w:rsid w:val="0090201B"/>
    <w:rsid w:val="0090202B"/>
    <w:rsid w:val="009022E0"/>
    <w:rsid w:val="009026FF"/>
    <w:rsid w:val="00902BFC"/>
    <w:rsid w:val="00903297"/>
    <w:rsid w:val="009032D2"/>
    <w:rsid w:val="00903881"/>
    <w:rsid w:val="0090395F"/>
    <w:rsid w:val="009039E4"/>
    <w:rsid w:val="00903FB6"/>
    <w:rsid w:val="00903FEE"/>
    <w:rsid w:val="00904AF5"/>
    <w:rsid w:val="00904B21"/>
    <w:rsid w:val="00904D52"/>
    <w:rsid w:val="00905492"/>
    <w:rsid w:val="009057F8"/>
    <w:rsid w:val="0090592B"/>
    <w:rsid w:val="00905EA0"/>
    <w:rsid w:val="00905FF9"/>
    <w:rsid w:val="00906242"/>
    <w:rsid w:val="00906758"/>
    <w:rsid w:val="00906D9B"/>
    <w:rsid w:val="00906ED3"/>
    <w:rsid w:val="009073CC"/>
    <w:rsid w:val="009075F2"/>
    <w:rsid w:val="0090772F"/>
    <w:rsid w:val="009079F9"/>
    <w:rsid w:val="00907B18"/>
    <w:rsid w:val="0091047D"/>
    <w:rsid w:val="00911409"/>
    <w:rsid w:val="00911624"/>
    <w:rsid w:val="00911C0D"/>
    <w:rsid w:val="00911CAB"/>
    <w:rsid w:val="0091221E"/>
    <w:rsid w:val="0091272B"/>
    <w:rsid w:val="00912CA5"/>
    <w:rsid w:val="00913318"/>
    <w:rsid w:val="009135F0"/>
    <w:rsid w:val="0091401B"/>
    <w:rsid w:val="00914465"/>
    <w:rsid w:val="00914AE8"/>
    <w:rsid w:val="00914FCD"/>
    <w:rsid w:val="0091538E"/>
    <w:rsid w:val="0091561A"/>
    <w:rsid w:val="00915B67"/>
    <w:rsid w:val="00915F2E"/>
    <w:rsid w:val="0091644D"/>
    <w:rsid w:val="009164FF"/>
    <w:rsid w:val="00916D28"/>
    <w:rsid w:val="00917697"/>
    <w:rsid w:val="00917A04"/>
    <w:rsid w:val="00917A77"/>
    <w:rsid w:val="009203B9"/>
    <w:rsid w:val="0092053F"/>
    <w:rsid w:val="00920B9D"/>
    <w:rsid w:val="00920E34"/>
    <w:rsid w:val="00920F1E"/>
    <w:rsid w:val="00921002"/>
    <w:rsid w:val="009214EE"/>
    <w:rsid w:val="009215E0"/>
    <w:rsid w:val="00921823"/>
    <w:rsid w:val="00921831"/>
    <w:rsid w:val="0092185D"/>
    <w:rsid w:val="00921F4A"/>
    <w:rsid w:val="0092201A"/>
    <w:rsid w:val="00922068"/>
    <w:rsid w:val="00922974"/>
    <w:rsid w:val="00922E64"/>
    <w:rsid w:val="00923495"/>
    <w:rsid w:val="009239B0"/>
    <w:rsid w:val="00923BFB"/>
    <w:rsid w:val="00923C60"/>
    <w:rsid w:val="00924275"/>
    <w:rsid w:val="00924292"/>
    <w:rsid w:val="009242DC"/>
    <w:rsid w:val="00924D75"/>
    <w:rsid w:val="009253E8"/>
    <w:rsid w:val="00925484"/>
    <w:rsid w:val="009261F7"/>
    <w:rsid w:val="00926430"/>
    <w:rsid w:val="009277D1"/>
    <w:rsid w:val="0092790C"/>
    <w:rsid w:val="00927AF1"/>
    <w:rsid w:val="00927CD6"/>
    <w:rsid w:val="0093023A"/>
    <w:rsid w:val="00930C24"/>
    <w:rsid w:val="00930EE5"/>
    <w:rsid w:val="00931D0F"/>
    <w:rsid w:val="00931F74"/>
    <w:rsid w:val="0093211F"/>
    <w:rsid w:val="0093235D"/>
    <w:rsid w:val="009327C7"/>
    <w:rsid w:val="0093314E"/>
    <w:rsid w:val="009331D0"/>
    <w:rsid w:val="0093333F"/>
    <w:rsid w:val="00933370"/>
    <w:rsid w:val="00933A3E"/>
    <w:rsid w:val="00933C56"/>
    <w:rsid w:val="00933ECF"/>
    <w:rsid w:val="0093422F"/>
    <w:rsid w:val="00934310"/>
    <w:rsid w:val="00934895"/>
    <w:rsid w:val="0093491C"/>
    <w:rsid w:val="00935304"/>
    <w:rsid w:val="00935F35"/>
    <w:rsid w:val="0093665B"/>
    <w:rsid w:val="009370DF"/>
    <w:rsid w:val="00937367"/>
    <w:rsid w:val="00937821"/>
    <w:rsid w:val="0094018B"/>
    <w:rsid w:val="00940A07"/>
    <w:rsid w:val="00940F06"/>
    <w:rsid w:val="00941DB7"/>
    <w:rsid w:val="0094206A"/>
    <w:rsid w:val="00942874"/>
    <w:rsid w:val="00942AAD"/>
    <w:rsid w:val="009432A7"/>
    <w:rsid w:val="0094491E"/>
    <w:rsid w:val="00945565"/>
    <w:rsid w:val="00945B8F"/>
    <w:rsid w:val="00945DC6"/>
    <w:rsid w:val="0094676E"/>
    <w:rsid w:val="00946959"/>
    <w:rsid w:val="00946B9F"/>
    <w:rsid w:val="00946F1E"/>
    <w:rsid w:val="0094704E"/>
    <w:rsid w:val="009478B2"/>
    <w:rsid w:val="00947DD1"/>
    <w:rsid w:val="00947E33"/>
    <w:rsid w:val="00950090"/>
    <w:rsid w:val="0095035A"/>
    <w:rsid w:val="0095037D"/>
    <w:rsid w:val="0095044A"/>
    <w:rsid w:val="00950783"/>
    <w:rsid w:val="0095186B"/>
    <w:rsid w:val="00951A88"/>
    <w:rsid w:val="009520BD"/>
    <w:rsid w:val="00952661"/>
    <w:rsid w:val="00952F01"/>
    <w:rsid w:val="0095355B"/>
    <w:rsid w:val="009537CA"/>
    <w:rsid w:val="0095392B"/>
    <w:rsid w:val="00953954"/>
    <w:rsid w:val="00953A04"/>
    <w:rsid w:val="00953A16"/>
    <w:rsid w:val="00953E20"/>
    <w:rsid w:val="00953FB3"/>
    <w:rsid w:val="0095494B"/>
    <w:rsid w:val="00954D52"/>
    <w:rsid w:val="00955027"/>
    <w:rsid w:val="00955EAB"/>
    <w:rsid w:val="00955EB4"/>
    <w:rsid w:val="009569E3"/>
    <w:rsid w:val="00956D3B"/>
    <w:rsid w:val="00956F75"/>
    <w:rsid w:val="00960612"/>
    <w:rsid w:val="00960832"/>
    <w:rsid w:val="00960F75"/>
    <w:rsid w:val="00961657"/>
    <w:rsid w:val="009623F4"/>
    <w:rsid w:val="00962419"/>
    <w:rsid w:val="00962932"/>
    <w:rsid w:val="00962981"/>
    <w:rsid w:val="009629B2"/>
    <w:rsid w:val="009639A1"/>
    <w:rsid w:val="00963E14"/>
    <w:rsid w:val="00964717"/>
    <w:rsid w:val="00964932"/>
    <w:rsid w:val="00964FCE"/>
    <w:rsid w:val="009656C5"/>
    <w:rsid w:val="00966883"/>
    <w:rsid w:val="00966DCF"/>
    <w:rsid w:val="00967E80"/>
    <w:rsid w:val="00967FA2"/>
    <w:rsid w:val="00970186"/>
    <w:rsid w:val="00970CAA"/>
    <w:rsid w:val="009710DA"/>
    <w:rsid w:val="009715D5"/>
    <w:rsid w:val="009716EA"/>
    <w:rsid w:val="00971906"/>
    <w:rsid w:val="00971A82"/>
    <w:rsid w:val="00971ACB"/>
    <w:rsid w:val="00971D0F"/>
    <w:rsid w:val="009721AA"/>
    <w:rsid w:val="00972F55"/>
    <w:rsid w:val="00973043"/>
    <w:rsid w:val="0097313E"/>
    <w:rsid w:val="009735A1"/>
    <w:rsid w:val="00973616"/>
    <w:rsid w:val="00973762"/>
    <w:rsid w:val="00973903"/>
    <w:rsid w:val="00973B31"/>
    <w:rsid w:val="00974F51"/>
    <w:rsid w:val="0097514B"/>
    <w:rsid w:val="00975537"/>
    <w:rsid w:val="009758CD"/>
    <w:rsid w:val="00975942"/>
    <w:rsid w:val="00975A6D"/>
    <w:rsid w:val="00975B5D"/>
    <w:rsid w:val="00976ABC"/>
    <w:rsid w:val="00976D73"/>
    <w:rsid w:val="00976FED"/>
    <w:rsid w:val="009776E5"/>
    <w:rsid w:val="00977811"/>
    <w:rsid w:val="00977AAD"/>
    <w:rsid w:val="00977DCD"/>
    <w:rsid w:val="00980006"/>
    <w:rsid w:val="00980316"/>
    <w:rsid w:val="00980ECB"/>
    <w:rsid w:val="00981699"/>
    <w:rsid w:val="009816DF"/>
    <w:rsid w:val="00981E8B"/>
    <w:rsid w:val="009820D2"/>
    <w:rsid w:val="00982161"/>
    <w:rsid w:val="009821BE"/>
    <w:rsid w:val="0098250B"/>
    <w:rsid w:val="009827A6"/>
    <w:rsid w:val="00982C16"/>
    <w:rsid w:val="00982E79"/>
    <w:rsid w:val="00983032"/>
    <w:rsid w:val="00983CE4"/>
    <w:rsid w:val="00983EF7"/>
    <w:rsid w:val="009843E3"/>
    <w:rsid w:val="0098456F"/>
    <w:rsid w:val="00984672"/>
    <w:rsid w:val="00984C78"/>
    <w:rsid w:val="00984C7D"/>
    <w:rsid w:val="0098547F"/>
    <w:rsid w:val="00985866"/>
    <w:rsid w:val="00985AB7"/>
    <w:rsid w:val="00985EE0"/>
    <w:rsid w:val="009862C5"/>
    <w:rsid w:val="0098649E"/>
    <w:rsid w:val="00986F85"/>
    <w:rsid w:val="00987214"/>
    <w:rsid w:val="00987476"/>
    <w:rsid w:val="00987AE8"/>
    <w:rsid w:val="00987EDF"/>
    <w:rsid w:val="009900E4"/>
    <w:rsid w:val="00990106"/>
    <w:rsid w:val="009902C0"/>
    <w:rsid w:val="00990E93"/>
    <w:rsid w:val="00990F00"/>
    <w:rsid w:val="009918BB"/>
    <w:rsid w:val="009919FE"/>
    <w:rsid w:val="00992624"/>
    <w:rsid w:val="0099288D"/>
    <w:rsid w:val="00993347"/>
    <w:rsid w:val="00994909"/>
    <w:rsid w:val="009949EB"/>
    <w:rsid w:val="00994DDC"/>
    <w:rsid w:val="00996600"/>
    <w:rsid w:val="0099690A"/>
    <w:rsid w:val="009969A3"/>
    <w:rsid w:val="00996A62"/>
    <w:rsid w:val="00997469"/>
    <w:rsid w:val="0099746C"/>
    <w:rsid w:val="00997597"/>
    <w:rsid w:val="009A0053"/>
    <w:rsid w:val="009A0BC6"/>
    <w:rsid w:val="009A0BFE"/>
    <w:rsid w:val="009A10F0"/>
    <w:rsid w:val="009A1138"/>
    <w:rsid w:val="009A12BD"/>
    <w:rsid w:val="009A1612"/>
    <w:rsid w:val="009A1932"/>
    <w:rsid w:val="009A1C37"/>
    <w:rsid w:val="009A22CD"/>
    <w:rsid w:val="009A22D3"/>
    <w:rsid w:val="009A2330"/>
    <w:rsid w:val="009A27C9"/>
    <w:rsid w:val="009A3026"/>
    <w:rsid w:val="009A4432"/>
    <w:rsid w:val="009A45A6"/>
    <w:rsid w:val="009A4728"/>
    <w:rsid w:val="009A474D"/>
    <w:rsid w:val="009A4E90"/>
    <w:rsid w:val="009A509B"/>
    <w:rsid w:val="009A58A6"/>
    <w:rsid w:val="009A61EE"/>
    <w:rsid w:val="009A68B0"/>
    <w:rsid w:val="009A6F4C"/>
    <w:rsid w:val="009A70D8"/>
    <w:rsid w:val="009A7659"/>
    <w:rsid w:val="009B0A24"/>
    <w:rsid w:val="009B0A4C"/>
    <w:rsid w:val="009B0DD0"/>
    <w:rsid w:val="009B159C"/>
    <w:rsid w:val="009B17C6"/>
    <w:rsid w:val="009B1FE5"/>
    <w:rsid w:val="009B2012"/>
    <w:rsid w:val="009B2328"/>
    <w:rsid w:val="009B2973"/>
    <w:rsid w:val="009B3051"/>
    <w:rsid w:val="009B3F80"/>
    <w:rsid w:val="009B461E"/>
    <w:rsid w:val="009B4C26"/>
    <w:rsid w:val="009B50F5"/>
    <w:rsid w:val="009B5989"/>
    <w:rsid w:val="009B5A4A"/>
    <w:rsid w:val="009B6088"/>
    <w:rsid w:val="009B68F1"/>
    <w:rsid w:val="009B7169"/>
    <w:rsid w:val="009B7699"/>
    <w:rsid w:val="009B77A6"/>
    <w:rsid w:val="009B7F3A"/>
    <w:rsid w:val="009B7F81"/>
    <w:rsid w:val="009C056B"/>
    <w:rsid w:val="009C093A"/>
    <w:rsid w:val="009C0C79"/>
    <w:rsid w:val="009C0E82"/>
    <w:rsid w:val="009C1053"/>
    <w:rsid w:val="009C1569"/>
    <w:rsid w:val="009C1FF2"/>
    <w:rsid w:val="009C258B"/>
    <w:rsid w:val="009C2BEF"/>
    <w:rsid w:val="009C2C83"/>
    <w:rsid w:val="009C2D72"/>
    <w:rsid w:val="009C32C9"/>
    <w:rsid w:val="009C3416"/>
    <w:rsid w:val="009C3606"/>
    <w:rsid w:val="009C3713"/>
    <w:rsid w:val="009C3912"/>
    <w:rsid w:val="009C3A3F"/>
    <w:rsid w:val="009C3E06"/>
    <w:rsid w:val="009C4378"/>
    <w:rsid w:val="009C44FF"/>
    <w:rsid w:val="009C4562"/>
    <w:rsid w:val="009C4574"/>
    <w:rsid w:val="009C49FA"/>
    <w:rsid w:val="009C563C"/>
    <w:rsid w:val="009C5DD5"/>
    <w:rsid w:val="009C5F9A"/>
    <w:rsid w:val="009C60BA"/>
    <w:rsid w:val="009C61A7"/>
    <w:rsid w:val="009C6215"/>
    <w:rsid w:val="009C64E1"/>
    <w:rsid w:val="009C6B81"/>
    <w:rsid w:val="009C7294"/>
    <w:rsid w:val="009C7C00"/>
    <w:rsid w:val="009C7F18"/>
    <w:rsid w:val="009D005F"/>
    <w:rsid w:val="009D036D"/>
    <w:rsid w:val="009D0686"/>
    <w:rsid w:val="009D07C0"/>
    <w:rsid w:val="009D125B"/>
    <w:rsid w:val="009D14C6"/>
    <w:rsid w:val="009D1671"/>
    <w:rsid w:val="009D1C43"/>
    <w:rsid w:val="009D23A8"/>
    <w:rsid w:val="009D2554"/>
    <w:rsid w:val="009D2B52"/>
    <w:rsid w:val="009D3285"/>
    <w:rsid w:val="009D35A5"/>
    <w:rsid w:val="009D3C71"/>
    <w:rsid w:val="009D3D07"/>
    <w:rsid w:val="009D40CB"/>
    <w:rsid w:val="009D4173"/>
    <w:rsid w:val="009D4412"/>
    <w:rsid w:val="009D451B"/>
    <w:rsid w:val="009D495C"/>
    <w:rsid w:val="009D4965"/>
    <w:rsid w:val="009D4D04"/>
    <w:rsid w:val="009D5022"/>
    <w:rsid w:val="009D5517"/>
    <w:rsid w:val="009D5777"/>
    <w:rsid w:val="009D58C8"/>
    <w:rsid w:val="009D5CE9"/>
    <w:rsid w:val="009D5DA3"/>
    <w:rsid w:val="009D5E23"/>
    <w:rsid w:val="009D67A5"/>
    <w:rsid w:val="009D6B54"/>
    <w:rsid w:val="009D6CEB"/>
    <w:rsid w:val="009D769E"/>
    <w:rsid w:val="009D7B42"/>
    <w:rsid w:val="009D7D92"/>
    <w:rsid w:val="009D7DCA"/>
    <w:rsid w:val="009D7E3F"/>
    <w:rsid w:val="009D7F50"/>
    <w:rsid w:val="009E08B9"/>
    <w:rsid w:val="009E0F6F"/>
    <w:rsid w:val="009E1C36"/>
    <w:rsid w:val="009E24FE"/>
    <w:rsid w:val="009E2C3F"/>
    <w:rsid w:val="009E2FA5"/>
    <w:rsid w:val="009E331E"/>
    <w:rsid w:val="009E33B2"/>
    <w:rsid w:val="009E33DD"/>
    <w:rsid w:val="009E3BBB"/>
    <w:rsid w:val="009E43B7"/>
    <w:rsid w:val="009E4AC1"/>
    <w:rsid w:val="009E5B55"/>
    <w:rsid w:val="009E5DFD"/>
    <w:rsid w:val="009E63A7"/>
    <w:rsid w:val="009E644C"/>
    <w:rsid w:val="009E6539"/>
    <w:rsid w:val="009E6A9A"/>
    <w:rsid w:val="009E6B5E"/>
    <w:rsid w:val="009E71FC"/>
    <w:rsid w:val="009E72E4"/>
    <w:rsid w:val="009E7DB4"/>
    <w:rsid w:val="009E7DFE"/>
    <w:rsid w:val="009E7EC7"/>
    <w:rsid w:val="009F0102"/>
    <w:rsid w:val="009F0147"/>
    <w:rsid w:val="009F04DC"/>
    <w:rsid w:val="009F09AA"/>
    <w:rsid w:val="009F10D1"/>
    <w:rsid w:val="009F172A"/>
    <w:rsid w:val="009F17A1"/>
    <w:rsid w:val="009F1C23"/>
    <w:rsid w:val="009F1FD9"/>
    <w:rsid w:val="009F248F"/>
    <w:rsid w:val="009F2A0E"/>
    <w:rsid w:val="009F2E08"/>
    <w:rsid w:val="009F2EAD"/>
    <w:rsid w:val="009F34C9"/>
    <w:rsid w:val="009F3B5F"/>
    <w:rsid w:val="009F3C69"/>
    <w:rsid w:val="009F41A4"/>
    <w:rsid w:val="009F41EA"/>
    <w:rsid w:val="009F5932"/>
    <w:rsid w:val="009F59CC"/>
    <w:rsid w:val="009F69F2"/>
    <w:rsid w:val="009F6EF2"/>
    <w:rsid w:val="009F6F3B"/>
    <w:rsid w:val="009F7980"/>
    <w:rsid w:val="009F7A77"/>
    <w:rsid w:val="00A00C5B"/>
    <w:rsid w:val="00A00DBB"/>
    <w:rsid w:val="00A01018"/>
    <w:rsid w:val="00A012B1"/>
    <w:rsid w:val="00A012E4"/>
    <w:rsid w:val="00A01DA5"/>
    <w:rsid w:val="00A025BB"/>
    <w:rsid w:val="00A029B7"/>
    <w:rsid w:val="00A030AB"/>
    <w:rsid w:val="00A03C3B"/>
    <w:rsid w:val="00A04157"/>
    <w:rsid w:val="00A042A8"/>
    <w:rsid w:val="00A043EE"/>
    <w:rsid w:val="00A045CE"/>
    <w:rsid w:val="00A04781"/>
    <w:rsid w:val="00A049A4"/>
    <w:rsid w:val="00A04B4A"/>
    <w:rsid w:val="00A0520F"/>
    <w:rsid w:val="00A053EA"/>
    <w:rsid w:val="00A053FF"/>
    <w:rsid w:val="00A05673"/>
    <w:rsid w:val="00A05AAB"/>
    <w:rsid w:val="00A060FD"/>
    <w:rsid w:val="00A06376"/>
    <w:rsid w:val="00A06881"/>
    <w:rsid w:val="00A06C6D"/>
    <w:rsid w:val="00A06D0D"/>
    <w:rsid w:val="00A06DE1"/>
    <w:rsid w:val="00A07732"/>
    <w:rsid w:val="00A07860"/>
    <w:rsid w:val="00A101A1"/>
    <w:rsid w:val="00A1029A"/>
    <w:rsid w:val="00A106CB"/>
    <w:rsid w:val="00A108C1"/>
    <w:rsid w:val="00A10ABB"/>
    <w:rsid w:val="00A11ED2"/>
    <w:rsid w:val="00A11F39"/>
    <w:rsid w:val="00A11F92"/>
    <w:rsid w:val="00A123FA"/>
    <w:rsid w:val="00A12849"/>
    <w:rsid w:val="00A12992"/>
    <w:rsid w:val="00A12D72"/>
    <w:rsid w:val="00A135BD"/>
    <w:rsid w:val="00A13CD4"/>
    <w:rsid w:val="00A14434"/>
    <w:rsid w:val="00A14AAE"/>
    <w:rsid w:val="00A14D69"/>
    <w:rsid w:val="00A14F81"/>
    <w:rsid w:val="00A1505B"/>
    <w:rsid w:val="00A15489"/>
    <w:rsid w:val="00A158C3"/>
    <w:rsid w:val="00A15A0E"/>
    <w:rsid w:val="00A15BAE"/>
    <w:rsid w:val="00A15C3E"/>
    <w:rsid w:val="00A1609D"/>
    <w:rsid w:val="00A163C7"/>
    <w:rsid w:val="00A165F6"/>
    <w:rsid w:val="00A16667"/>
    <w:rsid w:val="00A166DE"/>
    <w:rsid w:val="00A1672A"/>
    <w:rsid w:val="00A16D8D"/>
    <w:rsid w:val="00A17172"/>
    <w:rsid w:val="00A1784B"/>
    <w:rsid w:val="00A17DFD"/>
    <w:rsid w:val="00A17E82"/>
    <w:rsid w:val="00A17EAE"/>
    <w:rsid w:val="00A17F21"/>
    <w:rsid w:val="00A206E1"/>
    <w:rsid w:val="00A215E1"/>
    <w:rsid w:val="00A219F2"/>
    <w:rsid w:val="00A21E8B"/>
    <w:rsid w:val="00A22396"/>
    <w:rsid w:val="00A22628"/>
    <w:rsid w:val="00A2266D"/>
    <w:rsid w:val="00A22F9C"/>
    <w:rsid w:val="00A23531"/>
    <w:rsid w:val="00A23866"/>
    <w:rsid w:val="00A24659"/>
    <w:rsid w:val="00A24CD8"/>
    <w:rsid w:val="00A24DF4"/>
    <w:rsid w:val="00A2563A"/>
    <w:rsid w:val="00A257A4"/>
    <w:rsid w:val="00A25904"/>
    <w:rsid w:val="00A26129"/>
    <w:rsid w:val="00A2613A"/>
    <w:rsid w:val="00A26785"/>
    <w:rsid w:val="00A26989"/>
    <w:rsid w:val="00A26E23"/>
    <w:rsid w:val="00A27338"/>
    <w:rsid w:val="00A274AE"/>
    <w:rsid w:val="00A276AC"/>
    <w:rsid w:val="00A3013A"/>
    <w:rsid w:val="00A3032C"/>
    <w:rsid w:val="00A30494"/>
    <w:rsid w:val="00A304F2"/>
    <w:rsid w:val="00A305E8"/>
    <w:rsid w:val="00A30622"/>
    <w:rsid w:val="00A30773"/>
    <w:rsid w:val="00A30E29"/>
    <w:rsid w:val="00A31B31"/>
    <w:rsid w:val="00A329F6"/>
    <w:rsid w:val="00A339C9"/>
    <w:rsid w:val="00A33A42"/>
    <w:rsid w:val="00A33B09"/>
    <w:rsid w:val="00A33F15"/>
    <w:rsid w:val="00A34B84"/>
    <w:rsid w:val="00A34C4C"/>
    <w:rsid w:val="00A356FD"/>
    <w:rsid w:val="00A3593E"/>
    <w:rsid w:val="00A359F2"/>
    <w:rsid w:val="00A35D08"/>
    <w:rsid w:val="00A35F73"/>
    <w:rsid w:val="00A3688B"/>
    <w:rsid w:val="00A374D9"/>
    <w:rsid w:val="00A379DC"/>
    <w:rsid w:val="00A4019B"/>
    <w:rsid w:val="00A402AD"/>
    <w:rsid w:val="00A4046D"/>
    <w:rsid w:val="00A4069E"/>
    <w:rsid w:val="00A4086F"/>
    <w:rsid w:val="00A40E47"/>
    <w:rsid w:val="00A41135"/>
    <w:rsid w:val="00A41167"/>
    <w:rsid w:val="00A412C9"/>
    <w:rsid w:val="00A41C47"/>
    <w:rsid w:val="00A4215D"/>
    <w:rsid w:val="00A4236E"/>
    <w:rsid w:val="00A42B29"/>
    <w:rsid w:val="00A42E7A"/>
    <w:rsid w:val="00A437D8"/>
    <w:rsid w:val="00A43B1A"/>
    <w:rsid w:val="00A441C9"/>
    <w:rsid w:val="00A44497"/>
    <w:rsid w:val="00A44536"/>
    <w:rsid w:val="00A4465E"/>
    <w:rsid w:val="00A44674"/>
    <w:rsid w:val="00A446BA"/>
    <w:rsid w:val="00A44808"/>
    <w:rsid w:val="00A44924"/>
    <w:rsid w:val="00A44DE3"/>
    <w:rsid w:val="00A44E0C"/>
    <w:rsid w:val="00A450DA"/>
    <w:rsid w:val="00A45518"/>
    <w:rsid w:val="00A45948"/>
    <w:rsid w:val="00A45988"/>
    <w:rsid w:val="00A46436"/>
    <w:rsid w:val="00A46DA8"/>
    <w:rsid w:val="00A4771D"/>
    <w:rsid w:val="00A47A6F"/>
    <w:rsid w:val="00A51074"/>
    <w:rsid w:val="00A51337"/>
    <w:rsid w:val="00A514F7"/>
    <w:rsid w:val="00A51B3C"/>
    <w:rsid w:val="00A51BDB"/>
    <w:rsid w:val="00A520D8"/>
    <w:rsid w:val="00A528AA"/>
    <w:rsid w:val="00A52931"/>
    <w:rsid w:val="00A529CB"/>
    <w:rsid w:val="00A53102"/>
    <w:rsid w:val="00A531C3"/>
    <w:rsid w:val="00A533F9"/>
    <w:rsid w:val="00A539ED"/>
    <w:rsid w:val="00A53D56"/>
    <w:rsid w:val="00A5405C"/>
    <w:rsid w:val="00A54766"/>
    <w:rsid w:val="00A54786"/>
    <w:rsid w:val="00A548F7"/>
    <w:rsid w:val="00A54C1C"/>
    <w:rsid w:val="00A552DB"/>
    <w:rsid w:val="00A5540C"/>
    <w:rsid w:val="00A55D43"/>
    <w:rsid w:val="00A55E50"/>
    <w:rsid w:val="00A56BF4"/>
    <w:rsid w:val="00A56CEC"/>
    <w:rsid w:val="00A56F80"/>
    <w:rsid w:val="00A572D8"/>
    <w:rsid w:val="00A577F0"/>
    <w:rsid w:val="00A600D9"/>
    <w:rsid w:val="00A603FA"/>
    <w:rsid w:val="00A60410"/>
    <w:rsid w:val="00A60640"/>
    <w:rsid w:val="00A60D8F"/>
    <w:rsid w:val="00A6100D"/>
    <w:rsid w:val="00A614F9"/>
    <w:rsid w:val="00A6174A"/>
    <w:rsid w:val="00A61A51"/>
    <w:rsid w:val="00A61F78"/>
    <w:rsid w:val="00A6255F"/>
    <w:rsid w:val="00A62A13"/>
    <w:rsid w:val="00A630B9"/>
    <w:rsid w:val="00A637DB"/>
    <w:rsid w:val="00A63915"/>
    <w:rsid w:val="00A63A6D"/>
    <w:rsid w:val="00A6450F"/>
    <w:rsid w:val="00A64835"/>
    <w:rsid w:val="00A648ED"/>
    <w:rsid w:val="00A65071"/>
    <w:rsid w:val="00A65073"/>
    <w:rsid w:val="00A65795"/>
    <w:rsid w:val="00A65A00"/>
    <w:rsid w:val="00A65C35"/>
    <w:rsid w:val="00A65C7A"/>
    <w:rsid w:val="00A6622F"/>
    <w:rsid w:val="00A6658E"/>
    <w:rsid w:val="00A66734"/>
    <w:rsid w:val="00A66815"/>
    <w:rsid w:val="00A66AAA"/>
    <w:rsid w:val="00A66B28"/>
    <w:rsid w:val="00A6703F"/>
    <w:rsid w:val="00A67775"/>
    <w:rsid w:val="00A67C23"/>
    <w:rsid w:val="00A67F1E"/>
    <w:rsid w:val="00A700CB"/>
    <w:rsid w:val="00A70501"/>
    <w:rsid w:val="00A70646"/>
    <w:rsid w:val="00A70776"/>
    <w:rsid w:val="00A70A63"/>
    <w:rsid w:val="00A70E60"/>
    <w:rsid w:val="00A70E65"/>
    <w:rsid w:val="00A71032"/>
    <w:rsid w:val="00A71099"/>
    <w:rsid w:val="00A710DD"/>
    <w:rsid w:val="00A713E1"/>
    <w:rsid w:val="00A71688"/>
    <w:rsid w:val="00A71C11"/>
    <w:rsid w:val="00A7282E"/>
    <w:rsid w:val="00A72A0C"/>
    <w:rsid w:val="00A73497"/>
    <w:rsid w:val="00A73851"/>
    <w:rsid w:val="00A73881"/>
    <w:rsid w:val="00A73E4B"/>
    <w:rsid w:val="00A73FE7"/>
    <w:rsid w:val="00A751B1"/>
    <w:rsid w:val="00A7574D"/>
    <w:rsid w:val="00A76686"/>
    <w:rsid w:val="00A7669A"/>
    <w:rsid w:val="00A76D17"/>
    <w:rsid w:val="00A77293"/>
    <w:rsid w:val="00A775AD"/>
    <w:rsid w:val="00A804AF"/>
    <w:rsid w:val="00A8069A"/>
    <w:rsid w:val="00A80AB2"/>
    <w:rsid w:val="00A80ABD"/>
    <w:rsid w:val="00A80AE0"/>
    <w:rsid w:val="00A80BC9"/>
    <w:rsid w:val="00A80C0A"/>
    <w:rsid w:val="00A80C13"/>
    <w:rsid w:val="00A81107"/>
    <w:rsid w:val="00A8120A"/>
    <w:rsid w:val="00A81A05"/>
    <w:rsid w:val="00A81D9E"/>
    <w:rsid w:val="00A81E14"/>
    <w:rsid w:val="00A82581"/>
    <w:rsid w:val="00A83092"/>
    <w:rsid w:val="00A8335E"/>
    <w:rsid w:val="00A83550"/>
    <w:rsid w:val="00A8393A"/>
    <w:rsid w:val="00A83961"/>
    <w:rsid w:val="00A83C12"/>
    <w:rsid w:val="00A8423E"/>
    <w:rsid w:val="00A84628"/>
    <w:rsid w:val="00A84E43"/>
    <w:rsid w:val="00A84FCB"/>
    <w:rsid w:val="00A852D6"/>
    <w:rsid w:val="00A85837"/>
    <w:rsid w:val="00A859A9"/>
    <w:rsid w:val="00A860FB"/>
    <w:rsid w:val="00A8641F"/>
    <w:rsid w:val="00A86433"/>
    <w:rsid w:val="00A870B5"/>
    <w:rsid w:val="00A879F3"/>
    <w:rsid w:val="00A90766"/>
    <w:rsid w:val="00A90C7B"/>
    <w:rsid w:val="00A9108F"/>
    <w:rsid w:val="00A9142E"/>
    <w:rsid w:val="00A9171A"/>
    <w:rsid w:val="00A919F0"/>
    <w:rsid w:val="00A9251D"/>
    <w:rsid w:val="00A92814"/>
    <w:rsid w:val="00A92BC8"/>
    <w:rsid w:val="00A92D06"/>
    <w:rsid w:val="00A92E81"/>
    <w:rsid w:val="00A92FB6"/>
    <w:rsid w:val="00A93564"/>
    <w:rsid w:val="00A93A0B"/>
    <w:rsid w:val="00A93A7C"/>
    <w:rsid w:val="00A93C02"/>
    <w:rsid w:val="00A9423A"/>
    <w:rsid w:val="00A9453D"/>
    <w:rsid w:val="00A9488A"/>
    <w:rsid w:val="00A94A79"/>
    <w:rsid w:val="00A94BF8"/>
    <w:rsid w:val="00A9519A"/>
    <w:rsid w:val="00A9709E"/>
    <w:rsid w:val="00AA021B"/>
    <w:rsid w:val="00AA15F1"/>
    <w:rsid w:val="00AA1895"/>
    <w:rsid w:val="00AA1B7B"/>
    <w:rsid w:val="00AA1D32"/>
    <w:rsid w:val="00AA1EA9"/>
    <w:rsid w:val="00AA1FC1"/>
    <w:rsid w:val="00AA214D"/>
    <w:rsid w:val="00AA2295"/>
    <w:rsid w:val="00AA2599"/>
    <w:rsid w:val="00AA2714"/>
    <w:rsid w:val="00AA2B86"/>
    <w:rsid w:val="00AA2C30"/>
    <w:rsid w:val="00AA2DB9"/>
    <w:rsid w:val="00AA3682"/>
    <w:rsid w:val="00AA3A39"/>
    <w:rsid w:val="00AA3EC7"/>
    <w:rsid w:val="00AA45FC"/>
    <w:rsid w:val="00AA5105"/>
    <w:rsid w:val="00AA5839"/>
    <w:rsid w:val="00AA6156"/>
    <w:rsid w:val="00AA6870"/>
    <w:rsid w:val="00AA6970"/>
    <w:rsid w:val="00AA6B59"/>
    <w:rsid w:val="00AA6DB5"/>
    <w:rsid w:val="00AA6E41"/>
    <w:rsid w:val="00AA7146"/>
    <w:rsid w:val="00AA7BF0"/>
    <w:rsid w:val="00AA7E79"/>
    <w:rsid w:val="00AB0166"/>
    <w:rsid w:val="00AB0293"/>
    <w:rsid w:val="00AB04CD"/>
    <w:rsid w:val="00AB0564"/>
    <w:rsid w:val="00AB0694"/>
    <w:rsid w:val="00AB08B2"/>
    <w:rsid w:val="00AB1221"/>
    <w:rsid w:val="00AB162A"/>
    <w:rsid w:val="00AB1C33"/>
    <w:rsid w:val="00AB1F44"/>
    <w:rsid w:val="00AB2092"/>
    <w:rsid w:val="00AB2238"/>
    <w:rsid w:val="00AB28A4"/>
    <w:rsid w:val="00AB2EA9"/>
    <w:rsid w:val="00AB4764"/>
    <w:rsid w:val="00AB49C7"/>
    <w:rsid w:val="00AB5D9D"/>
    <w:rsid w:val="00AB61FF"/>
    <w:rsid w:val="00AB6C21"/>
    <w:rsid w:val="00AB71AF"/>
    <w:rsid w:val="00AB787C"/>
    <w:rsid w:val="00AC0285"/>
    <w:rsid w:val="00AC0D65"/>
    <w:rsid w:val="00AC1024"/>
    <w:rsid w:val="00AC1131"/>
    <w:rsid w:val="00AC1220"/>
    <w:rsid w:val="00AC1337"/>
    <w:rsid w:val="00AC146D"/>
    <w:rsid w:val="00AC2013"/>
    <w:rsid w:val="00AC2657"/>
    <w:rsid w:val="00AC26BB"/>
    <w:rsid w:val="00AC2B85"/>
    <w:rsid w:val="00AC37C3"/>
    <w:rsid w:val="00AC41DA"/>
    <w:rsid w:val="00AC4764"/>
    <w:rsid w:val="00AC4C0A"/>
    <w:rsid w:val="00AC4F53"/>
    <w:rsid w:val="00AC533D"/>
    <w:rsid w:val="00AC642F"/>
    <w:rsid w:val="00AC66A9"/>
    <w:rsid w:val="00AC6855"/>
    <w:rsid w:val="00AC6F75"/>
    <w:rsid w:val="00AC73C9"/>
    <w:rsid w:val="00AC7414"/>
    <w:rsid w:val="00AC79ED"/>
    <w:rsid w:val="00AC7B7E"/>
    <w:rsid w:val="00AD06BD"/>
    <w:rsid w:val="00AD0768"/>
    <w:rsid w:val="00AD0B23"/>
    <w:rsid w:val="00AD0CD2"/>
    <w:rsid w:val="00AD1069"/>
    <w:rsid w:val="00AD17F1"/>
    <w:rsid w:val="00AD1B94"/>
    <w:rsid w:val="00AD3538"/>
    <w:rsid w:val="00AD4597"/>
    <w:rsid w:val="00AD4747"/>
    <w:rsid w:val="00AD4FC1"/>
    <w:rsid w:val="00AD53B3"/>
    <w:rsid w:val="00AD5422"/>
    <w:rsid w:val="00AD55B1"/>
    <w:rsid w:val="00AD570B"/>
    <w:rsid w:val="00AD59D3"/>
    <w:rsid w:val="00AD5A43"/>
    <w:rsid w:val="00AD5C98"/>
    <w:rsid w:val="00AD63D9"/>
    <w:rsid w:val="00AD72DA"/>
    <w:rsid w:val="00AD752D"/>
    <w:rsid w:val="00AD7615"/>
    <w:rsid w:val="00AD7985"/>
    <w:rsid w:val="00AD7DC3"/>
    <w:rsid w:val="00AD7F6B"/>
    <w:rsid w:val="00AE02EB"/>
    <w:rsid w:val="00AE03BF"/>
    <w:rsid w:val="00AE0BF2"/>
    <w:rsid w:val="00AE120C"/>
    <w:rsid w:val="00AE1C54"/>
    <w:rsid w:val="00AE1DA2"/>
    <w:rsid w:val="00AE2595"/>
    <w:rsid w:val="00AE2A75"/>
    <w:rsid w:val="00AE2F4A"/>
    <w:rsid w:val="00AE3186"/>
    <w:rsid w:val="00AE345D"/>
    <w:rsid w:val="00AE3992"/>
    <w:rsid w:val="00AE4B35"/>
    <w:rsid w:val="00AE4DDC"/>
    <w:rsid w:val="00AE502E"/>
    <w:rsid w:val="00AE5C4F"/>
    <w:rsid w:val="00AE6791"/>
    <w:rsid w:val="00AE748A"/>
    <w:rsid w:val="00AE7597"/>
    <w:rsid w:val="00AE75CD"/>
    <w:rsid w:val="00AE789C"/>
    <w:rsid w:val="00AE7AD0"/>
    <w:rsid w:val="00AE7D4A"/>
    <w:rsid w:val="00AE7E74"/>
    <w:rsid w:val="00AF02BD"/>
    <w:rsid w:val="00AF08F5"/>
    <w:rsid w:val="00AF0939"/>
    <w:rsid w:val="00AF0972"/>
    <w:rsid w:val="00AF0EB9"/>
    <w:rsid w:val="00AF149F"/>
    <w:rsid w:val="00AF1974"/>
    <w:rsid w:val="00AF1E0C"/>
    <w:rsid w:val="00AF273D"/>
    <w:rsid w:val="00AF27E8"/>
    <w:rsid w:val="00AF315D"/>
    <w:rsid w:val="00AF34F8"/>
    <w:rsid w:val="00AF3A82"/>
    <w:rsid w:val="00AF4084"/>
    <w:rsid w:val="00AF41CF"/>
    <w:rsid w:val="00AF41F0"/>
    <w:rsid w:val="00AF48B9"/>
    <w:rsid w:val="00AF4D44"/>
    <w:rsid w:val="00AF51E6"/>
    <w:rsid w:val="00AF60F2"/>
    <w:rsid w:val="00AF6164"/>
    <w:rsid w:val="00AF63EB"/>
    <w:rsid w:val="00AF66F3"/>
    <w:rsid w:val="00AF7345"/>
    <w:rsid w:val="00AF7AAB"/>
    <w:rsid w:val="00AF7E2E"/>
    <w:rsid w:val="00B00299"/>
    <w:rsid w:val="00B00814"/>
    <w:rsid w:val="00B00904"/>
    <w:rsid w:val="00B01E03"/>
    <w:rsid w:val="00B0225C"/>
    <w:rsid w:val="00B02CD4"/>
    <w:rsid w:val="00B03F97"/>
    <w:rsid w:val="00B04126"/>
    <w:rsid w:val="00B044A9"/>
    <w:rsid w:val="00B04CDB"/>
    <w:rsid w:val="00B04EC4"/>
    <w:rsid w:val="00B052F4"/>
    <w:rsid w:val="00B05920"/>
    <w:rsid w:val="00B05DAE"/>
    <w:rsid w:val="00B05EB9"/>
    <w:rsid w:val="00B061AD"/>
    <w:rsid w:val="00B066BB"/>
    <w:rsid w:val="00B069B6"/>
    <w:rsid w:val="00B069C6"/>
    <w:rsid w:val="00B06AC4"/>
    <w:rsid w:val="00B06C26"/>
    <w:rsid w:val="00B06CFD"/>
    <w:rsid w:val="00B06D2C"/>
    <w:rsid w:val="00B06DB5"/>
    <w:rsid w:val="00B06EC2"/>
    <w:rsid w:val="00B07286"/>
    <w:rsid w:val="00B076DC"/>
    <w:rsid w:val="00B07DAB"/>
    <w:rsid w:val="00B1012C"/>
    <w:rsid w:val="00B10414"/>
    <w:rsid w:val="00B10EFA"/>
    <w:rsid w:val="00B11268"/>
    <w:rsid w:val="00B115E4"/>
    <w:rsid w:val="00B11603"/>
    <w:rsid w:val="00B117A5"/>
    <w:rsid w:val="00B11A95"/>
    <w:rsid w:val="00B12332"/>
    <w:rsid w:val="00B12896"/>
    <w:rsid w:val="00B12B0C"/>
    <w:rsid w:val="00B12E87"/>
    <w:rsid w:val="00B132C7"/>
    <w:rsid w:val="00B133E7"/>
    <w:rsid w:val="00B136C3"/>
    <w:rsid w:val="00B136F3"/>
    <w:rsid w:val="00B13F3C"/>
    <w:rsid w:val="00B141F8"/>
    <w:rsid w:val="00B1545A"/>
    <w:rsid w:val="00B1573E"/>
    <w:rsid w:val="00B15822"/>
    <w:rsid w:val="00B15BF9"/>
    <w:rsid w:val="00B15CFA"/>
    <w:rsid w:val="00B15D43"/>
    <w:rsid w:val="00B16082"/>
    <w:rsid w:val="00B16C2E"/>
    <w:rsid w:val="00B1712D"/>
    <w:rsid w:val="00B1739D"/>
    <w:rsid w:val="00B173E1"/>
    <w:rsid w:val="00B174DA"/>
    <w:rsid w:val="00B175A9"/>
    <w:rsid w:val="00B17603"/>
    <w:rsid w:val="00B1760C"/>
    <w:rsid w:val="00B17654"/>
    <w:rsid w:val="00B17AB6"/>
    <w:rsid w:val="00B216D3"/>
    <w:rsid w:val="00B22058"/>
    <w:rsid w:val="00B226F4"/>
    <w:rsid w:val="00B229B2"/>
    <w:rsid w:val="00B22CCB"/>
    <w:rsid w:val="00B22D2C"/>
    <w:rsid w:val="00B22DE1"/>
    <w:rsid w:val="00B2369A"/>
    <w:rsid w:val="00B23806"/>
    <w:rsid w:val="00B2443F"/>
    <w:rsid w:val="00B24464"/>
    <w:rsid w:val="00B24577"/>
    <w:rsid w:val="00B245A8"/>
    <w:rsid w:val="00B24ED8"/>
    <w:rsid w:val="00B2538C"/>
    <w:rsid w:val="00B25DCC"/>
    <w:rsid w:val="00B25E13"/>
    <w:rsid w:val="00B25F8F"/>
    <w:rsid w:val="00B265F9"/>
    <w:rsid w:val="00B26678"/>
    <w:rsid w:val="00B26CFC"/>
    <w:rsid w:val="00B301FD"/>
    <w:rsid w:val="00B303CD"/>
    <w:rsid w:val="00B3080C"/>
    <w:rsid w:val="00B31D36"/>
    <w:rsid w:val="00B3239F"/>
    <w:rsid w:val="00B32501"/>
    <w:rsid w:val="00B32867"/>
    <w:rsid w:val="00B32997"/>
    <w:rsid w:val="00B32D2E"/>
    <w:rsid w:val="00B33245"/>
    <w:rsid w:val="00B33442"/>
    <w:rsid w:val="00B33B8C"/>
    <w:rsid w:val="00B33DF9"/>
    <w:rsid w:val="00B33E11"/>
    <w:rsid w:val="00B34D3F"/>
    <w:rsid w:val="00B35002"/>
    <w:rsid w:val="00B35252"/>
    <w:rsid w:val="00B3545D"/>
    <w:rsid w:val="00B35A15"/>
    <w:rsid w:val="00B37032"/>
    <w:rsid w:val="00B37482"/>
    <w:rsid w:val="00B40120"/>
    <w:rsid w:val="00B4028F"/>
    <w:rsid w:val="00B4046E"/>
    <w:rsid w:val="00B40D1B"/>
    <w:rsid w:val="00B41182"/>
    <w:rsid w:val="00B41372"/>
    <w:rsid w:val="00B41E8E"/>
    <w:rsid w:val="00B42A17"/>
    <w:rsid w:val="00B42C2E"/>
    <w:rsid w:val="00B42C4B"/>
    <w:rsid w:val="00B42E81"/>
    <w:rsid w:val="00B4370C"/>
    <w:rsid w:val="00B43A45"/>
    <w:rsid w:val="00B43BB9"/>
    <w:rsid w:val="00B43E97"/>
    <w:rsid w:val="00B44329"/>
    <w:rsid w:val="00B444EA"/>
    <w:rsid w:val="00B4471E"/>
    <w:rsid w:val="00B4476D"/>
    <w:rsid w:val="00B448BB"/>
    <w:rsid w:val="00B44FEA"/>
    <w:rsid w:val="00B45631"/>
    <w:rsid w:val="00B456E6"/>
    <w:rsid w:val="00B46F91"/>
    <w:rsid w:val="00B471B7"/>
    <w:rsid w:val="00B47674"/>
    <w:rsid w:val="00B47AC4"/>
    <w:rsid w:val="00B47F8B"/>
    <w:rsid w:val="00B50127"/>
    <w:rsid w:val="00B505F1"/>
    <w:rsid w:val="00B511A3"/>
    <w:rsid w:val="00B5172E"/>
    <w:rsid w:val="00B51757"/>
    <w:rsid w:val="00B51B3E"/>
    <w:rsid w:val="00B51FB7"/>
    <w:rsid w:val="00B52389"/>
    <w:rsid w:val="00B524A4"/>
    <w:rsid w:val="00B5268C"/>
    <w:rsid w:val="00B52D48"/>
    <w:rsid w:val="00B531BA"/>
    <w:rsid w:val="00B5324D"/>
    <w:rsid w:val="00B53486"/>
    <w:rsid w:val="00B534B6"/>
    <w:rsid w:val="00B53724"/>
    <w:rsid w:val="00B53C71"/>
    <w:rsid w:val="00B53F90"/>
    <w:rsid w:val="00B54388"/>
    <w:rsid w:val="00B54471"/>
    <w:rsid w:val="00B546CF"/>
    <w:rsid w:val="00B546FC"/>
    <w:rsid w:val="00B54763"/>
    <w:rsid w:val="00B54AA2"/>
    <w:rsid w:val="00B54ACF"/>
    <w:rsid w:val="00B54EEF"/>
    <w:rsid w:val="00B54F73"/>
    <w:rsid w:val="00B54F77"/>
    <w:rsid w:val="00B552F1"/>
    <w:rsid w:val="00B55759"/>
    <w:rsid w:val="00B557F3"/>
    <w:rsid w:val="00B55B81"/>
    <w:rsid w:val="00B55ED4"/>
    <w:rsid w:val="00B5649E"/>
    <w:rsid w:val="00B56667"/>
    <w:rsid w:val="00B566B7"/>
    <w:rsid w:val="00B56A88"/>
    <w:rsid w:val="00B57473"/>
    <w:rsid w:val="00B5767E"/>
    <w:rsid w:val="00B579E3"/>
    <w:rsid w:val="00B57A8D"/>
    <w:rsid w:val="00B600B4"/>
    <w:rsid w:val="00B6017C"/>
    <w:rsid w:val="00B602A1"/>
    <w:rsid w:val="00B603B8"/>
    <w:rsid w:val="00B6090C"/>
    <w:rsid w:val="00B60944"/>
    <w:rsid w:val="00B60A9B"/>
    <w:rsid w:val="00B60CB3"/>
    <w:rsid w:val="00B610F9"/>
    <w:rsid w:val="00B61235"/>
    <w:rsid w:val="00B6147C"/>
    <w:rsid w:val="00B61704"/>
    <w:rsid w:val="00B61EB6"/>
    <w:rsid w:val="00B62205"/>
    <w:rsid w:val="00B6281F"/>
    <w:rsid w:val="00B62823"/>
    <w:rsid w:val="00B62B0C"/>
    <w:rsid w:val="00B630DA"/>
    <w:rsid w:val="00B6357C"/>
    <w:rsid w:val="00B635F1"/>
    <w:rsid w:val="00B63ADA"/>
    <w:rsid w:val="00B63BA2"/>
    <w:rsid w:val="00B644F4"/>
    <w:rsid w:val="00B64958"/>
    <w:rsid w:val="00B649DA"/>
    <w:rsid w:val="00B64DFC"/>
    <w:rsid w:val="00B64E2B"/>
    <w:rsid w:val="00B65392"/>
    <w:rsid w:val="00B6564B"/>
    <w:rsid w:val="00B65C23"/>
    <w:rsid w:val="00B66ACD"/>
    <w:rsid w:val="00B67540"/>
    <w:rsid w:val="00B67D2B"/>
    <w:rsid w:val="00B7105B"/>
    <w:rsid w:val="00B713B1"/>
    <w:rsid w:val="00B7142F"/>
    <w:rsid w:val="00B716E1"/>
    <w:rsid w:val="00B7211F"/>
    <w:rsid w:val="00B721F2"/>
    <w:rsid w:val="00B7259D"/>
    <w:rsid w:val="00B7263F"/>
    <w:rsid w:val="00B72F89"/>
    <w:rsid w:val="00B7356B"/>
    <w:rsid w:val="00B73A88"/>
    <w:rsid w:val="00B746E4"/>
    <w:rsid w:val="00B74A65"/>
    <w:rsid w:val="00B750AD"/>
    <w:rsid w:val="00B754C4"/>
    <w:rsid w:val="00B754FC"/>
    <w:rsid w:val="00B759AA"/>
    <w:rsid w:val="00B75AE4"/>
    <w:rsid w:val="00B761D3"/>
    <w:rsid w:val="00B761E1"/>
    <w:rsid w:val="00B762E2"/>
    <w:rsid w:val="00B76B23"/>
    <w:rsid w:val="00B76DA1"/>
    <w:rsid w:val="00B76DBA"/>
    <w:rsid w:val="00B76F83"/>
    <w:rsid w:val="00B7718A"/>
    <w:rsid w:val="00B7746A"/>
    <w:rsid w:val="00B77524"/>
    <w:rsid w:val="00B7787C"/>
    <w:rsid w:val="00B77ED6"/>
    <w:rsid w:val="00B80150"/>
    <w:rsid w:val="00B8022A"/>
    <w:rsid w:val="00B80477"/>
    <w:rsid w:val="00B807C7"/>
    <w:rsid w:val="00B80800"/>
    <w:rsid w:val="00B80D9E"/>
    <w:rsid w:val="00B80E01"/>
    <w:rsid w:val="00B81D41"/>
    <w:rsid w:val="00B81E9E"/>
    <w:rsid w:val="00B822FF"/>
    <w:rsid w:val="00B82451"/>
    <w:rsid w:val="00B82911"/>
    <w:rsid w:val="00B82A97"/>
    <w:rsid w:val="00B82E33"/>
    <w:rsid w:val="00B831BA"/>
    <w:rsid w:val="00B834F9"/>
    <w:rsid w:val="00B83C14"/>
    <w:rsid w:val="00B83CDF"/>
    <w:rsid w:val="00B8435F"/>
    <w:rsid w:val="00B844D2"/>
    <w:rsid w:val="00B8468B"/>
    <w:rsid w:val="00B846D8"/>
    <w:rsid w:val="00B846DD"/>
    <w:rsid w:val="00B84700"/>
    <w:rsid w:val="00B84FB1"/>
    <w:rsid w:val="00B854D8"/>
    <w:rsid w:val="00B86692"/>
    <w:rsid w:val="00B87260"/>
    <w:rsid w:val="00B872E9"/>
    <w:rsid w:val="00B8755B"/>
    <w:rsid w:val="00B87704"/>
    <w:rsid w:val="00B87AA5"/>
    <w:rsid w:val="00B87BAD"/>
    <w:rsid w:val="00B87BE8"/>
    <w:rsid w:val="00B87EBB"/>
    <w:rsid w:val="00B90499"/>
    <w:rsid w:val="00B90C83"/>
    <w:rsid w:val="00B90E12"/>
    <w:rsid w:val="00B9115E"/>
    <w:rsid w:val="00B911B8"/>
    <w:rsid w:val="00B91367"/>
    <w:rsid w:val="00B913CA"/>
    <w:rsid w:val="00B921B3"/>
    <w:rsid w:val="00B9229C"/>
    <w:rsid w:val="00B92722"/>
    <w:rsid w:val="00B928A3"/>
    <w:rsid w:val="00B92BA9"/>
    <w:rsid w:val="00B935EC"/>
    <w:rsid w:val="00B942DB"/>
    <w:rsid w:val="00B948A6"/>
    <w:rsid w:val="00B949F0"/>
    <w:rsid w:val="00B94C15"/>
    <w:rsid w:val="00B94F1F"/>
    <w:rsid w:val="00B9571B"/>
    <w:rsid w:val="00B95C60"/>
    <w:rsid w:val="00B9607E"/>
    <w:rsid w:val="00B96777"/>
    <w:rsid w:val="00B96F28"/>
    <w:rsid w:val="00B97366"/>
    <w:rsid w:val="00B973D8"/>
    <w:rsid w:val="00BA0E1B"/>
    <w:rsid w:val="00BA15F1"/>
    <w:rsid w:val="00BA26F0"/>
    <w:rsid w:val="00BA2E94"/>
    <w:rsid w:val="00BA311D"/>
    <w:rsid w:val="00BA312A"/>
    <w:rsid w:val="00BA3199"/>
    <w:rsid w:val="00BA31A4"/>
    <w:rsid w:val="00BA3308"/>
    <w:rsid w:val="00BA367B"/>
    <w:rsid w:val="00BA39BC"/>
    <w:rsid w:val="00BA3C71"/>
    <w:rsid w:val="00BA3FDA"/>
    <w:rsid w:val="00BA45A8"/>
    <w:rsid w:val="00BA48E8"/>
    <w:rsid w:val="00BA5065"/>
    <w:rsid w:val="00BA605F"/>
    <w:rsid w:val="00BA6776"/>
    <w:rsid w:val="00BA7503"/>
    <w:rsid w:val="00BA760A"/>
    <w:rsid w:val="00BA7726"/>
    <w:rsid w:val="00BB0032"/>
    <w:rsid w:val="00BB016D"/>
    <w:rsid w:val="00BB0816"/>
    <w:rsid w:val="00BB1236"/>
    <w:rsid w:val="00BB1BF0"/>
    <w:rsid w:val="00BB1E6B"/>
    <w:rsid w:val="00BB24F8"/>
    <w:rsid w:val="00BB2CC9"/>
    <w:rsid w:val="00BB2D19"/>
    <w:rsid w:val="00BB3330"/>
    <w:rsid w:val="00BB3A5E"/>
    <w:rsid w:val="00BB3D29"/>
    <w:rsid w:val="00BB42FA"/>
    <w:rsid w:val="00BB4689"/>
    <w:rsid w:val="00BB469C"/>
    <w:rsid w:val="00BB46C9"/>
    <w:rsid w:val="00BB4AB8"/>
    <w:rsid w:val="00BB509E"/>
    <w:rsid w:val="00BB5614"/>
    <w:rsid w:val="00BB617E"/>
    <w:rsid w:val="00BB63C7"/>
    <w:rsid w:val="00BB6929"/>
    <w:rsid w:val="00BB6A7D"/>
    <w:rsid w:val="00BB6E96"/>
    <w:rsid w:val="00BB7210"/>
    <w:rsid w:val="00BB7582"/>
    <w:rsid w:val="00BB75C9"/>
    <w:rsid w:val="00BC08F5"/>
    <w:rsid w:val="00BC0F58"/>
    <w:rsid w:val="00BC0FC3"/>
    <w:rsid w:val="00BC1174"/>
    <w:rsid w:val="00BC12B1"/>
    <w:rsid w:val="00BC16CA"/>
    <w:rsid w:val="00BC1C41"/>
    <w:rsid w:val="00BC1D6B"/>
    <w:rsid w:val="00BC1F46"/>
    <w:rsid w:val="00BC28E0"/>
    <w:rsid w:val="00BC2A83"/>
    <w:rsid w:val="00BC2DD8"/>
    <w:rsid w:val="00BC2EDA"/>
    <w:rsid w:val="00BC2FD6"/>
    <w:rsid w:val="00BC335D"/>
    <w:rsid w:val="00BC35C0"/>
    <w:rsid w:val="00BC3824"/>
    <w:rsid w:val="00BC386E"/>
    <w:rsid w:val="00BC3B76"/>
    <w:rsid w:val="00BC45CF"/>
    <w:rsid w:val="00BC47F8"/>
    <w:rsid w:val="00BC501B"/>
    <w:rsid w:val="00BC54B6"/>
    <w:rsid w:val="00BC5A25"/>
    <w:rsid w:val="00BC673E"/>
    <w:rsid w:val="00BC6C40"/>
    <w:rsid w:val="00BC7795"/>
    <w:rsid w:val="00BC7A24"/>
    <w:rsid w:val="00BC7E65"/>
    <w:rsid w:val="00BD032C"/>
    <w:rsid w:val="00BD048F"/>
    <w:rsid w:val="00BD0910"/>
    <w:rsid w:val="00BD1270"/>
    <w:rsid w:val="00BD1471"/>
    <w:rsid w:val="00BD1BC8"/>
    <w:rsid w:val="00BD2095"/>
    <w:rsid w:val="00BD2250"/>
    <w:rsid w:val="00BD2714"/>
    <w:rsid w:val="00BD294B"/>
    <w:rsid w:val="00BD34FB"/>
    <w:rsid w:val="00BD351F"/>
    <w:rsid w:val="00BD3858"/>
    <w:rsid w:val="00BD3864"/>
    <w:rsid w:val="00BD393B"/>
    <w:rsid w:val="00BD3D42"/>
    <w:rsid w:val="00BD3DA4"/>
    <w:rsid w:val="00BD45FD"/>
    <w:rsid w:val="00BD4831"/>
    <w:rsid w:val="00BD49DF"/>
    <w:rsid w:val="00BD500B"/>
    <w:rsid w:val="00BD501C"/>
    <w:rsid w:val="00BD5468"/>
    <w:rsid w:val="00BD57AA"/>
    <w:rsid w:val="00BD5AEC"/>
    <w:rsid w:val="00BD61ED"/>
    <w:rsid w:val="00BD650F"/>
    <w:rsid w:val="00BD688F"/>
    <w:rsid w:val="00BD6903"/>
    <w:rsid w:val="00BD6BEA"/>
    <w:rsid w:val="00BD6CFF"/>
    <w:rsid w:val="00BD71C2"/>
    <w:rsid w:val="00BD71C9"/>
    <w:rsid w:val="00BD7224"/>
    <w:rsid w:val="00BD7341"/>
    <w:rsid w:val="00BD7B00"/>
    <w:rsid w:val="00BD7B4B"/>
    <w:rsid w:val="00BD7ED1"/>
    <w:rsid w:val="00BE0044"/>
    <w:rsid w:val="00BE17DE"/>
    <w:rsid w:val="00BE19E7"/>
    <w:rsid w:val="00BE2129"/>
    <w:rsid w:val="00BE2FA3"/>
    <w:rsid w:val="00BE3467"/>
    <w:rsid w:val="00BE3865"/>
    <w:rsid w:val="00BE39AE"/>
    <w:rsid w:val="00BE3A87"/>
    <w:rsid w:val="00BE3B1D"/>
    <w:rsid w:val="00BE497D"/>
    <w:rsid w:val="00BE49A7"/>
    <w:rsid w:val="00BE512C"/>
    <w:rsid w:val="00BE53E2"/>
    <w:rsid w:val="00BE55ED"/>
    <w:rsid w:val="00BE57C0"/>
    <w:rsid w:val="00BE5C7B"/>
    <w:rsid w:val="00BE69B3"/>
    <w:rsid w:val="00BE6C8E"/>
    <w:rsid w:val="00BE6EA3"/>
    <w:rsid w:val="00BE70AD"/>
    <w:rsid w:val="00BE7168"/>
    <w:rsid w:val="00BF05D4"/>
    <w:rsid w:val="00BF083B"/>
    <w:rsid w:val="00BF0C1B"/>
    <w:rsid w:val="00BF0CEF"/>
    <w:rsid w:val="00BF0D77"/>
    <w:rsid w:val="00BF18FA"/>
    <w:rsid w:val="00BF1A93"/>
    <w:rsid w:val="00BF1F05"/>
    <w:rsid w:val="00BF20F4"/>
    <w:rsid w:val="00BF244B"/>
    <w:rsid w:val="00BF27E0"/>
    <w:rsid w:val="00BF3492"/>
    <w:rsid w:val="00BF3BBB"/>
    <w:rsid w:val="00BF42DE"/>
    <w:rsid w:val="00BF48E5"/>
    <w:rsid w:val="00BF492E"/>
    <w:rsid w:val="00BF4B13"/>
    <w:rsid w:val="00BF5794"/>
    <w:rsid w:val="00BF5A34"/>
    <w:rsid w:val="00BF5A91"/>
    <w:rsid w:val="00BF6068"/>
    <w:rsid w:val="00BF60BD"/>
    <w:rsid w:val="00BF6A31"/>
    <w:rsid w:val="00BF6DBB"/>
    <w:rsid w:val="00C00058"/>
    <w:rsid w:val="00C00489"/>
    <w:rsid w:val="00C005D9"/>
    <w:rsid w:val="00C0060C"/>
    <w:rsid w:val="00C006B0"/>
    <w:rsid w:val="00C00E81"/>
    <w:rsid w:val="00C01648"/>
    <w:rsid w:val="00C0224B"/>
    <w:rsid w:val="00C02713"/>
    <w:rsid w:val="00C028F3"/>
    <w:rsid w:val="00C02920"/>
    <w:rsid w:val="00C02A2B"/>
    <w:rsid w:val="00C02AE3"/>
    <w:rsid w:val="00C0330E"/>
    <w:rsid w:val="00C03905"/>
    <w:rsid w:val="00C03B8E"/>
    <w:rsid w:val="00C03BBB"/>
    <w:rsid w:val="00C0408D"/>
    <w:rsid w:val="00C0415D"/>
    <w:rsid w:val="00C05117"/>
    <w:rsid w:val="00C0583C"/>
    <w:rsid w:val="00C05B82"/>
    <w:rsid w:val="00C0614B"/>
    <w:rsid w:val="00C066CF"/>
    <w:rsid w:val="00C069ED"/>
    <w:rsid w:val="00C06C05"/>
    <w:rsid w:val="00C06E31"/>
    <w:rsid w:val="00C06F23"/>
    <w:rsid w:val="00C06FE1"/>
    <w:rsid w:val="00C07206"/>
    <w:rsid w:val="00C077D7"/>
    <w:rsid w:val="00C07FD3"/>
    <w:rsid w:val="00C10E28"/>
    <w:rsid w:val="00C11466"/>
    <w:rsid w:val="00C1162E"/>
    <w:rsid w:val="00C11ACD"/>
    <w:rsid w:val="00C11FA9"/>
    <w:rsid w:val="00C1207C"/>
    <w:rsid w:val="00C121B1"/>
    <w:rsid w:val="00C124A8"/>
    <w:rsid w:val="00C124E7"/>
    <w:rsid w:val="00C12587"/>
    <w:rsid w:val="00C1266E"/>
    <w:rsid w:val="00C1298C"/>
    <w:rsid w:val="00C137DF"/>
    <w:rsid w:val="00C13903"/>
    <w:rsid w:val="00C1414E"/>
    <w:rsid w:val="00C142E8"/>
    <w:rsid w:val="00C147D5"/>
    <w:rsid w:val="00C15157"/>
    <w:rsid w:val="00C151AD"/>
    <w:rsid w:val="00C152FA"/>
    <w:rsid w:val="00C1543C"/>
    <w:rsid w:val="00C154B9"/>
    <w:rsid w:val="00C157AF"/>
    <w:rsid w:val="00C157D5"/>
    <w:rsid w:val="00C160BC"/>
    <w:rsid w:val="00C163EB"/>
    <w:rsid w:val="00C16463"/>
    <w:rsid w:val="00C164A6"/>
    <w:rsid w:val="00C1669C"/>
    <w:rsid w:val="00C16CE4"/>
    <w:rsid w:val="00C16D6B"/>
    <w:rsid w:val="00C17D31"/>
    <w:rsid w:val="00C17F3F"/>
    <w:rsid w:val="00C203B3"/>
    <w:rsid w:val="00C20AC4"/>
    <w:rsid w:val="00C20EBA"/>
    <w:rsid w:val="00C21667"/>
    <w:rsid w:val="00C21BED"/>
    <w:rsid w:val="00C21F32"/>
    <w:rsid w:val="00C222FC"/>
    <w:rsid w:val="00C22468"/>
    <w:rsid w:val="00C2252F"/>
    <w:rsid w:val="00C2270D"/>
    <w:rsid w:val="00C22841"/>
    <w:rsid w:val="00C22ACC"/>
    <w:rsid w:val="00C2325D"/>
    <w:rsid w:val="00C238BA"/>
    <w:rsid w:val="00C23C02"/>
    <w:rsid w:val="00C24310"/>
    <w:rsid w:val="00C24505"/>
    <w:rsid w:val="00C248A5"/>
    <w:rsid w:val="00C248A7"/>
    <w:rsid w:val="00C24949"/>
    <w:rsid w:val="00C24A77"/>
    <w:rsid w:val="00C25864"/>
    <w:rsid w:val="00C25E7C"/>
    <w:rsid w:val="00C263F5"/>
    <w:rsid w:val="00C279B8"/>
    <w:rsid w:val="00C27E61"/>
    <w:rsid w:val="00C30E91"/>
    <w:rsid w:val="00C3107B"/>
    <w:rsid w:val="00C3124D"/>
    <w:rsid w:val="00C3189D"/>
    <w:rsid w:val="00C326DE"/>
    <w:rsid w:val="00C32DB9"/>
    <w:rsid w:val="00C330C0"/>
    <w:rsid w:val="00C336B3"/>
    <w:rsid w:val="00C33AEF"/>
    <w:rsid w:val="00C33E7F"/>
    <w:rsid w:val="00C34208"/>
    <w:rsid w:val="00C34A6D"/>
    <w:rsid w:val="00C34CF0"/>
    <w:rsid w:val="00C34E64"/>
    <w:rsid w:val="00C34ECC"/>
    <w:rsid w:val="00C35024"/>
    <w:rsid w:val="00C3573C"/>
    <w:rsid w:val="00C35B30"/>
    <w:rsid w:val="00C35E93"/>
    <w:rsid w:val="00C35EF3"/>
    <w:rsid w:val="00C3668C"/>
    <w:rsid w:val="00C36A67"/>
    <w:rsid w:val="00C36A92"/>
    <w:rsid w:val="00C36C16"/>
    <w:rsid w:val="00C37D4C"/>
    <w:rsid w:val="00C407C6"/>
    <w:rsid w:val="00C410E0"/>
    <w:rsid w:val="00C41603"/>
    <w:rsid w:val="00C42115"/>
    <w:rsid w:val="00C4358B"/>
    <w:rsid w:val="00C43945"/>
    <w:rsid w:val="00C43960"/>
    <w:rsid w:val="00C442B6"/>
    <w:rsid w:val="00C44386"/>
    <w:rsid w:val="00C44410"/>
    <w:rsid w:val="00C44745"/>
    <w:rsid w:val="00C44AD6"/>
    <w:rsid w:val="00C44B51"/>
    <w:rsid w:val="00C44EA4"/>
    <w:rsid w:val="00C45281"/>
    <w:rsid w:val="00C452CA"/>
    <w:rsid w:val="00C45603"/>
    <w:rsid w:val="00C456DE"/>
    <w:rsid w:val="00C457CC"/>
    <w:rsid w:val="00C4597F"/>
    <w:rsid w:val="00C45D99"/>
    <w:rsid w:val="00C45F24"/>
    <w:rsid w:val="00C4636D"/>
    <w:rsid w:val="00C4651A"/>
    <w:rsid w:val="00C465A5"/>
    <w:rsid w:val="00C468C3"/>
    <w:rsid w:val="00C46B1A"/>
    <w:rsid w:val="00C46D86"/>
    <w:rsid w:val="00C46FF4"/>
    <w:rsid w:val="00C47066"/>
    <w:rsid w:val="00C4754E"/>
    <w:rsid w:val="00C47639"/>
    <w:rsid w:val="00C477BE"/>
    <w:rsid w:val="00C47B96"/>
    <w:rsid w:val="00C50E12"/>
    <w:rsid w:val="00C50F65"/>
    <w:rsid w:val="00C51183"/>
    <w:rsid w:val="00C519C2"/>
    <w:rsid w:val="00C51ACE"/>
    <w:rsid w:val="00C51DB7"/>
    <w:rsid w:val="00C51F78"/>
    <w:rsid w:val="00C520BC"/>
    <w:rsid w:val="00C52333"/>
    <w:rsid w:val="00C529F6"/>
    <w:rsid w:val="00C53095"/>
    <w:rsid w:val="00C53175"/>
    <w:rsid w:val="00C53458"/>
    <w:rsid w:val="00C53E24"/>
    <w:rsid w:val="00C53EE6"/>
    <w:rsid w:val="00C5418E"/>
    <w:rsid w:val="00C559CA"/>
    <w:rsid w:val="00C55A26"/>
    <w:rsid w:val="00C55D69"/>
    <w:rsid w:val="00C564F4"/>
    <w:rsid w:val="00C57115"/>
    <w:rsid w:val="00C57197"/>
    <w:rsid w:val="00C572B9"/>
    <w:rsid w:val="00C573D5"/>
    <w:rsid w:val="00C57616"/>
    <w:rsid w:val="00C578BB"/>
    <w:rsid w:val="00C57BA2"/>
    <w:rsid w:val="00C57CFE"/>
    <w:rsid w:val="00C57E1E"/>
    <w:rsid w:val="00C57E9F"/>
    <w:rsid w:val="00C57F5F"/>
    <w:rsid w:val="00C57FE9"/>
    <w:rsid w:val="00C60287"/>
    <w:rsid w:val="00C603AE"/>
    <w:rsid w:val="00C60879"/>
    <w:rsid w:val="00C60BA8"/>
    <w:rsid w:val="00C61005"/>
    <w:rsid w:val="00C610B4"/>
    <w:rsid w:val="00C612E4"/>
    <w:rsid w:val="00C615F7"/>
    <w:rsid w:val="00C6179B"/>
    <w:rsid w:val="00C618E4"/>
    <w:rsid w:val="00C61D1F"/>
    <w:rsid w:val="00C62748"/>
    <w:rsid w:val="00C62C6D"/>
    <w:rsid w:val="00C62CCB"/>
    <w:rsid w:val="00C62F4E"/>
    <w:rsid w:val="00C631D9"/>
    <w:rsid w:val="00C63885"/>
    <w:rsid w:val="00C639A4"/>
    <w:rsid w:val="00C64108"/>
    <w:rsid w:val="00C644EB"/>
    <w:rsid w:val="00C64EEE"/>
    <w:rsid w:val="00C65372"/>
    <w:rsid w:val="00C6538D"/>
    <w:rsid w:val="00C65423"/>
    <w:rsid w:val="00C664E7"/>
    <w:rsid w:val="00C66AAF"/>
    <w:rsid w:val="00C66D6F"/>
    <w:rsid w:val="00C675EA"/>
    <w:rsid w:val="00C67E65"/>
    <w:rsid w:val="00C67E97"/>
    <w:rsid w:val="00C67F5E"/>
    <w:rsid w:val="00C70F83"/>
    <w:rsid w:val="00C71191"/>
    <w:rsid w:val="00C712D0"/>
    <w:rsid w:val="00C7185B"/>
    <w:rsid w:val="00C71ADB"/>
    <w:rsid w:val="00C721AC"/>
    <w:rsid w:val="00C72B01"/>
    <w:rsid w:val="00C72DA4"/>
    <w:rsid w:val="00C73174"/>
    <w:rsid w:val="00C7327D"/>
    <w:rsid w:val="00C73E01"/>
    <w:rsid w:val="00C74290"/>
    <w:rsid w:val="00C74418"/>
    <w:rsid w:val="00C749E8"/>
    <w:rsid w:val="00C74A7F"/>
    <w:rsid w:val="00C74B4C"/>
    <w:rsid w:val="00C74CA2"/>
    <w:rsid w:val="00C75360"/>
    <w:rsid w:val="00C7569C"/>
    <w:rsid w:val="00C75822"/>
    <w:rsid w:val="00C75908"/>
    <w:rsid w:val="00C7591F"/>
    <w:rsid w:val="00C759EE"/>
    <w:rsid w:val="00C75FC3"/>
    <w:rsid w:val="00C76827"/>
    <w:rsid w:val="00C76FE8"/>
    <w:rsid w:val="00C77833"/>
    <w:rsid w:val="00C77B4E"/>
    <w:rsid w:val="00C77E1F"/>
    <w:rsid w:val="00C808FC"/>
    <w:rsid w:val="00C81B34"/>
    <w:rsid w:val="00C81CDC"/>
    <w:rsid w:val="00C8230E"/>
    <w:rsid w:val="00C83018"/>
    <w:rsid w:val="00C8432B"/>
    <w:rsid w:val="00C84458"/>
    <w:rsid w:val="00C8458B"/>
    <w:rsid w:val="00C85582"/>
    <w:rsid w:val="00C855DB"/>
    <w:rsid w:val="00C857F7"/>
    <w:rsid w:val="00C859CA"/>
    <w:rsid w:val="00C863F0"/>
    <w:rsid w:val="00C87014"/>
    <w:rsid w:val="00C8730E"/>
    <w:rsid w:val="00C87413"/>
    <w:rsid w:val="00C87510"/>
    <w:rsid w:val="00C87896"/>
    <w:rsid w:val="00C878ED"/>
    <w:rsid w:val="00C902EE"/>
    <w:rsid w:val="00C90D91"/>
    <w:rsid w:val="00C91456"/>
    <w:rsid w:val="00C91501"/>
    <w:rsid w:val="00C925E6"/>
    <w:rsid w:val="00C92791"/>
    <w:rsid w:val="00C92BC2"/>
    <w:rsid w:val="00C92C45"/>
    <w:rsid w:val="00C933D4"/>
    <w:rsid w:val="00C93AA2"/>
    <w:rsid w:val="00C94453"/>
    <w:rsid w:val="00C947F2"/>
    <w:rsid w:val="00C948E1"/>
    <w:rsid w:val="00C9501C"/>
    <w:rsid w:val="00C955D8"/>
    <w:rsid w:val="00C95775"/>
    <w:rsid w:val="00C957D3"/>
    <w:rsid w:val="00C95F25"/>
    <w:rsid w:val="00C96009"/>
    <w:rsid w:val="00C960E8"/>
    <w:rsid w:val="00C96113"/>
    <w:rsid w:val="00C963E5"/>
    <w:rsid w:val="00C96B6F"/>
    <w:rsid w:val="00C9708F"/>
    <w:rsid w:val="00C97167"/>
    <w:rsid w:val="00C97ADD"/>
    <w:rsid w:val="00C97DF7"/>
    <w:rsid w:val="00CA1005"/>
    <w:rsid w:val="00CA10F5"/>
    <w:rsid w:val="00CA18D5"/>
    <w:rsid w:val="00CA1E7A"/>
    <w:rsid w:val="00CA231F"/>
    <w:rsid w:val="00CA2679"/>
    <w:rsid w:val="00CA280E"/>
    <w:rsid w:val="00CA2ACC"/>
    <w:rsid w:val="00CA338E"/>
    <w:rsid w:val="00CA369A"/>
    <w:rsid w:val="00CA38A0"/>
    <w:rsid w:val="00CA3E5E"/>
    <w:rsid w:val="00CA41F8"/>
    <w:rsid w:val="00CA4249"/>
    <w:rsid w:val="00CA443C"/>
    <w:rsid w:val="00CA496B"/>
    <w:rsid w:val="00CA4BC9"/>
    <w:rsid w:val="00CA4EAD"/>
    <w:rsid w:val="00CA55E3"/>
    <w:rsid w:val="00CA5654"/>
    <w:rsid w:val="00CA61BE"/>
    <w:rsid w:val="00CA674D"/>
    <w:rsid w:val="00CA6914"/>
    <w:rsid w:val="00CA6A60"/>
    <w:rsid w:val="00CA702C"/>
    <w:rsid w:val="00CA7AB5"/>
    <w:rsid w:val="00CB0988"/>
    <w:rsid w:val="00CB1281"/>
    <w:rsid w:val="00CB15C9"/>
    <w:rsid w:val="00CB1B22"/>
    <w:rsid w:val="00CB3C7B"/>
    <w:rsid w:val="00CB4020"/>
    <w:rsid w:val="00CB4693"/>
    <w:rsid w:val="00CB47B9"/>
    <w:rsid w:val="00CB4A28"/>
    <w:rsid w:val="00CB592D"/>
    <w:rsid w:val="00CB5DC0"/>
    <w:rsid w:val="00CB662B"/>
    <w:rsid w:val="00CB662D"/>
    <w:rsid w:val="00CB69AA"/>
    <w:rsid w:val="00CB6B87"/>
    <w:rsid w:val="00CB6EEB"/>
    <w:rsid w:val="00CB759D"/>
    <w:rsid w:val="00CB7669"/>
    <w:rsid w:val="00CB768F"/>
    <w:rsid w:val="00CB7ADD"/>
    <w:rsid w:val="00CC1023"/>
    <w:rsid w:val="00CC145C"/>
    <w:rsid w:val="00CC1958"/>
    <w:rsid w:val="00CC2391"/>
    <w:rsid w:val="00CC2616"/>
    <w:rsid w:val="00CC2B37"/>
    <w:rsid w:val="00CC3374"/>
    <w:rsid w:val="00CC34A9"/>
    <w:rsid w:val="00CC356A"/>
    <w:rsid w:val="00CC3A5A"/>
    <w:rsid w:val="00CC3E05"/>
    <w:rsid w:val="00CC3EBF"/>
    <w:rsid w:val="00CC3F0A"/>
    <w:rsid w:val="00CC42CC"/>
    <w:rsid w:val="00CC442B"/>
    <w:rsid w:val="00CC44EB"/>
    <w:rsid w:val="00CC4D02"/>
    <w:rsid w:val="00CC4D3B"/>
    <w:rsid w:val="00CC4FE9"/>
    <w:rsid w:val="00CC66A4"/>
    <w:rsid w:val="00CC6997"/>
    <w:rsid w:val="00CC6999"/>
    <w:rsid w:val="00CC69E0"/>
    <w:rsid w:val="00CC6B70"/>
    <w:rsid w:val="00CC6CF0"/>
    <w:rsid w:val="00CC6DEA"/>
    <w:rsid w:val="00CC6EDE"/>
    <w:rsid w:val="00CC7355"/>
    <w:rsid w:val="00CC7A33"/>
    <w:rsid w:val="00CC7D97"/>
    <w:rsid w:val="00CD0CBE"/>
    <w:rsid w:val="00CD1C74"/>
    <w:rsid w:val="00CD1DC5"/>
    <w:rsid w:val="00CD1F00"/>
    <w:rsid w:val="00CD2197"/>
    <w:rsid w:val="00CD389D"/>
    <w:rsid w:val="00CD4A49"/>
    <w:rsid w:val="00CD4D12"/>
    <w:rsid w:val="00CD510C"/>
    <w:rsid w:val="00CD54C1"/>
    <w:rsid w:val="00CD54E9"/>
    <w:rsid w:val="00CD5805"/>
    <w:rsid w:val="00CD5ACA"/>
    <w:rsid w:val="00CD5B9D"/>
    <w:rsid w:val="00CD6464"/>
    <w:rsid w:val="00CD6A52"/>
    <w:rsid w:val="00CD70E5"/>
    <w:rsid w:val="00CD71B7"/>
    <w:rsid w:val="00CD71BB"/>
    <w:rsid w:val="00CE0A66"/>
    <w:rsid w:val="00CE1995"/>
    <w:rsid w:val="00CE1D14"/>
    <w:rsid w:val="00CE1D37"/>
    <w:rsid w:val="00CE1E31"/>
    <w:rsid w:val="00CE207C"/>
    <w:rsid w:val="00CE20F3"/>
    <w:rsid w:val="00CE24D5"/>
    <w:rsid w:val="00CE25AE"/>
    <w:rsid w:val="00CE3571"/>
    <w:rsid w:val="00CE3765"/>
    <w:rsid w:val="00CE385E"/>
    <w:rsid w:val="00CE41F8"/>
    <w:rsid w:val="00CE4EAF"/>
    <w:rsid w:val="00CE4FEC"/>
    <w:rsid w:val="00CE5846"/>
    <w:rsid w:val="00CE5947"/>
    <w:rsid w:val="00CE5E88"/>
    <w:rsid w:val="00CE61EE"/>
    <w:rsid w:val="00CE6862"/>
    <w:rsid w:val="00CE694C"/>
    <w:rsid w:val="00CE73EE"/>
    <w:rsid w:val="00CE73FC"/>
    <w:rsid w:val="00CE7616"/>
    <w:rsid w:val="00CE7C15"/>
    <w:rsid w:val="00CF023E"/>
    <w:rsid w:val="00CF075C"/>
    <w:rsid w:val="00CF123B"/>
    <w:rsid w:val="00CF1428"/>
    <w:rsid w:val="00CF1509"/>
    <w:rsid w:val="00CF17C7"/>
    <w:rsid w:val="00CF17FD"/>
    <w:rsid w:val="00CF1A74"/>
    <w:rsid w:val="00CF20F6"/>
    <w:rsid w:val="00CF211C"/>
    <w:rsid w:val="00CF245C"/>
    <w:rsid w:val="00CF263E"/>
    <w:rsid w:val="00CF2848"/>
    <w:rsid w:val="00CF3069"/>
    <w:rsid w:val="00CF3139"/>
    <w:rsid w:val="00CF3400"/>
    <w:rsid w:val="00CF38F5"/>
    <w:rsid w:val="00CF3C29"/>
    <w:rsid w:val="00CF3F83"/>
    <w:rsid w:val="00CF440A"/>
    <w:rsid w:val="00CF4B2A"/>
    <w:rsid w:val="00CF543F"/>
    <w:rsid w:val="00CF59E0"/>
    <w:rsid w:val="00CF5A26"/>
    <w:rsid w:val="00CF5EB0"/>
    <w:rsid w:val="00CF6023"/>
    <w:rsid w:val="00CF6549"/>
    <w:rsid w:val="00CF6A83"/>
    <w:rsid w:val="00CF718F"/>
    <w:rsid w:val="00CF73E2"/>
    <w:rsid w:val="00CF743F"/>
    <w:rsid w:val="00CF75C5"/>
    <w:rsid w:val="00D0012B"/>
    <w:rsid w:val="00D00162"/>
    <w:rsid w:val="00D007B6"/>
    <w:rsid w:val="00D00A95"/>
    <w:rsid w:val="00D019D5"/>
    <w:rsid w:val="00D01B8D"/>
    <w:rsid w:val="00D01E1D"/>
    <w:rsid w:val="00D01FC7"/>
    <w:rsid w:val="00D02257"/>
    <w:rsid w:val="00D02400"/>
    <w:rsid w:val="00D02F95"/>
    <w:rsid w:val="00D0312C"/>
    <w:rsid w:val="00D033DC"/>
    <w:rsid w:val="00D0383F"/>
    <w:rsid w:val="00D043FA"/>
    <w:rsid w:val="00D0459B"/>
    <w:rsid w:val="00D04A61"/>
    <w:rsid w:val="00D04F0C"/>
    <w:rsid w:val="00D04F65"/>
    <w:rsid w:val="00D053FB"/>
    <w:rsid w:val="00D0573D"/>
    <w:rsid w:val="00D05C87"/>
    <w:rsid w:val="00D0600D"/>
    <w:rsid w:val="00D0642C"/>
    <w:rsid w:val="00D0649E"/>
    <w:rsid w:val="00D06504"/>
    <w:rsid w:val="00D06509"/>
    <w:rsid w:val="00D069E6"/>
    <w:rsid w:val="00D06AF1"/>
    <w:rsid w:val="00D06C36"/>
    <w:rsid w:val="00D07475"/>
    <w:rsid w:val="00D0756B"/>
    <w:rsid w:val="00D077D6"/>
    <w:rsid w:val="00D07832"/>
    <w:rsid w:val="00D07A38"/>
    <w:rsid w:val="00D10793"/>
    <w:rsid w:val="00D10A56"/>
    <w:rsid w:val="00D10AC9"/>
    <w:rsid w:val="00D118A0"/>
    <w:rsid w:val="00D11A1B"/>
    <w:rsid w:val="00D11D7C"/>
    <w:rsid w:val="00D12087"/>
    <w:rsid w:val="00D124F6"/>
    <w:rsid w:val="00D12C08"/>
    <w:rsid w:val="00D12EF4"/>
    <w:rsid w:val="00D13255"/>
    <w:rsid w:val="00D132C8"/>
    <w:rsid w:val="00D13438"/>
    <w:rsid w:val="00D13ADC"/>
    <w:rsid w:val="00D13D48"/>
    <w:rsid w:val="00D14C63"/>
    <w:rsid w:val="00D14ED1"/>
    <w:rsid w:val="00D15BE5"/>
    <w:rsid w:val="00D15C3D"/>
    <w:rsid w:val="00D15E00"/>
    <w:rsid w:val="00D15FE4"/>
    <w:rsid w:val="00D161E2"/>
    <w:rsid w:val="00D167FC"/>
    <w:rsid w:val="00D173D6"/>
    <w:rsid w:val="00D1758C"/>
    <w:rsid w:val="00D17596"/>
    <w:rsid w:val="00D1771C"/>
    <w:rsid w:val="00D17738"/>
    <w:rsid w:val="00D20432"/>
    <w:rsid w:val="00D20C9E"/>
    <w:rsid w:val="00D20D17"/>
    <w:rsid w:val="00D211AC"/>
    <w:rsid w:val="00D213C8"/>
    <w:rsid w:val="00D21E4A"/>
    <w:rsid w:val="00D21F5E"/>
    <w:rsid w:val="00D224B1"/>
    <w:rsid w:val="00D22660"/>
    <w:rsid w:val="00D229A6"/>
    <w:rsid w:val="00D22CB4"/>
    <w:rsid w:val="00D22CE0"/>
    <w:rsid w:val="00D23927"/>
    <w:rsid w:val="00D23E71"/>
    <w:rsid w:val="00D23ED4"/>
    <w:rsid w:val="00D252B5"/>
    <w:rsid w:val="00D252BE"/>
    <w:rsid w:val="00D25454"/>
    <w:rsid w:val="00D255EE"/>
    <w:rsid w:val="00D2574F"/>
    <w:rsid w:val="00D25967"/>
    <w:rsid w:val="00D26268"/>
    <w:rsid w:val="00D262F7"/>
    <w:rsid w:val="00D26490"/>
    <w:rsid w:val="00D266AB"/>
    <w:rsid w:val="00D26E6A"/>
    <w:rsid w:val="00D271CA"/>
    <w:rsid w:val="00D27361"/>
    <w:rsid w:val="00D27864"/>
    <w:rsid w:val="00D27E06"/>
    <w:rsid w:val="00D305E8"/>
    <w:rsid w:val="00D318AA"/>
    <w:rsid w:val="00D332B3"/>
    <w:rsid w:val="00D335F1"/>
    <w:rsid w:val="00D33B5D"/>
    <w:rsid w:val="00D33DEE"/>
    <w:rsid w:val="00D33ECD"/>
    <w:rsid w:val="00D34371"/>
    <w:rsid w:val="00D345D2"/>
    <w:rsid w:val="00D34BE7"/>
    <w:rsid w:val="00D34ED5"/>
    <w:rsid w:val="00D3526B"/>
    <w:rsid w:val="00D35531"/>
    <w:rsid w:val="00D356BC"/>
    <w:rsid w:val="00D35AE7"/>
    <w:rsid w:val="00D35F83"/>
    <w:rsid w:val="00D364A9"/>
    <w:rsid w:val="00D366F6"/>
    <w:rsid w:val="00D368A3"/>
    <w:rsid w:val="00D369D7"/>
    <w:rsid w:val="00D36CF0"/>
    <w:rsid w:val="00D36D14"/>
    <w:rsid w:val="00D36F0C"/>
    <w:rsid w:val="00D37E1C"/>
    <w:rsid w:val="00D37F7B"/>
    <w:rsid w:val="00D404A4"/>
    <w:rsid w:val="00D40590"/>
    <w:rsid w:val="00D40A19"/>
    <w:rsid w:val="00D40A88"/>
    <w:rsid w:val="00D40BA0"/>
    <w:rsid w:val="00D40BDD"/>
    <w:rsid w:val="00D4149B"/>
    <w:rsid w:val="00D41527"/>
    <w:rsid w:val="00D416EC"/>
    <w:rsid w:val="00D41912"/>
    <w:rsid w:val="00D41D32"/>
    <w:rsid w:val="00D42875"/>
    <w:rsid w:val="00D430AC"/>
    <w:rsid w:val="00D43189"/>
    <w:rsid w:val="00D4373D"/>
    <w:rsid w:val="00D43D2C"/>
    <w:rsid w:val="00D43E10"/>
    <w:rsid w:val="00D43E61"/>
    <w:rsid w:val="00D44440"/>
    <w:rsid w:val="00D444D1"/>
    <w:rsid w:val="00D451CF"/>
    <w:rsid w:val="00D45A6A"/>
    <w:rsid w:val="00D45BAC"/>
    <w:rsid w:val="00D462B1"/>
    <w:rsid w:val="00D46857"/>
    <w:rsid w:val="00D46EF3"/>
    <w:rsid w:val="00D47ACF"/>
    <w:rsid w:val="00D47BF4"/>
    <w:rsid w:val="00D47C4D"/>
    <w:rsid w:val="00D47D81"/>
    <w:rsid w:val="00D47FA6"/>
    <w:rsid w:val="00D5060F"/>
    <w:rsid w:val="00D50A2E"/>
    <w:rsid w:val="00D50CB8"/>
    <w:rsid w:val="00D51401"/>
    <w:rsid w:val="00D5142D"/>
    <w:rsid w:val="00D514D0"/>
    <w:rsid w:val="00D51C6F"/>
    <w:rsid w:val="00D5225E"/>
    <w:rsid w:val="00D527D1"/>
    <w:rsid w:val="00D52A64"/>
    <w:rsid w:val="00D52FF2"/>
    <w:rsid w:val="00D538E7"/>
    <w:rsid w:val="00D53AA8"/>
    <w:rsid w:val="00D53BC7"/>
    <w:rsid w:val="00D53FC1"/>
    <w:rsid w:val="00D54127"/>
    <w:rsid w:val="00D552A7"/>
    <w:rsid w:val="00D55379"/>
    <w:rsid w:val="00D55FC5"/>
    <w:rsid w:val="00D56115"/>
    <w:rsid w:val="00D562B0"/>
    <w:rsid w:val="00D5632E"/>
    <w:rsid w:val="00D56A3E"/>
    <w:rsid w:val="00D56BDF"/>
    <w:rsid w:val="00D56C41"/>
    <w:rsid w:val="00D577B7"/>
    <w:rsid w:val="00D57BF6"/>
    <w:rsid w:val="00D60418"/>
    <w:rsid w:val="00D60820"/>
    <w:rsid w:val="00D608FE"/>
    <w:rsid w:val="00D60D31"/>
    <w:rsid w:val="00D61AB1"/>
    <w:rsid w:val="00D61F92"/>
    <w:rsid w:val="00D6250C"/>
    <w:rsid w:val="00D62D16"/>
    <w:rsid w:val="00D63A09"/>
    <w:rsid w:val="00D63BC5"/>
    <w:rsid w:val="00D6402B"/>
    <w:rsid w:val="00D640B2"/>
    <w:rsid w:val="00D64600"/>
    <w:rsid w:val="00D64727"/>
    <w:rsid w:val="00D64AFB"/>
    <w:rsid w:val="00D64C65"/>
    <w:rsid w:val="00D64DCC"/>
    <w:rsid w:val="00D650A0"/>
    <w:rsid w:val="00D650C6"/>
    <w:rsid w:val="00D652E6"/>
    <w:rsid w:val="00D65FED"/>
    <w:rsid w:val="00D66896"/>
    <w:rsid w:val="00D67435"/>
    <w:rsid w:val="00D678D0"/>
    <w:rsid w:val="00D678D3"/>
    <w:rsid w:val="00D67AF3"/>
    <w:rsid w:val="00D67FC1"/>
    <w:rsid w:val="00D70155"/>
    <w:rsid w:val="00D71500"/>
    <w:rsid w:val="00D717A8"/>
    <w:rsid w:val="00D71B61"/>
    <w:rsid w:val="00D729A3"/>
    <w:rsid w:val="00D729D1"/>
    <w:rsid w:val="00D72E3E"/>
    <w:rsid w:val="00D730BB"/>
    <w:rsid w:val="00D734E2"/>
    <w:rsid w:val="00D735AC"/>
    <w:rsid w:val="00D73819"/>
    <w:rsid w:val="00D7398D"/>
    <w:rsid w:val="00D74699"/>
    <w:rsid w:val="00D747EA"/>
    <w:rsid w:val="00D74A06"/>
    <w:rsid w:val="00D7530E"/>
    <w:rsid w:val="00D7531D"/>
    <w:rsid w:val="00D75352"/>
    <w:rsid w:val="00D754EF"/>
    <w:rsid w:val="00D75830"/>
    <w:rsid w:val="00D75881"/>
    <w:rsid w:val="00D758C6"/>
    <w:rsid w:val="00D75C38"/>
    <w:rsid w:val="00D761AB"/>
    <w:rsid w:val="00D76562"/>
    <w:rsid w:val="00D76AF7"/>
    <w:rsid w:val="00D76D83"/>
    <w:rsid w:val="00D77011"/>
    <w:rsid w:val="00D773F0"/>
    <w:rsid w:val="00D77D28"/>
    <w:rsid w:val="00D80046"/>
    <w:rsid w:val="00D8027B"/>
    <w:rsid w:val="00D80F4C"/>
    <w:rsid w:val="00D81039"/>
    <w:rsid w:val="00D81134"/>
    <w:rsid w:val="00D813B8"/>
    <w:rsid w:val="00D8150E"/>
    <w:rsid w:val="00D81D94"/>
    <w:rsid w:val="00D82925"/>
    <w:rsid w:val="00D82D01"/>
    <w:rsid w:val="00D83633"/>
    <w:rsid w:val="00D84230"/>
    <w:rsid w:val="00D842F6"/>
    <w:rsid w:val="00D850BB"/>
    <w:rsid w:val="00D85531"/>
    <w:rsid w:val="00D855F8"/>
    <w:rsid w:val="00D862AC"/>
    <w:rsid w:val="00D8661B"/>
    <w:rsid w:val="00D86848"/>
    <w:rsid w:val="00D86BE3"/>
    <w:rsid w:val="00D86DBB"/>
    <w:rsid w:val="00D872C8"/>
    <w:rsid w:val="00D87564"/>
    <w:rsid w:val="00D87871"/>
    <w:rsid w:val="00D87F0C"/>
    <w:rsid w:val="00D87F29"/>
    <w:rsid w:val="00D87FD9"/>
    <w:rsid w:val="00D902B9"/>
    <w:rsid w:val="00D9091E"/>
    <w:rsid w:val="00D9261C"/>
    <w:rsid w:val="00D92640"/>
    <w:rsid w:val="00D928E4"/>
    <w:rsid w:val="00D92FAC"/>
    <w:rsid w:val="00D94020"/>
    <w:rsid w:val="00D94962"/>
    <w:rsid w:val="00D9574D"/>
    <w:rsid w:val="00D95E03"/>
    <w:rsid w:val="00D95F4C"/>
    <w:rsid w:val="00D964FC"/>
    <w:rsid w:val="00D965FB"/>
    <w:rsid w:val="00D96AD9"/>
    <w:rsid w:val="00D96B30"/>
    <w:rsid w:val="00D97422"/>
    <w:rsid w:val="00D9742F"/>
    <w:rsid w:val="00D97D79"/>
    <w:rsid w:val="00DA0343"/>
    <w:rsid w:val="00DA0645"/>
    <w:rsid w:val="00DA0B92"/>
    <w:rsid w:val="00DA0D3B"/>
    <w:rsid w:val="00DA0DBF"/>
    <w:rsid w:val="00DA12F3"/>
    <w:rsid w:val="00DA25DB"/>
    <w:rsid w:val="00DA2A03"/>
    <w:rsid w:val="00DA2D02"/>
    <w:rsid w:val="00DA2D20"/>
    <w:rsid w:val="00DA37C6"/>
    <w:rsid w:val="00DA3CBE"/>
    <w:rsid w:val="00DA43E1"/>
    <w:rsid w:val="00DA43FC"/>
    <w:rsid w:val="00DA45FF"/>
    <w:rsid w:val="00DA4797"/>
    <w:rsid w:val="00DA4A43"/>
    <w:rsid w:val="00DA4A4C"/>
    <w:rsid w:val="00DA5072"/>
    <w:rsid w:val="00DA5A01"/>
    <w:rsid w:val="00DA6D76"/>
    <w:rsid w:val="00DA6DA9"/>
    <w:rsid w:val="00DA6FD5"/>
    <w:rsid w:val="00DA7924"/>
    <w:rsid w:val="00DA7992"/>
    <w:rsid w:val="00DA79C0"/>
    <w:rsid w:val="00DB00AF"/>
    <w:rsid w:val="00DB028E"/>
    <w:rsid w:val="00DB0611"/>
    <w:rsid w:val="00DB0A60"/>
    <w:rsid w:val="00DB0E63"/>
    <w:rsid w:val="00DB129F"/>
    <w:rsid w:val="00DB1C9A"/>
    <w:rsid w:val="00DB26F4"/>
    <w:rsid w:val="00DB32C2"/>
    <w:rsid w:val="00DB34F4"/>
    <w:rsid w:val="00DB40F4"/>
    <w:rsid w:val="00DB44B9"/>
    <w:rsid w:val="00DB5506"/>
    <w:rsid w:val="00DB5A8A"/>
    <w:rsid w:val="00DB5DF5"/>
    <w:rsid w:val="00DB662C"/>
    <w:rsid w:val="00DB79B4"/>
    <w:rsid w:val="00DB7BDA"/>
    <w:rsid w:val="00DC0706"/>
    <w:rsid w:val="00DC1323"/>
    <w:rsid w:val="00DC2276"/>
    <w:rsid w:val="00DC24A4"/>
    <w:rsid w:val="00DC276A"/>
    <w:rsid w:val="00DC2A13"/>
    <w:rsid w:val="00DC2C40"/>
    <w:rsid w:val="00DC33FC"/>
    <w:rsid w:val="00DC34D3"/>
    <w:rsid w:val="00DC354D"/>
    <w:rsid w:val="00DC40DE"/>
    <w:rsid w:val="00DC44EC"/>
    <w:rsid w:val="00DC4A90"/>
    <w:rsid w:val="00DC4A91"/>
    <w:rsid w:val="00DC4C77"/>
    <w:rsid w:val="00DC52AD"/>
    <w:rsid w:val="00DC5AD7"/>
    <w:rsid w:val="00DC5EA5"/>
    <w:rsid w:val="00DC62F0"/>
    <w:rsid w:val="00DC6769"/>
    <w:rsid w:val="00DC6BCB"/>
    <w:rsid w:val="00DC6C2B"/>
    <w:rsid w:val="00DC6CB9"/>
    <w:rsid w:val="00DC6D43"/>
    <w:rsid w:val="00DC708B"/>
    <w:rsid w:val="00DC7945"/>
    <w:rsid w:val="00DC7EFF"/>
    <w:rsid w:val="00DD0247"/>
    <w:rsid w:val="00DD0333"/>
    <w:rsid w:val="00DD04B1"/>
    <w:rsid w:val="00DD0790"/>
    <w:rsid w:val="00DD07A7"/>
    <w:rsid w:val="00DD09B7"/>
    <w:rsid w:val="00DD0DC1"/>
    <w:rsid w:val="00DD0F39"/>
    <w:rsid w:val="00DD1467"/>
    <w:rsid w:val="00DD1721"/>
    <w:rsid w:val="00DD18C7"/>
    <w:rsid w:val="00DD1A47"/>
    <w:rsid w:val="00DD1AFE"/>
    <w:rsid w:val="00DD1E2A"/>
    <w:rsid w:val="00DD2022"/>
    <w:rsid w:val="00DD21B4"/>
    <w:rsid w:val="00DD2439"/>
    <w:rsid w:val="00DD264E"/>
    <w:rsid w:val="00DD2695"/>
    <w:rsid w:val="00DD27E3"/>
    <w:rsid w:val="00DD29B7"/>
    <w:rsid w:val="00DD37AA"/>
    <w:rsid w:val="00DD3B5E"/>
    <w:rsid w:val="00DD40BA"/>
    <w:rsid w:val="00DD431C"/>
    <w:rsid w:val="00DD4549"/>
    <w:rsid w:val="00DD4EE8"/>
    <w:rsid w:val="00DD5021"/>
    <w:rsid w:val="00DD5A76"/>
    <w:rsid w:val="00DD5F11"/>
    <w:rsid w:val="00DD6015"/>
    <w:rsid w:val="00DD6920"/>
    <w:rsid w:val="00DD6BD5"/>
    <w:rsid w:val="00DD6C1A"/>
    <w:rsid w:val="00DD6D56"/>
    <w:rsid w:val="00DD71CD"/>
    <w:rsid w:val="00DD78D8"/>
    <w:rsid w:val="00DD7E88"/>
    <w:rsid w:val="00DE04BB"/>
    <w:rsid w:val="00DE094E"/>
    <w:rsid w:val="00DE113E"/>
    <w:rsid w:val="00DE13AD"/>
    <w:rsid w:val="00DE1525"/>
    <w:rsid w:val="00DE23E2"/>
    <w:rsid w:val="00DE2489"/>
    <w:rsid w:val="00DE2D06"/>
    <w:rsid w:val="00DE3175"/>
    <w:rsid w:val="00DE3A8E"/>
    <w:rsid w:val="00DE3FDA"/>
    <w:rsid w:val="00DE47FA"/>
    <w:rsid w:val="00DE596A"/>
    <w:rsid w:val="00DE5A17"/>
    <w:rsid w:val="00DE68AF"/>
    <w:rsid w:val="00DE6987"/>
    <w:rsid w:val="00DE700A"/>
    <w:rsid w:val="00DE7157"/>
    <w:rsid w:val="00DE720A"/>
    <w:rsid w:val="00DE7643"/>
    <w:rsid w:val="00DE76A7"/>
    <w:rsid w:val="00DE7BEF"/>
    <w:rsid w:val="00DE7E5E"/>
    <w:rsid w:val="00DE7EE9"/>
    <w:rsid w:val="00DE7FBD"/>
    <w:rsid w:val="00DF0324"/>
    <w:rsid w:val="00DF0415"/>
    <w:rsid w:val="00DF04E8"/>
    <w:rsid w:val="00DF0512"/>
    <w:rsid w:val="00DF0D08"/>
    <w:rsid w:val="00DF14E3"/>
    <w:rsid w:val="00DF16EC"/>
    <w:rsid w:val="00DF1949"/>
    <w:rsid w:val="00DF22DA"/>
    <w:rsid w:val="00DF26A0"/>
    <w:rsid w:val="00DF32DB"/>
    <w:rsid w:val="00DF364F"/>
    <w:rsid w:val="00DF3A36"/>
    <w:rsid w:val="00DF3A7E"/>
    <w:rsid w:val="00DF3F6D"/>
    <w:rsid w:val="00DF434A"/>
    <w:rsid w:val="00DF5298"/>
    <w:rsid w:val="00DF54FA"/>
    <w:rsid w:val="00DF56D9"/>
    <w:rsid w:val="00DF579C"/>
    <w:rsid w:val="00DF5A26"/>
    <w:rsid w:val="00DF5A5E"/>
    <w:rsid w:val="00DF6C16"/>
    <w:rsid w:val="00DF6E59"/>
    <w:rsid w:val="00DF70FF"/>
    <w:rsid w:val="00DF742D"/>
    <w:rsid w:val="00DF75BC"/>
    <w:rsid w:val="00DF7DA1"/>
    <w:rsid w:val="00DF7EC6"/>
    <w:rsid w:val="00E0089B"/>
    <w:rsid w:val="00E00BE8"/>
    <w:rsid w:val="00E00C3E"/>
    <w:rsid w:val="00E01B25"/>
    <w:rsid w:val="00E01F93"/>
    <w:rsid w:val="00E027BA"/>
    <w:rsid w:val="00E02E38"/>
    <w:rsid w:val="00E02FAC"/>
    <w:rsid w:val="00E033CC"/>
    <w:rsid w:val="00E03444"/>
    <w:rsid w:val="00E034A2"/>
    <w:rsid w:val="00E04314"/>
    <w:rsid w:val="00E04435"/>
    <w:rsid w:val="00E045F0"/>
    <w:rsid w:val="00E04D50"/>
    <w:rsid w:val="00E04ECE"/>
    <w:rsid w:val="00E0553A"/>
    <w:rsid w:val="00E056EB"/>
    <w:rsid w:val="00E05858"/>
    <w:rsid w:val="00E05864"/>
    <w:rsid w:val="00E06007"/>
    <w:rsid w:val="00E06312"/>
    <w:rsid w:val="00E06C03"/>
    <w:rsid w:val="00E06C45"/>
    <w:rsid w:val="00E06D2D"/>
    <w:rsid w:val="00E0717C"/>
    <w:rsid w:val="00E07522"/>
    <w:rsid w:val="00E07F5C"/>
    <w:rsid w:val="00E1002B"/>
    <w:rsid w:val="00E10218"/>
    <w:rsid w:val="00E10E5F"/>
    <w:rsid w:val="00E11E17"/>
    <w:rsid w:val="00E11FD4"/>
    <w:rsid w:val="00E12718"/>
    <w:rsid w:val="00E12CA1"/>
    <w:rsid w:val="00E12DA3"/>
    <w:rsid w:val="00E12FB8"/>
    <w:rsid w:val="00E13BB4"/>
    <w:rsid w:val="00E13D48"/>
    <w:rsid w:val="00E140AB"/>
    <w:rsid w:val="00E1440D"/>
    <w:rsid w:val="00E151F7"/>
    <w:rsid w:val="00E15289"/>
    <w:rsid w:val="00E1567A"/>
    <w:rsid w:val="00E15714"/>
    <w:rsid w:val="00E16269"/>
    <w:rsid w:val="00E1686F"/>
    <w:rsid w:val="00E16B9B"/>
    <w:rsid w:val="00E16E80"/>
    <w:rsid w:val="00E17676"/>
    <w:rsid w:val="00E1795C"/>
    <w:rsid w:val="00E17ECE"/>
    <w:rsid w:val="00E20841"/>
    <w:rsid w:val="00E20A7E"/>
    <w:rsid w:val="00E20B7E"/>
    <w:rsid w:val="00E20FBA"/>
    <w:rsid w:val="00E21501"/>
    <w:rsid w:val="00E21841"/>
    <w:rsid w:val="00E21909"/>
    <w:rsid w:val="00E21FE6"/>
    <w:rsid w:val="00E22679"/>
    <w:rsid w:val="00E22CDD"/>
    <w:rsid w:val="00E22F45"/>
    <w:rsid w:val="00E23039"/>
    <w:rsid w:val="00E23D9E"/>
    <w:rsid w:val="00E23E9C"/>
    <w:rsid w:val="00E2422C"/>
    <w:rsid w:val="00E2439E"/>
    <w:rsid w:val="00E2544A"/>
    <w:rsid w:val="00E258AD"/>
    <w:rsid w:val="00E2593C"/>
    <w:rsid w:val="00E25B7A"/>
    <w:rsid w:val="00E25C16"/>
    <w:rsid w:val="00E25DCD"/>
    <w:rsid w:val="00E268E3"/>
    <w:rsid w:val="00E26915"/>
    <w:rsid w:val="00E26ABB"/>
    <w:rsid w:val="00E27204"/>
    <w:rsid w:val="00E273E3"/>
    <w:rsid w:val="00E275C0"/>
    <w:rsid w:val="00E30053"/>
    <w:rsid w:val="00E300F1"/>
    <w:rsid w:val="00E308CA"/>
    <w:rsid w:val="00E30D77"/>
    <w:rsid w:val="00E31455"/>
    <w:rsid w:val="00E319EE"/>
    <w:rsid w:val="00E31BC1"/>
    <w:rsid w:val="00E31CB2"/>
    <w:rsid w:val="00E31D1D"/>
    <w:rsid w:val="00E31F87"/>
    <w:rsid w:val="00E3238D"/>
    <w:rsid w:val="00E32672"/>
    <w:rsid w:val="00E339B7"/>
    <w:rsid w:val="00E34332"/>
    <w:rsid w:val="00E344B3"/>
    <w:rsid w:val="00E34500"/>
    <w:rsid w:val="00E347C8"/>
    <w:rsid w:val="00E34B23"/>
    <w:rsid w:val="00E34C88"/>
    <w:rsid w:val="00E34C96"/>
    <w:rsid w:val="00E34CCB"/>
    <w:rsid w:val="00E34E48"/>
    <w:rsid w:val="00E351EE"/>
    <w:rsid w:val="00E3528F"/>
    <w:rsid w:val="00E355EC"/>
    <w:rsid w:val="00E3586B"/>
    <w:rsid w:val="00E35A27"/>
    <w:rsid w:val="00E35B58"/>
    <w:rsid w:val="00E35BAA"/>
    <w:rsid w:val="00E35C14"/>
    <w:rsid w:val="00E362AD"/>
    <w:rsid w:val="00E36338"/>
    <w:rsid w:val="00E363F5"/>
    <w:rsid w:val="00E374EF"/>
    <w:rsid w:val="00E377A5"/>
    <w:rsid w:val="00E37B2A"/>
    <w:rsid w:val="00E37D57"/>
    <w:rsid w:val="00E37E18"/>
    <w:rsid w:val="00E37E4D"/>
    <w:rsid w:val="00E410AA"/>
    <w:rsid w:val="00E411C4"/>
    <w:rsid w:val="00E41346"/>
    <w:rsid w:val="00E41351"/>
    <w:rsid w:val="00E41435"/>
    <w:rsid w:val="00E41EAD"/>
    <w:rsid w:val="00E41FA6"/>
    <w:rsid w:val="00E4202A"/>
    <w:rsid w:val="00E4215F"/>
    <w:rsid w:val="00E4251D"/>
    <w:rsid w:val="00E43503"/>
    <w:rsid w:val="00E43605"/>
    <w:rsid w:val="00E43710"/>
    <w:rsid w:val="00E43775"/>
    <w:rsid w:val="00E43A8F"/>
    <w:rsid w:val="00E43B5D"/>
    <w:rsid w:val="00E44883"/>
    <w:rsid w:val="00E4495C"/>
    <w:rsid w:val="00E44CCC"/>
    <w:rsid w:val="00E44CD5"/>
    <w:rsid w:val="00E44F32"/>
    <w:rsid w:val="00E45686"/>
    <w:rsid w:val="00E45757"/>
    <w:rsid w:val="00E4588F"/>
    <w:rsid w:val="00E459AD"/>
    <w:rsid w:val="00E4612D"/>
    <w:rsid w:val="00E46E2F"/>
    <w:rsid w:val="00E4745B"/>
    <w:rsid w:val="00E50B7F"/>
    <w:rsid w:val="00E50E51"/>
    <w:rsid w:val="00E51E5D"/>
    <w:rsid w:val="00E52086"/>
    <w:rsid w:val="00E522CF"/>
    <w:rsid w:val="00E523B2"/>
    <w:rsid w:val="00E528B6"/>
    <w:rsid w:val="00E529EB"/>
    <w:rsid w:val="00E52C66"/>
    <w:rsid w:val="00E52D71"/>
    <w:rsid w:val="00E53213"/>
    <w:rsid w:val="00E533DD"/>
    <w:rsid w:val="00E53F3A"/>
    <w:rsid w:val="00E543EC"/>
    <w:rsid w:val="00E5488B"/>
    <w:rsid w:val="00E548E3"/>
    <w:rsid w:val="00E55381"/>
    <w:rsid w:val="00E5545F"/>
    <w:rsid w:val="00E55541"/>
    <w:rsid w:val="00E55EB9"/>
    <w:rsid w:val="00E5626A"/>
    <w:rsid w:val="00E56326"/>
    <w:rsid w:val="00E567F7"/>
    <w:rsid w:val="00E56EF5"/>
    <w:rsid w:val="00E60032"/>
    <w:rsid w:val="00E60AAC"/>
    <w:rsid w:val="00E60EA3"/>
    <w:rsid w:val="00E61571"/>
    <w:rsid w:val="00E61D91"/>
    <w:rsid w:val="00E6203E"/>
    <w:rsid w:val="00E622F0"/>
    <w:rsid w:val="00E62B14"/>
    <w:rsid w:val="00E63521"/>
    <w:rsid w:val="00E639A9"/>
    <w:rsid w:val="00E6451F"/>
    <w:rsid w:val="00E648C6"/>
    <w:rsid w:val="00E64918"/>
    <w:rsid w:val="00E649C1"/>
    <w:rsid w:val="00E655FF"/>
    <w:rsid w:val="00E660ED"/>
    <w:rsid w:val="00E663E3"/>
    <w:rsid w:val="00E668FB"/>
    <w:rsid w:val="00E67260"/>
    <w:rsid w:val="00E6742F"/>
    <w:rsid w:val="00E70B41"/>
    <w:rsid w:val="00E70F30"/>
    <w:rsid w:val="00E71881"/>
    <w:rsid w:val="00E71A79"/>
    <w:rsid w:val="00E71C41"/>
    <w:rsid w:val="00E72242"/>
    <w:rsid w:val="00E72421"/>
    <w:rsid w:val="00E72A9A"/>
    <w:rsid w:val="00E72AC5"/>
    <w:rsid w:val="00E72E74"/>
    <w:rsid w:val="00E730E2"/>
    <w:rsid w:val="00E734E9"/>
    <w:rsid w:val="00E73CD9"/>
    <w:rsid w:val="00E741C5"/>
    <w:rsid w:val="00E7473A"/>
    <w:rsid w:val="00E74912"/>
    <w:rsid w:val="00E753F1"/>
    <w:rsid w:val="00E75EDB"/>
    <w:rsid w:val="00E7673E"/>
    <w:rsid w:val="00E7692F"/>
    <w:rsid w:val="00E7699E"/>
    <w:rsid w:val="00E76A30"/>
    <w:rsid w:val="00E76AAB"/>
    <w:rsid w:val="00E76C79"/>
    <w:rsid w:val="00E76C88"/>
    <w:rsid w:val="00E76D64"/>
    <w:rsid w:val="00E77080"/>
    <w:rsid w:val="00E77257"/>
    <w:rsid w:val="00E7731B"/>
    <w:rsid w:val="00E7732A"/>
    <w:rsid w:val="00E77365"/>
    <w:rsid w:val="00E77B37"/>
    <w:rsid w:val="00E77FA7"/>
    <w:rsid w:val="00E8102B"/>
    <w:rsid w:val="00E8160F"/>
    <w:rsid w:val="00E819DC"/>
    <w:rsid w:val="00E81DFF"/>
    <w:rsid w:val="00E834BA"/>
    <w:rsid w:val="00E83D10"/>
    <w:rsid w:val="00E83E85"/>
    <w:rsid w:val="00E83F5E"/>
    <w:rsid w:val="00E84298"/>
    <w:rsid w:val="00E84315"/>
    <w:rsid w:val="00E8452F"/>
    <w:rsid w:val="00E847EB"/>
    <w:rsid w:val="00E84857"/>
    <w:rsid w:val="00E84B9F"/>
    <w:rsid w:val="00E862B4"/>
    <w:rsid w:val="00E86413"/>
    <w:rsid w:val="00E86419"/>
    <w:rsid w:val="00E86895"/>
    <w:rsid w:val="00E86A71"/>
    <w:rsid w:val="00E879D0"/>
    <w:rsid w:val="00E87C9A"/>
    <w:rsid w:val="00E9021D"/>
    <w:rsid w:val="00E90298"/>
    <w:rsid w:val="00E905B8"/>
    <w:rsid w:val="00E90A18"/>
    <w:rsid w:val="00E915E1"/>
    <w:rsid w:val="00E9165C"/>
    <w:rsid w:val="00E920C1"/>
    <w:rsid w:val="00E92839"/>
    <w:rsid w:val="00E92E32"/>
    <w:rsid w:val="00E92E8E"/>
    <w:rsid w:val="00E931F4"/>
    <w:rsid w:val="00E933A9"/>
    <w:rsid w:val="00E93BC3"/>
    <w:rsid w:val="00E93D62"/>
    <w:rsid w:val="00E942D3"/>
    <w:rsid w:val="00E94440"/>
    <w:rsid w:val="00E945F0"/>
    <w:rsid w:val="00E946C2"/>
    <w:rsid w:val="00E9492B"/>
    <w:rsid w:val="00E949BE"/>
    <w:rsid w:val="00E94C49"/>
    <w:rsid w:val="00E94E5D"/>
    <w:rsid w:val="00E94FC7"/>
    <w:rsid w:val="00E950A2"/>
    <w:rsid w:val="00E9515E"/>
    <w:rsid w:val="00E951A1"/>
    <w:rsid w:val="00E95664"/>
    <w:rsid w:val="00E959B6"/>
    <w:rsid w:val="00E95C28"/>
    <w:rsid w:val="00E965B6"/>
    <w:rsid w:val="00EA0046"/>
    <w:rsid w:val="00EA01B2"/>
    <w:rsid w:val="00EA03A2"/>
    <w:rsid w:val="00EA0536"/>
    <w:rsid w:val="00EA08CB"/>
    <w:rsid w:val="00EA1746"/>
    <w:rsid w:val="00EA1CE9"/>
    <w:rsid w:val="00EA202E"/>
    <w:rsid w:val="00EA2497"/>
    <w:rsid w:val="00EA3576"/>
    <w:rsid w:val="00EA3766"/>
    <w:rsid w:val="00EA3808"/>
    <w:rsid w:val="00EA3C86"/>
    <w:rsid w:val="00EA40FF"/>
    <w:rsid w:val="00EA4559"/>
    <w:rsid w:val="00EA502F"/>
    <w:rsid w:val="00EA517F"/>
    <w:rsid w:val="00EA54F2"/>
    <w:rsid w:val="00EA5692"/>
    <w:rsid w:val="00EA5921"/>
    <w:rsid w:val="00EA5D7E"/>
    <w:rsid w:val="00EA5FB5"/>
    <w:rsid w:val="00EA65D0"/>
    <w:rsid w:val="00EA67D5"/>
    <w:rsid w:val="00EA6ED3"/>
    <w:rsid w:val="00EA7160"/>
    <w:rsid w:val="00EA7B45"/>
    <w:rsid w:val="00EB04FA"/>
    <w:rsid w:val="00EB085C"/>
    <w:rsid w:val="00EB0B6E"/>
    <w:rsid w:val="00EB0C1B"/>
    <w:rsid w:val="00EB1032"/>
    <w:rsid w:val="00EB135F"/>
    <w:rsid w:val="00EB2BE3"/>
    <w:rsid w:val="00EB30AB"/>
    <w:rsid w:val="00EB358B"/>
    <w:rsid w:val="00EB3E5B"/>
    <w:rsid w:val="00EB3E6F"/>
    <w:rsid w:val="00EB3F4E"/>
    <w:rsid w:val="00EB433A"/>
    <w:rsid w:val="00EB4989"/>
    <w:rsid w:val="00EB4999"/>
    <w:rsid w:val="00EB4C49"/>
    <w:rsid w:val="00EB4F9F"/>
    <w:rsid w:val="00EB5604"/>
    <w:rsid w:val="00EB57D7"/>
    <w:rsid w:val="00EB5A5C"/>
    <w:rsid w:val="00EB6232"/>
    <w:rsid w:val="00EB6336"/>
    <w:rsid w:val="00EB6CEE"/>
    <w:rsid w:val="00EB718B"/>
    <w:rsid w:val="00EB7513"/>
    <w:rsid w:val="00EB77C6"/>
    <w:rsid w:val="00EB7CC4"/>
    <w:rsid w:val="00EB7E1E"/>
    <w:rsid w:val="00EC03CF"/>
    <w:rsid w:val="00EC0B0B"/>
    <w:rsid w:val="00EC0D5D"/>
    <w:rsid w:val="00EC0F5F"/>
    <w:rsid w:val="00EC0F60"/>
    <w:rsid w:val="00EC10F1"/>
    <w:rsid w:val="00EC1213"/>
    <w:rsid w:val="00EC1229"/>
    <w:rsid w:val="00EC12B2"/>
    <w:rsid w:val="00EC1E33"/>
    <w:rsid w:val="00EC2658"/>
    <w:rsid w:val="00EC2C1A"/>
    <w:rsid w:val="00EC34B7"/>
    <w:rsid w:val="00EC3EB4"/>
    <w:rsid w:val="00EC406A"/>
    <w:rsid w:val="00EC4378"/>
    <w:rsid w:val="00EC46D6"/>
    <w:rsid w:val="00EC4800"/>
    <w:rsid w:val="00EC4B3B"/>
    <w:rsid w:val="00EC4F7A"/>
    <w:rsid w:val="00EC561F"/>
    <w:rsid w:val="00EC60EF"/>
    <w:rsid w:val="00EC679C"/>
    <w:rsid w:val="00EC6D0A"/>
    <w:rsid w:val="00EC7227"/>
    <w:rsid w:val="00EC7478"/>
    <w:rsid w:val="00EC79ED"/>
    <w:rsid w:val="00EC7D97"/>
    <w:rsid w:val="00ED0610"/>
    <w:rsid w:val="00ED0816"/>
    <w:rsid w:val="00ED0884"/>
    <w:rsid w:val="00ED0C98"/>
    <w:rsid w:val="00ED0D71"/>
    <w:rsid w:val="00ED1432"/>
    <w:rsid w:val="00ED1CA1"/>
    <w:rsid w:val="00ED2258"/>
    <w:rsid w:val="00ED317B"/>
    <w:rsid w:val="00ED39A8"/>
    <w:rsid w:val="00ED3B03"/>
    <w:rsid w:val="00ED3E9B"/>
    <w:rsid w:val="00ED3E9F"/>
    <w:rsid w:val="00ED3F7A"/>
    <w:rsid w:val="00ED43BA"/>
    <w:rsid w:val="00ED47DC"/>
    <w:rsid w:val="00ED4865"/>
    <w:rsid w:val="00ED4B90"/>
    <w:rsid w:val="00ED5603"/>
    <w:rsid w:val="00ED65B3"/>
    <w:rsid w:val="00ED6756"/>
    <w:rsid w:val="00ED6A15"/>
    <w:rsid w:val="00ED6E4D"/>
    <w:rsid w:val="00ED7142"/>
    <w:rsid w:val="00ED727A"/>
    <w:rsid w:val="00ED76B8"/>
    <w:rsid w:val="00ED7A82"/>
    <w:rsid w:val="00ED7BB9"/>
    <w:rsid w:val="00EE0CE7"/>
    <w:rsid w:val="00EE113A"/>
    <w:rsid w:val="00EE148E"/>
    <w:rsid w:val="00EE1A01"/>
    <w:rsid w:val="00EE1BF8"/>
    <w:rsid w:val="00EE20CE"/>
    <w:rsid w:val="00EE218C"/>
    <w:rsid w:val="00EE231D"/>
    <w:rsid w:val="00EE2439"/>
    <w:rsid w:val="00EE302F"/>
    <w:rsid w:val="00EE3134"/>
    <w:rsid w:val="00EE3273"/>
    <w:rsid w:val="00EE35F5"/>
    <w:rsid w:val="00EE3CD8"/>
    <w:rsid w:val="00EE3D7C"/>
    <w:rsid w:val="00EE4827"/>
    <w:rsid w:val="00EE4F3D"/>
    <w:rsid w:val="00EE5FC5"/>
    <w:rsid w:val="00EE6240"/>
    <w:rsid w:val="00EE629C"/>
    <w:rsid w:val="00EE6472"/>
    <w:rsid w:val="00EE6614"/>
    <w:rsid w:val="00EE6DCA"/>
    <w:rsid w:val="00EE6F7C"/>
    <w:rsid w:val="00EE7028"/>
    <w:rsid w:val="00EE715B"/>
    <w:rsid w:val="00EE7459"/>
    <w:rsid w:val="00EE7711"/>
    <w:rsid w:val="00EE7CD7"/>
    <w:rsid w:val="00EE7FD6"/>
    <w:rsid w:val="00EF0227"/>
    <w:rsid w:val="00EF0EC9"/>
    <w:rsid w:val="00EF10E0"/>
    <w:rsid w:val="00EF1C6B"/>
    <w:rsid w:val="00EF2704"/>
    <w:rsid w:val="00EF2929"/>
    <w:rsid w:val="00EF2DAD"/>
    <w:rsid w:val="00EF3028"/>
    <w:rsid w:val="00EF342F"/>
    <w:rsid w:val="00EF347D"/>
    <w:rsid w:val="00EF37BE"/>
    <w:rsid w:val="00EF4490"/>
    <w:rsid w:val="00EF4A94"/>
    <w:rsid w:val="00EF5398"/>
    <w:rsid w:val="00EF5401"/>
    <w:rsid w:val="00EF59E1"/>
    <w:rsid w:val="00EF5B70"/>
    <w:rsid w:val="00EF60F5"/>
    <w:rsid w:val="00EF66F8"/>
    <w:rsid w:val="00EF6E34"/>
    <w:rsid w:val="00EF7042"/>
    <w:rsid w:val="00F0074B"/>
    <w:rsid w:val="00F00CB0"/>
    <w:rsid w:val="00F0107F"/>
    <w:rsid w:val="00F01605"/>
    <w:rsid w:val="00F01668"/>
    <w:rsid w:val="00F01B3B"/>
    <w:rsid w:val="00F01D40"/>
    <w:rsid w:val="00F024D6"/>
    <w:rsid w:val="00F0289B"/>
    <w:rsid w:val="00F02980"/>
    <w:rsid w:val="00F02ACB"/>
    <w:rsid w:val="00F02B2E"/>
    <w:rsid w:val="00F02D28"/>
    <w:rsid w:val="00F0318A"/>
    <w:rsid w:val="00F0367B"/>
    <w:rsid w:val="00F03783"/>
    <w:rsid w:val="00F041D9"/>
    <w:rsid w:val="00F053E7"/>
    <w:rsid w:val="00F05D36"/>
    <w:rsid w:val="00F05F9E"/>
    <w:rsid w:val="00F0642D"/>
    <w:rsid w:val="00F06C07"/>
    <w:rsid w:val="00F0701C"/>
    <w:rsid w:val="00F07193"/>
    <w:rsid w:val="00F07B57"/>
    <w:rsid w:val="00F12246"/>
    <w:rsid w:val="00F124ED"/>
    <w:rsid w:val="00F12771"/>
    <w:rsid w:val="00F12794"/>
    <w:rsid w:val="00F127EE"/>
    <w:rsid w:val="00F128E4"/>
    <w:rsid w:val="00F12E08"/>
    <w:rsid w:val="00F1311C"/>
    <w:rsid w:val="00F13841"/>
    <w:rsid w:val="00F1409D"/>
    <w:rsid w:val="00F141A3"/>
    <w:rsid w:val="00F14D49"/>
    <w:rsid w:val="00F14DD2"/>
    <w:rsid w:val="00F14E5D"/>
    <w:rsid w:val="00F14FBB"/>
    <w:rsid w:val="00F1516B"/>
    <w:rsid w:val="00F151EC"/>
    <w:rsid w:val="00F152A3"/>
    <w:rsid w:val="00F155EC"/>
    <w:rsid w:val="00F15639"/>
    <w:rsid w:val="00F15CC0"/>
    <w:rsid w:val="00F15DD1"/>
    <w:rsid w:val="00F16659"/>
    <w:rsid w:val="00F16812"/>
    <w:rsid w:val="00F1721D"/>
    <w:rsid w:val="00F2097D"/>
    <w:rsid w:val="00F209D2"/>
    <w:rsid w:val="00F21B5F"/>
    <w:rsid w:val="00F21C33"/>
    <w:rsid w:val="00F226DF"/>
    <w:rsid w:val="00F22774"/>
    <w:rsid w:val="00F229D9"/>
    <w:rsid w:val="00F22FA9"/>
    <w:rsid w:val="00F230A5"/>
    <w:rsid w:val="00F237D1"/>
    <w:rsid w:val="00F2395C"/>
    <w:rsid w:val="00F23984"/>
    <w:rsid w:val="00F23C8F"/>
    <w:rsid w:val="00F2454E"/>
    <w:rsid w:val="00F246ED"/>
    <w:rsid w:val="00F24B55"/>
    <w:rsid w:val="00F2550D"/>
    <w:rsid w:val="00F2551D"/>
    <w:rsid w:val="00F25569"/>
    <w:rsid w:val="00F26279"/>
    <w:rsid w:val="00F26D68"/>
    <w:rsid w:val="00F26E2D"/>
    <w:rsid w:val="00F26ED0"/>
    <w:rsid w:val="00F27A92"/>
    <w:rsid w:val="00F27C55"/>
    <w:rsid w:val="00F30132"/>
    <w:rsid w:val="00F31293"/>
    <w:rsid w:val="00F31917"/>
    <w:rsid w:val="00F31B13"/>
    <w:rsid w:val="00F31D8B"/>
    <w:rsid w:val="00F32277"/>
    <w:rsid w:val="00F32301"/>
    <w:rsid w:val="00F32536"/>
    <w:rsid w:val="00F32A92"/>
    <w:rsid w:val="00F32DD7"/>
    <w:rsid w:val="00F33089"/>
    <w:rsid w:val="00F33719"/>
    <w:rsid w:val="00F3398B"/>
    <w:rsid w:val="00F33A33"/>
    <w:rsid w:val="00F33BBB"/>
    <w:rsid w:val="00F34031"/>
    <w:rsid w:val="00F34CE9"/>
    <w:rsid w:val="00F35380"/>
    <w:rsid w:val="00F35E70"/>
    <w:rsid w:val="00F36A5C"/>
    <w:rsid w:val="00F36B92"/>
    <w:rsid w:val="00F36BAB"/>
    <w:rsid w:val="00F36E1F"/>
    <w:rsid w:val="00F3770E"/>
    <w:rsid w:val="00F3772D"/>
    <w:rsid w:val="00F37894"/>
    <w:rsid w:val="00F401A4"/>
    <w:rsid w:val="00F40388"/>
    <w:rsid w:val="00F40AE2"/>
    <w:rsid w:val="00F41248"/>
    <w:rsid w:val="00F41469"/>
    <w:rsid w:val="00F4167D"/>
    <w:rsid w:val="00F41B05"/>
    <w:rsid w:val="00F41D7B"/>
    <w:rsid w:val="00F425AB"/>
    <w:rsid w:val="00F42A0D"/>
    <w:rsid w:val="00F42CD6"/>
    <w:rsid w:val="00F43329"/>
    <w:rsid w:val="00F43345"/>
    <w:rsid w:val="00F4353C"/>
    <w:rsid w:val="00F435B0"/>
    <w:rsid w:val="00F448BE"/>
    <w:rsid w:val="00F44AE3"/>
    <w:rsid w:val="00F44B8E"/>
    <w:rsid w:val="00F452B8"/>
    <w:rsid w:val="00F45319"/>
    <w:rsid w:val="00F4586D"/>
    <w:rsid w:val="00F45AD6"/>
    <w:rsid w:val="00F461BE"/>
    <w:rsid w:val="00F46357"/>
    <w:rsid w:val="00F463CE"/>
    <w:rsid w:val="00F465F2"/>
    <w:rsid w:val="00F46624"/>
    <w:rsid w:val="00F46755"/>
    <w:rsid w:val="00F46898"/>
    <w:rsid w:val="00F46CFC"/>
    <w:rsid w:val="00F47383"/>
    <w:rsid w:val="00F474A5"/>
    <w:rsid w:val="00F50600"/>
    <w:rsid w:val="00F50673"/>
    <w:rsid w:val="00F508D5"/>
    <w:rsid w:val="00F50A6D"/>
    <w:rsid w:val="00F50D94"/>
    <w:rsid w:val="00F50E83"/>
    <w:rsid w:val="00F50F48"/>
    <w:rsid w:val="00F510B5"/>
    <w:rsid w:val="00F512E2"/>
    <w:rsid w:val="00F517CC"/>
    <w:rsid w:val="00F51B1D"/>
    <w:rsid w:val="00F52DC8"/>
    <w:rsid w:val="00F52E7B"/>
    <w:rsid w:val="00F53659"/>
    <w:rsid w:val="00F537CF"/>
    <w:rsid w:val="00F53A50"/>
    <w:rsid w:val="00F53B69"/>
    <w:rsid w:val="00F542ED"/>
    <w:rsid w:val="00F5432B"/>
    <w:rsid w:val="00F54685"/>
    <w:rsid w:val="00F54BDA"/>
    <w:rsid w:val="00F54EA9"/>
    <w:rsid w:val="00F5508C"/>
    <w:rsid w:val="00F5514E"/>
    <w:rsid w:val="00F55342"/>
    <w:rsid w:val="00F5585A"/>
    <w:rsid w:val="00F56081"/>
    <w:rsid w:val="00F560B9"/>
    <w:rsid w:val="00F565DF"/>
    <w:rsid w:val="00F56BD1"/>
    <w:rsid w:val="00F56E37"/>
    <w:rsid w:val="00F571D4"/>
    <w:rsid w:val="00F57631"/>
    <w:rsid w:val="00F57F7E"/>
    <w:rsid w:val="00F603F7"/>
    <w:rsid w:val="00F60B87"/>
    <w:rsid w:val="00F613F1"/>
    <w:rsid w:val="00F617F2"/>
    <w:rsid w:val="00F61D30"/>
    <w:rsid w:val="00F61E07"/>
    <w:rsid w:val="00F61EE9"/>
    <w:rsid w:val="00F622E2"/>
    <w:rsid w:val="00F6238D"/>
    <w:rsid w:val="00F625F7"/>
    <w:rsid w:val="00F64BBA"/>
    <w:rsid w:val="00F65002"/>
    <w:rsid w:val="00F6502E"/>
    <w:rsid w:val="00F65048"/>
    <w:rsid w:val="00F6508A"/>
    <w:rsid w:val="00F656F9"/>
    <w:rsid w:val="00F65D8F"/>
    <w:rsid w:val="00F661E6"/>
    <w:rsid w:val="00F669DC"/>
    <w:rsid w:val="00F66A68"/>
    <w:rsid w:val="00F66E20"/>
    <w:rsid w:val="00F6711D"/>
    <w:rsid w:val="00F67579"/>
    <w:rsid w:val="00F67803"/>
    <w:rsid w:val="00F700B4"/>
    <w:rsid w:val="00F71CC0"/>
    <w:rsid w:val="00F71E15"/>
    <w:rsid w:val="00F724FD"/>
    <w:rsid w:val="00F7263F"/>
    <w:rsid w:val="00F729E7"/>
    <w:rsid w:val="00F72F8B"/>
    <w:rsid w:val="00F731B6"/>
    <w:rsid w:val="00F7427E"/>
    <w:rsid w:val="00F746B8"/>
    <w:rsid w:val="00F746C6"/>
    <w:rsid w:val="00F74B9D"/>
    <w:rsid w:val="00F751A4"/>
    <w:rsid w:val="00F75717"/>
    <w:rsid w:val="00F75850"/>
    <w:rsid w:val="00F76EA3"/>
    <w:rsid w:val="00F774B7"/>
    <w:rsid w:val="00F80276"/>
    <w:rsid w:val="00F80487"/>
    <w:rsid w:val="00F811F2"/>
    <w:rsid w:val="00F8156D"/>
    <w:rsid w:val="00F81C0D"/>
    <w:rsid w:val="00F81E16"/>
    <w:rsid w:val="00F82A0F"/>
    <w:rsid w:val="00F82A53"/>
    <w:rsid w:val="00F8329A"/>
    <w:rsid w:val="00F839B7"/>
    <w:rsid w:val="00F83A2B"/>
    <w:rsid w:val="00F83ACD"/>
    <w:rsid w:val="00F83CD0"/>
    <w:rsid w:val="00F8447B"/>
    <w:rsid w:val="00F84552"/>
    <w:rsid w:val="00F8471A"/>
    <w:rsid w:val="00F84EE9"/>
    <w:rsid w:val="00F8511A"/>
    <w:rsid w:val="00F855EA"/>
    <w:rsid w:val="00F856E1"/>
    <w:rsid w:val="00F856EC"/>
    <w:rsid w:val="00F859F4"/>
    <w:rsid w:val="00F85BB0"/>
    <w:rsid w:val="00F85C5B"/>
    <w:rsid w:val="00F85CA6"/>
    <w:rsid w:val="00F85D49"/>
    <w:rsid w:val="00F860D8"/>
    <w:rsid w:val="00F865C7"/>
    <w:rsid w:val="00F8660B"/>
    <w:rsid w:val="00F86BB3"/>
    <w:rsid w:val="00F86D35"/>
    <w:rsid w:val="00F870E5"/>
    <w:rsid w:val="00F87F76"/>
    <w:rsid w:val="00F902AE"/>
    <w:rsid w:val="00F903F9"/>
    <w:rsid w:val="00F90967"/>
    <w:rsid w:val="00F90A0A"/>
    <w:rsid w:val="00F90DA9"/>
    <w:rsid w:val="00F9103E"/>
    <w:rsid w:val="00F9130C"/>
    <w:rsid w:val="00F913D0"/>
    <w:rsid w:val="00F91CC9"/>
    <w:rsid w:val="00F9218F"/>
    <w:rsid w:val="00F925E0"/>
    <w:rsid w:val="00F92AEF"/>
    <w:rsid w:val="00F92BDE"/>
    <w:rsid w:val="00F931DC"/>
    <w:rsid w:val="00F938A6"/>
    <w:rsid w:val="00F94812"/>
    <w:rsid w:val="00F94846"/>
    <w:rsid w:val="00F948CF"/>
    <w:rsid w:val="00F94CE7"/>
    <w:rsid w:val="00F95801"/>
    <w:rsid w:val="00F95B88"/>
    <w:rsid w:val="00F95DBB"/>
    <w:rsid w:val="00F95FC4"/>
    <w:rsid w:val="00F971C9"/>
    <w:rsid w:val="00F97BF5"/>
    <w:rsid w:val="00FA019D"/>
    <w:rsid w:val="00FA0393"/>
    <w:rsid w:val="00FA0557"/>
    <w:rsid w:val="00FA0F3E"/>
    <w:rsid w:val="00FA1025"/>
    <w:rsid w:val="00FA102C"/>
    <w:rsid w:val="00FA1FFD"/>
    <w:rsid w:val="00FA28E1"/>
    <w:rsid w:val="00FA2F47"/>
    <w:rsid w:val="00FA3350"/>
    <w:rsid w:val="00FA3690"/>
    <w:rsid w:val="00FA37C9"/>
    <w:rsid w:val="00FA3CCF"/>
    <w:rsid w:val="00FA3E83"/>
    <w:rsid w:val="00FA4359"/>
    <w:rsid w:val="00FA5494"/>
    <w:rsid w:val="00FA59DD"/>
    <w:rsid w:val="00FA5B0C"/>
    <w:rsid w:val="00FA5C59"/>
    <w:rsid w:val="00FA64F5"/>
    <w:rsid w:val="00FA67A1"/>
    <w:rsid w:val="00FA6978"/>
    <w:rsid w:val="00FA79E0"/>
    <w:rsid w:val="00FB00EC"/>
    <w:rsid w:val="00FB09F0"/>
    <w:rsid w:val="00FB0B90"/>
    <w:rsid w:val="00FB11A9"/>
    <w:rsid w:val="00FB1666"/>
    <w:rsid w:val="00FB16E7"/>
    <w:rsid w:val="00FB198B"/>
    <w:rsid w:val="00FB222E"/>
    <w:rsid w:val="00FB2674"/>
    <w:rsid w:val="00FB275B"/>
    <w:rsid w:val="00FB27F5"/>
    <w:rsid w:val="00FB2801"/>
    <w:rsid w:val="00FB324B"/>
    <w:rsid w:val="00FB3A88"/>
    <w:rsid w:val="00FB4048"/>
    <w:rsid w:val="00FB4112"/>
    <w:rsid w:val="00FB41A6"/>
    <w:rsid w:val="00FB41C5"/>
    <w:rsid w:val="00FB44C8"/>
    <w:rsid w:val="00FB48C8"/>
    <w:rsid w:val="00FB4D0B"/>
    <w:rsid w:val="00FB5332"/>
    <w:rsid w:val="00FB572B"/>
    <w:rsid w:val="00FB5D77"/>
    <w:rsid w:val="00FB7420"/>
    <w:rsid w:val="00FB7472"/>
    <w:rsid w:val="00FB7769"/>
    <w:rsid w:val="00FC04A4"/>
    <w:rsid w:val="00FC06B2"/>
    <w:rsid w:val="00FC0993"/>
    <w:rsid w:val="00FC1335"/>
    <w:rsid w:val="00FC1473"/>
    <w:rsid w:val="00FC1730"/>
    <w:rsid w:val="00FC1820"/>
    <w:rsid w:val="00FC1B8D"/>
    <w:rsid w:val="00FC1E72"/>
    <w:rsid w:val="00FC1FA2"/>
    <w:rsid w:val="00FC2150"/>
    <w:rsid w:val="00FC2711"/>
    <w:rsid w:val="00FC2B84"/>
    <w:rsid w:val="00FC2DA4"/>
    <w:rsid w:val="00FC305F"/>
    <w:rsid w:val="00FC3111"/>
    <w:rsid w:val="00FC31A1"/>
    <w:rsid w:val="00FC32B5"/>
    <w:rsid w:val="00FC36D9"/>
    <w:rsid w:val="00FC36E2"/>
    <w:rsid w:val="00FC38F0"/>
    <w:rsid w:val="00FC3A30"/>
    <w:rsid w:val="00FC41AC"/>
    <w:rsid w:val="00FC4477"/>
    <w:rsid w:val="00FC4B1A"/>
    <w:rsid w:val="00FC4BAF"/>
    <w:rsid w:val="00FC4CF5"/>
    <w:rsid w:val="00FC50E6"/>
    <w:rsid w:val="00FC59F1"/>
    <w:rsid w:val="00FC63A1"/>
    <w:rsid w:val="00FC653C"/>
    <w:rsid w:val="00FC6578"/>
    <w:rsid w:val="00FC7216"/>
    <w:rsid w:val="00FC75E9"/>
    <w:rsid w:val="00FC78D3"/>
    <w:rsid w:val="00FC7C49"/>
    <w:rsid w:val="00FD02F4"/>
    <w:rsid w:val="00FD0A44"/>
    <w:rsid w:val="00FD18F1"/>
    <w:rsid w:val="00FD1A61"/>
    <w:rsid w:val="00FD2577"/>
    <w:rsid w:val="00FD2815"/>
    <w:rsid w:val="00FD282B"/>
    <w:rsid w:val="00FD286A"/>
    <w:rsid w:val="00FD289F"/>
    <w:rsid w:val="00FD3445"/>
    <w:rsid w:val="00FD3971"/>
    <w:rsid w:val="00FD3DAF"/>
    <w:rsid w:val="00FD3DCC"/>
    <w:rsid w:val="00FD4247"/>
    <w:rsid w:val="00FD436D"/>
    <w:rsid w:val="00FD50DF"/>
    <w:rsid w:val="00FD53D4"/>
    <w:rsid w:val="00FD54D8"/>
    <w:rsid w:val="00FD5A00"/>
    <w:rsid w:val="00FD5ED4"/>
    <w:rsid w:val="00FD6072"/>
    <w:rsid w:val="00FD6114"/>
    <w:rsid w:val="00FD6209"/>
    <w:rsid w:val="00FD67CD"/>
    <w:rsid w:val="00FD6F7A"/>
    <w:rsid w:val="00FD6F91"/>
    <w:rsid w:val="00FD7269"/>
    <w:rsid w:val="00FD7351"/>
    <w:rsid w:val="00FD74C9"/>
    <w:rsid w:val="00FD7956"/>
    <w:rsid w:val="00FE102C"/>
    <w:rsid w:val="00FE17DE"/>
    <w:rsid w:val="00FE1A28"/>
    <w:rsid w:val="00FE1E9D"/>
    <w:rsid w:val="00FE3107"/>
    <w:rsid w:val="00FE386B"/>
    <w:rsid w:val="00FE39B6"/>
    <w:rsid w:val="00FE3E01"/>
    <w:rsid w:val="00FE4084"/>
    <w:rsid w:val="00FE444A"/>
    <w:rsid w:val="00FE450E"/>
    <w:rsid w:val="00FE4642"/>
    <w:rsid w:val="00FE4D40"/>
    <w:rsid w:val="00FE4D50"/>
    <w:rsid w:val="00FE4D7D"/>
    <w:rsid w:val="00FE5011"/>
    <w:rsid w:val="00FE50F4"/>
    <w:rsid w:val="00FE5581"/>
    <w:rsid w:val="00FE558E"/>
    <w:rsid w:val="00FE57E4"/>
    <w:rsid w:val="00FE5B3C"/>
    <w:rsid w:val="00FE5ED7"/>
    <w:rsid w:val="00FE5F1A"/>
    <w:rsid w:val="00FE6637"/>
    <w:rsid w:val="00FE6B7C"/>
    <w:rsid w:val="00FE6CED"/>
    <w:rsid w:val="00FF0102"/>
    <w:rsid w:val="00FF08A8"/>
    <w:rsid w:val="00FF08FF"/>
    <w:rsid w:val="00FF0B3F"/>
    <w:rsid w:val="00FF0BB2"/>
    <w:rsid w:val="00FF0C49"/>
    <w:rsid w:val="00FF0ECD"/>
    <w:rsid w:val="00FF11C6"/>
    <w:rsid w:val="00FF13F1"/>
    <w:rsid w:val="00FF14AA"/>
    <w:rsid w:val="00FF1651"/>
    <w:rsid w:val="00FF190F"/>
    <w:rsid w:val="00FF2114"/>
    <w:rsid w:val="00FF24ED"/>
    <w:rsid w:val="00FF33EA"/>
    <w:rsid w:val="00FF3A95"/>
    <w:rsid w:val="00FF3EB6"/>
    <w:rsid w:val="00FF4032"/>
    <w:rsid w:val="00FF43D9"/>
    <w:rsid w:val="00FF459F"/>
    <w:rsid w:val="00FF4F5F"/>
    <w:rsid w:val="00FF5971"/>
    <w:rsid w:val="00FF65E5"/>
    <w:rsid w:val="00FF6B98"/>
    <w:rsid w:val="00FF7896"/>
    <w:rsid w:val="00FF7B38"/>
    <w:rsid w:val="00FF7B81"/>
    <w:rsid w:val="00FF7C08"/>
    <w:rsid w:val="00FF7E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D6747D"/>
  <w15:chartTrackingRefBased/>
  <w15:docId w15:val="{76C51954-13EE-4E00-8942-80EF6F89E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1506"/>
    <w:pPr>
      <w:spacing w:line="360" w:lineRule="auto"/>
      <w:ind w:firstLineChars="200" w:firstLine="200"/>
      <w:jc w:val="both"/>
    </w:pPr>
    <w:rPr>
      <w:rFonts w:ascii="Times New Roman" w:eastAsia="Times New Roman" w:hAnsi="Times New Roman" w:cs="Times New Roman"/>
      <w:sz w:val="24"/>
    </w:rPr>
  </w:style>
  <w:style w:type="paragraph" w:styleId="1">
    <w:name w:val="heading 1"/>
    <w:basedOn w:val="a"/>
    <w:next w:val="a"/>
    <w:link w:val="10"/>
    <w:uiPriority w:val="9"/>
    <w:qFormat/>
    <w:rsid w:val="00C44386"/>
    <w:pPr>
      <w:keepNext/>
      <w:keepLines/>
      <w:spacing w:before="360" w:after="120" w:line="240" w:lineRule="auto"/>
      <w:ind w:firstLineChars="0" w:firstLine="0"/>
      <w:outlineLvl w:val="0"/>
    </w:pPr>
    <w:rPr>
      <w:rFonts w:cstheme="majorBidi"/>
      <w:b/>
      <w:sz w:val="28"/>
      <w:szCs w:val="48"/>
    </w:rPr>
  </w:style>
  <w:style w:type="paragraph" w:styleId="2">
    <w:name w:val="heading 2"/>
    <w:basedOn w:val="a"/>
    <w:next w:val="a"/>
    <w:link w:val="20"/>
    <w:uiPriority w:val="9"/>
    <w:unhideWhenUsed/>
    <w:qFormat/>
    <w:rsid w:val="00EB4989"/>
    <w:pPr>
      <w:keepNext/>
      <w:keepLines/>
      <w:spacing w:before="120" w:after="60" w:line="240" w:lineRule="auto"/>
      <w:ind w:firstLineChars="0" w:firstLine="0"/>
      <w:jc w:val="left"/>
      <w:outlineLvl w:val="1"/>
    </w:pPr>
    <w:rPr>
      <w:b/>
      <w:bCs/>
    </w:rPr>
  </w:style>
  <w:style w:type="paragraph" w:styleId="3">
    <w:name w:val="heading 3"/>
    <w:basedOn w:val="a"/>
    <w:next w:val="a"/>
    <w:link w:val="30"/>
    <w:uiPriority w:val="9"/>
    <w:unhideWhenUsed/>
    <w:qFormat/>
    <w:rsid w:val="00D345D2"/>
    <w:pPr>
      <w:keepNext/>
      <w:keepLines/>
      <w:spacing w:before="80" w:after="40" w:line="240" w:lineRule="auto"/>
      <w:ind w:firstLineChars="0" w:firstLine="0"/>
      <w:jc w:val="left"/>
      <w:outlineLvl w:val="2"/>
    </w:pPr>
    <w:rPr>
      <w:color w:val="000000" w:themeColor="text1"/>
      <w:szCs w:val="24"/>
    </w:rPr>
  </w:style>
  <w:style w:type="paragraph" w:styleId="4">
    <w:name w:val="heading 4"/>
    <w:basedOn w:val="a"/>
    <w:next w:val="a"/>
    <w:link w:val="40"/>
    <w:uiPriority w:val="9"/>
    <w:semiHidden/>
    <w:unhideWhenUsed/>
    <w:qFormat/>
    <w:rsid w:val="0044082D"/>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4082D"/>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44082D"/>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4082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4082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4082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44386"/>
    <w:rPr>
      <w:rFonts w:ascii="Times New Roman" w:eastAsia="Times New Roman" w:hAnsi="Times New Roman" w:cstheme="majorBidi"/>
      <w:b/>
      <w:color w:val="000000" w:themeColor="text1"/>
      <w:sz w:val="28"/>
      <w:szCs w:val="48"/>
    </w:rPr>
  </w:style>
  <w:style w:type="character" w:customStyle="1" w:styleId="20">
    <w:name w:val="标题 2 字符"/>
    <w:basedOn w:val="a0"/>
    <w:link w:val="2"/>
    <w:uiPriority w:val="9"/>
    <w:rsid w:val="00EB4989"/>
    <w:rPr>
      <w:rFonts w:ascii="Times New Roman" w:eastAsia="Times New Roman" w:hAnsi="Times New Roman" w:cs="Times New Roman"/>
      <w:b/>
      <w:bCs/>
      <w:color w:val="000000" w:themeColor="text1"/>
      <w:sz w:val="24"/>
    </w:rPr>
  </w:style>
  <w:style w:type="character" w:customStyle="1" w:styleId="30">
    <w:name w:val="标题 3 字符"/>
    <w:basedOn w:val="a0"/>
    <w:link w:val="3"/>
    <w:uiPriority w:val="9"/>
    <w:rsid w:val="00D345D2"/>
    <w:rPr>
      <w:rFonts w:ascii="Times New Roman" w:eastAsia="Times New Roman" w:hAnsi="Times New Roman" w:cs="Times New Roman"/>
      <w:color w:val="000000" w:themeColor="text1"/>
      <w:sz w:val="24"/>
      <w:szCs w:val="24"/>
    </w:rPr>
  </w:style>
  <w:style w:type="character" w:customStyle="1" w:styleId="40">
    <w:name w:val="标题 4 字符"/>
    <w:basedOn w:val="a0"/>
    <w:link w:val="4"/>
    <w:uiPriority w:val="9"/>
    <w:semiHidden/>
    <w:rsid w:val="0044082D"/>
    <w:rPr>
      <w:rFonts w:cstheme="majorBidi"/>
      <w:color w:val="2F5496" w:themeColor="accent1" w:themeShade="BF"/>
      <w:sz w:val="28"/>
      <w:szCs w:val="28"/>
    </w:rPr>
  </w:style>
  <w:style w:type="character" w:customStyle="1" w:styleId="50">
    <w:name w:val="标题 5 字符"/>
    <w:basedOn w:val="a0"/>
    <w:link w:val="5"/>
    <w:uiPriority w:val="9"/>
    <w:semiHidden/>
    <w:rsid w:val="0044082D"/>
    <w:rPr>
      <w:rFonts w:cstheme="majorBidi"/>
      <w:color w:val="2F5496" w:themeColor="accent1" w:themeShade="BF"/>
      <w:sz w:val="24"/>
    </w:rPr>
  </w:style>
  <w:style w:type="character" w:customStyle="1" w:styleId="60">
    <w:name w:val="标题 6 字符"/>
    <w:basedOn w:val="a0"/>
    <w:link w:val="6"/>
    <w:uiPriority w:val="9"/>
    <w:semiHidden/>
    <w:rsid w:val="0044082D"/>
    <w:rPr>
      <w:rFonts w:cstheme="majorBidi"/>
      <w:b/>
      <w:bCs/>
      <w:color w:val="2F5496" w:themeColor="accent1" w:themeShade="BF"/>
    </w:rPr>
  </w:style>
  <w:style w:type="character" w:customStyle="1" w:styleId="70">
    <w:name w:val="标题 7 字符"/>
    <w:basedOn w:val="a0"/>
    <w:link w:val="7"/>
    <w:uiPriority w:val="9"/>
    <w:semiHidden/>
    <w:rsid w:val="0044082D"/>
    <w:rPr>
      <w:rFonts w:cstheme="majorBidi"/>
      <w:b/>
      <w:bCs/>
      <w:color w:val="595959" w:themeColor="text1" w:themeTint="A6"/>
    </w:rPr>
  </w:style>
  <w:style w:type="character" w:customStyle="1" w:styleId="80">
    <w:name w:val="标题 8 字符"/>
    <w:basedOn w:val="a0"/>
    <w:link w:val="8"/>
    <w:uiPriority w:val="9"/>
    <w:semiHidden/>
    <w:rsid w:val="0044082D"/>
    <w:rPr>
      <w:rFonts w:cstheme="majorBidi"/>
      <w:color w:val="595959" w:themeColor="text1" w:themeTint="A6"/>
    </w:rPr>
  </w:style>
  <w:style w:type="character" w:customStyle="1" w:styleId="90">
    <w:name w:val="标题 9 字符"/>
    <w:basedOn w:val="a0"/>
    <w:link w:val="9"/>
    <w:uiPriority w:val="9"/>
    <w:semiHidden/>
    <w:rsid w:val="0044082D"/>
    <w:rPr>
      <w:rFonts w:eastAsiaTheme="majorEastAsia" w:cstheme="majorBidi"/>
      <w:color w:val="595959" w:themeColor="text1" w:themeTint="A6"/>
    </w:rPr>
  </w:style>
  <w:style w:type="paragraph" w:styleId="a3">
    <w:name w:val="Title"/>
    <w:basedOn w:val="a"/>
    <w:next w:val="a"/>
    <w:link w:val="a4"/>
    <w:uiPriority w:val="10"/>
    <w:qFormat/>
    <w:rsid w:val="0044082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08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082D"/>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4082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4082D"/>
    <w:pPr>
      <w:spacing w:before="160"/>
      <w:jc w:val="center"/>
    </w:pPr>
    <w:rPr>
      <w:i/>
      <w:iCs/>
      <w:color w:val="404040" w:themeColor="text1" w:themeTint="BF"/>
    </w:rPr>
  </w:style>
  <w:style w:type="character" w:customStyle="1" w:styleId="a8">
    <w:name w:val="引用 字符"/>
    <w:basedOn w:val="a0"/>
    <w:link w:val="a7"/>
    <w:uiPriority w:val="29"/>
    <w:rsid w:val="0044082D"/>
    <w:rPr>
      <w:i/>
      <w:iCs/>
      <w:color w:val="404040" w:themeColor="text1" w:themeTint="BF"/>
    </w:rPr>
  </w:style>
  <w:style w:type="paragraph" w:styleId="a9">
    <w:name w:val="List Paragraph"/>
    <w:basedOn w:val="a"/>
    <w:uiPriority w:val="34"/>
    <w:qFormat/>
    <w:rsid w:val="0044082D"/>
    <w:pPr>
      <w:ind w:left="720"/>
      <w:contextualSpacing/>
    </w:pPr>
  </w:style>
  <w:style w:type="character" w:styleId="aa">
    <w:name w:val="Intense Emphasis"/>
    <w:basedOn w:val="a0"/>
    <w:uiPriority w:val="21"/>
    <w:qFormat/>
    <w:rsid w:val="0044082D"/>
    <w:rPr>
      <w:i/>
      <w:iCs/>
      <w:color w:val="2F5496" w:themeColor="accent1" w:themeShade="BF"/>
    </w:rPr>
  </w:style>
  <w:style w:type="paragraph" w:styleId="ab">
    <w:name w:val="Intense Quote"/>
    <w:basedOn w:val="a"/>
    <w:next w:val="a"/>
    <w:link w:val="ac"/>
    <w:uiPriority w:val="30"/>
    <w:qFormat/>
    <w:rsid w:val="004408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4082D"/>
    <w:rPr>
      <w:i/>
      <w:iCs/>
      <w:color w:val="2F5496" w:themeColor="accent1" w:themeShade="BF"/>
    </w:rPr>
  </w:style>
  <w:style w:type="character" w:styleId="ad">
    <w:name w:val="Intense Reference"/>
    <w:basedOn w:val="a0"/>
    <w:uiPriority w:val="32"/>
    <w:qFormat/>
    <w:rsid w:val="0044082D"/>
    <w:rPr>
      <w:b/>
      <w:bCs/>
      <w:smallCaps/>
      <w:color w:val="2F5496" w:themeColor="accent1" w:themeShade="BF"/>
      <w:spacing w:val="5"/>
    </w:rPr>
  </w:style>
  <w:style w:type="paragraph" w:styleId="ae">
    <w:name w:val="header"/>
    <w:basedOn w:val="a"/>
    <w:link w:val="af"/>
    <w:uiPriority w:val="99"/>
    <w:unhideWhenUsed/>
    <w:rsid w:val="0044082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4082D"/>
    <w:rPr>
      <w:sz w:val="18"/>
      <w:szCs w:val="18"/>
    </w:rPr>
  </w:style>
  <w:style w:type="paragraph" w:styleId="af0">
    <w:name w:val="footer"/>
    <w:basedOn w:val="a"/>
    <w:link w:val="af1"/>
    <w:uiPriority w:val="99"/>
    <w:unhideWhenUsed/>
    <w:rsid w:val="0044082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4082D"/>
    <w:rPr>
      <w:sz w:val="18"/>
      <w:szCs w:val="18"/>
    </w:rPr>
  </w:style>
  <w:style w:type="paragraph" w:styleId="TOC">
    <w:name w:val="TOC Heading"/>
    <w:basedOn w:val="1"/>
    <w:next w:val="a"/>
    <w:uiPriority w:val="39"/>
    <w:unhideWhenUsed/>
    <w:qFormat/>
    <w:rsid w:val="00721071"/>
    <w:pPr>
      <w:spacing w:before="240" w:after="0" w:line="259" w:lineRule="auto"/>
      <w:jc w:val="left"/>
      <w:outlineLvl w:val="9"/>
    </w:pPr>
    <w:rPr>
      <w:rFonts w:asciiTheme="majorHAnsi" w:eastAsiaTheme="majorEastAsia" w:hAnsiTheme="majorHAnsi"/>
      <w:b w:val="0"/>
      <w:color w:val="2F5496" w:themeColor="accent1" w:themeShade="BF"/>
      <w:kern w:val="0"/>
      <w:sz w:val="32"/>
      <w:szCs w:val="32"/>
      <w14:ligatures w14:val="none"/>
    </w:rPr>
  </w:style>
  <w:style w:type="paragraph" w:styleId="TOC1">
    <w:name w:val="toc 1"/>
    <w:basedOn w:val="a"/>
    <w:next w:val="a"/>
    <w:autoRedefine/>
    <w:uiPriority w:val="39"/>
    <w:unhideWhenUsed/>
    <w:rsid w:val="00721071"/>
  </w:style>
  <w:style w:type="character" w:styleId="af2">
    <w:name w:val="Hyperlink"/>
    <w:basedOn w:val="a0"/>
    <w:uiPriority w:val="99"/>
    <w:unhideWhenUsed/>
    <w:rsid w:val="00721071"/>
    <w:rPr>
      <w:color w:val="0563C1" w:themeColor="hyperlink"/>
      <w:u w:val="single"/>
    </w:rPr>
  </w:style>
  <w:style w:type="paragraph" w:customStyle="1" w:styleId="af3">
    <w:name w:val="图和表"/>
    <w:basedOn w:val="a"/>
    <w:qFormat/>
    <w:rsid w:val="0028640C"/>
    <w:pPr>
      <w:ind w:firstLineChars="0" w:firstLine="0"/>
      <w:jc w:val="center"/>
    </w:pPr>
    <w:rPr>
      <w:sz w:val="20"/>
      <w:szCs w:val="20"/>
    </w:rPr>
  </w:style>
  <w:style w:type="paragraph" w:customStyle="1" w:styleId="af4">
    <w:name w:val="参考文献"/>
    <w:basedOn w:val="a"/>
    <w:qFormat/>
    <w:rsid w:val="00C44386"/>
    <w:pPr>
      <w:spacing w:after="120" w:line="276" w:lineRule="auto"/>
      <w:ind w:firstLineChars="0" w:firstLine="0"/>
      <w:jc w:val="left"/>
    </w:pPr>
  </w:style>
  <w:style w:type="paragraph" w:styleId="TOC2">
    <w:name w:val="toc 2"/>
    <w:basedOn w:val="a"/>
    <w:next w:val="a"/>
    <w:autoRedefine/>
    <w:uiPriority w:val="39"/>
    <w:unhideWhenUsed/>
    <w:rsid w:val="00D345D2"/>
    <w:pPr>
      <w:ind w:leftChars="200" w:left="420"/>
    </w:pPr>
  </w:style>
  <w:style w:type="paragraph" w:styleId="TOC3">
    <w:name w:val="toc 3"/>
    <w:basedOn w:val="a"/>
    <w:next w:val="a"/>
    <w:autoRedefine/>
    <w:uiPriority w:val="39"/>
    <w:unhideWhenUsed/>
    <w:rsid w:val="00D345D2"/>
    <w:pPr>
      <w:ind w:leftChars="400" w:left="840"/>
    </w:pPr>
  </w:style>
  <w:style w:type="paragraph" w:styleId="af5">
    <w:name w:val="caption"/>
    <w:basedOn w:val="a"/>
    <w:next w:val="a"/>
    <w:uiPriority w:val="35"/>
    <w:unhideWhenUsed/>
    <w:qFormat/>
    <w:rsid w:val="00D40BDD"/>
    <w:rPr>
      <w:rFonts w:asciiTheme="majorHAnsi" w:eastAsia="黑体" w:hAnsiTheme="majorHAnsi" w:cstheme="majorBidi"/>
      <w:sz w:val="20"/>
      <w:szCs w:val="20"/>
    </w:rPr>
  </w:style>
  <w:style w:type="table" w:styleId="af6">
    <w:name w:val="Table Grid"/>
    <w:basedOn w:val="a1"/>
    <w:uiPriority w:val="39"/>
    <w:rsid w:val="00E660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Bibliography"/>
    <w:basedOn w:val="a"/>
    <w:next w:val="a"/>
    <w:uiPriority w:val="37"/>
    <w:unhideWhenUsed/>
    <w:rsid w:val="00FF459F"/>
    <w:pPr>
      <w:tabs>
        <w:tab w:val="left" w:pos="384"/>
      </w:tabs>
      <w:spacing w:after="0" w:line="240" w:lineRule="auto"/>
      <w:ind w:left="384" w:hanging="384"/>
    </w:pPr>
  </w:style>
  <w:style w:type="paragraph" w:styleId="af8">
    <w:name w:val="Normal (Web)"/>
    <w:basedOn w:val="a"/>
    <w:uiPriority w:val="99"/>
    <w:semiHidden/>
    <w:unhideWhenUsed/>
    <w:rsid w:val="007755C1"/>
    <w:rPr>
      <w:szCs w:val="24"/>
    </w:rPr>
  </w:style>
  <w:style w:type="character" w:styleId="af9">
    <w:name w:val="Unresolved Mention"/>
    <w:basedOn w:val="a0"/>
    <w:uiPriority w:val="99"/>
    <w:semiHidden/>
    <w:unhideWhenUsed/>
    <w:rsid w:val="00D23ED4"/>
    <w:rPr>
      <w:color w:val="605E5C"/>
      <w:shd w:val="clear" w:color="auto" w:fill="E1DFDD"/>
    </w:rPr>
  </w:style>
  <w:style w:type="character" w:styleId="afa">
    <w:name w:val="Placeholder Text"/>
    <w:basedOn w:val="a0"/>
    <w:uiPriority w:val="99"/>
    <w:semiHidden/>
    <w:rsid w:val="00B6147C"/>
    <w:rPr>
      <w:color w:val="666666"/>
    </w:rPr>
  </w:style>
  <w:style w:type="paragraph" w:styleId="afb">
    <w:name w:val="Revision"/>
    <w:hidden/>
    <w:uiPriority w:val="99"/>
    <w:semiHidden/>
    <w:rsid w:val="007E5968"/>
    <w:pPr>
      <w:spacing w:after="0" w:line="240" w:lineRule="auto"/>
    </w:pPr>
    <w:rPr>
      <w:rFonts w:ascii="Times New Roman" w:eastAsia="Times New Roman" w:hAnsi="Times New Roman" w:cs="Times New Roman"/>
      <w:sz w:val="24"/>
    </w:rPr>
  </w:style>
  <w:style w:type="character" w:styleId="afc">
    <w:name w:val="annotation reference"/>
    <w:basedOn w:val="a0"/>
    <w:uiPriority w:val="99"/>
    <w:semiHidden/>
    <w:unhideWhenUsed/>
    <w:rsid w:val="00453748"/>
    <w:rPr>
      <w:sz w:val="16"/>
      <w:szCs w:val="16"/>
    </w:rPr>
  </w:style>
  <w:style w:type="paragraph" w:styleId="afd">
    <w:name w:val="annotation text"/>
    <w:basedOn w:val="a"/>
    <w:link w:val="afe"/>
    <w:uiPriority w:val="99"/>
    <w:semiHidden/>
    <w:unhideWhenUsed/>
    <w:rsid w:val="00453748"/>
    <w:pPr>
      <w:spacing w:line="240" w:lineRule="auto"/>
    </w:pPr>
    <w:rPr>
      <w:sz w:val="20"/>
      <w:szCs w:val="20"/>
    </w:rPr>
  </w:style>
  <w:style w:type="character" w:customStyle="1" w:styleId="afe">
    <w:name w:val="批注文字 字符"/>
    <w:basedOn w:val="a0"/>
    <w:link w:val="afd"/>
    <w:uiPriority w:val="99"/>
    <w:semiHidden/>
    <w:rsid w:val="00453748"/>
    <w:rPr>
      <w:rFonts w:ascii="Times New Roman" w:eastAsia="Times New Roman" w:hAnsi="Times New Roman" w:cs="Times New Roman"/>
      <w:sz w:val="20"/>
      <w:szCs w:val="20"/>
    </w:rPr>
  </w:style>
  <w:style w:type="paragraph" w:styleId="aff">
    <w:name w:val="annotation subject"/>
    <w:basedOn w:val="afd"/>
    <w:next w:val="afd"/>
    <w:link w:val="aff0"/>
    <w:uiPriority w:val="99"/>
    <w:semiHidden/>
    <w:unhideWhenUsed/>
    <w:rsid w:val="00453748"/>
    <w:rPr>
      <w:b/>
      <w:bCs/>
    </w:rPr>
  </w:style>
  <w:style w:type="character" w:customStyle="1" w:styleId="aff0">
    <w:name w:val="批注主题 字符"/>
    <w:basedOn w:val="afe"/>
    <w:link w:val="aff"/>
    <w:uiPriority w:val="99"/>
    <w:semiHidden/>
    <w:rsid w:val="00453748"/>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rwin\Documents\&#33258;&#23450;&#20041;%20Office%20&#27169;&#26495;\CJChE&#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049E2F-922D-4F35-8398-1E82DEE3D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CJChE模板.dotx</Template>
  <TotalTime>18292</TotalTime>
  <Pages>26</Pages>
  <Words>16620</Words>
  <Characters>94738</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谢致远</dc:creator>
  <cp:keywords/>
  <dc:description/>
  <cp:lastModifiedBy>致远 谢</cp:lastModifiedBy>
  <cp:revision>2425</cp:revision>
  <cp:lastPrinted>2026-04-30T02:46:00Z</cp:lastPrinted>
  <dcterms:created xsi:type="dcterms:W3CDTF">2026-04-12T03:42:00Z</dcterms:created>
  <dcterms:modified xsi:type="dcterms:W3CDTF">2026-07-14T08:16:00Z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id="LYyuEYEE"/&gt;&lt;style id="http://www.zotero.org/styles/chinese-journal-of-chemical-engineering"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