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a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band is fixed,</w:t>
      </w:r>
    </w:p>
    <w:p w14:paraId="6893E00F" w14:textId="77777777" w:rsidR="00E60AAC" w:rsidRDefault="00E60AAC" w:rsidP="00E60AAC">
      <w:pPr>
        <w:tabs>
          <w:tab w:val="center" w:pos="4110"/>
          <w:tab w:val="right" w:pos="8220"/>
        </w:tabs>
        <w:ind w:firstLine="480"/>
      </w:pPr>
      <w:r>
        <w:tab/>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geometry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r>
      <w:r>
        <w:tab/>
        <w:t>Time Series Foundation Models</w:t>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lastRenderedPageBreak/>
        <w:t>crossing. Time Series Foundation Models (TSFMs)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r>
      <w:r>
        <w:tab/>
        <w:t>Few-Shot Alignment of TSFMs</w:t>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behavior. We therefore align the backbone by lightweight supervised fine-tuning initialized from its pretrained weights θ₀,</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control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position, the difference operator sees velocity, and the second-difference operator sees the acceleration that marks a fault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xₜ − xₜ₋₁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 xml:space="preserve">The acceleration operator therefore forecasts the second difference,</w:t>
      </w:r>
    </w:p>
    <w:p>
      <w:pPr>
        <w:tabs>
          <w:tab w:val="center" w:pos="4110"/>
          <w:tab w:val="right" w:pos="8220"/>
        </w:tabs>
        <w:ind w:firstLine="480"/>
      </w:pPr>
      <w:r>
        <w:tab/>
      </w:r>
      <w:r>
        <w:t xml:space="preserve">∇²y_t = y_t − 2·y_(t−1) + y_(t−2)</w:t>
      </w:r>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w:r>
        <w:t xml:space="preserve">ŷ_(t+h) = y_t + ∑_(k=1)^h [ d_t + ∑_(j=1)^k ĝ_(t+j) ],   h = 1,…,H</w:t>
      </w:r>
      <w:r>
        <w:tab/>
        <w:t xml:space="preserve">(13)</w:t>
      </w:r>
    </w:p>
    <w:p>
      <w:r>
        <w:t xml:space="preserve">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5.</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control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gate</m:t>
                </m:r>
              </m:sup>
            </m:sSubSup>
            <m:r>
              <m:rPr>
                <m:sty m:val="p"/>
              </m:rPr>
              <w:rPr>
                <w:rFonts w:ascii="Cambria Math" w:hAnsi="Cambria Math"/>
              </w:rPr>
              <m:t>&lt;</m:t>
            </m:r>
            <m:r>
              <m:rPr>
                <m:scr m:val="script"/>
              </m:rPr>
              <w:rPr>
                <w:rFonts w:ascii="Cambria Math" w:hAnsi="Cambria Math"/>
              </w:rPr>
              <m:t>l </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gate</m:t>
                </m:r>
              </m:sup>
            </m:sSubSup>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gate</m:t>
            </m:r>
          </m:sup>
        </m:sSub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w:r>
        <w:t xml:space="preserve">A^U = 𝟙{ ∃ h ∈ {1,…,H} : max(ŷ^∇_(t+h), ŷ^(∇²)_(t+h)) &gt; u ∨ min(ŷ^∇_(t+h), ŷ^(∇²)_(t+h)) &lt; ℓ }</w:t>
      </w:r>
      <w:r>
        <w:tab/>
        <w:t>(18)</w:t>
      </w:r>
    </w:p>
    <w:p>
      <w:r>
        <w:t>which is exactly the logical union of the two operators' alarm flags, A^U = A^∇ ∨ A^(∇²). The union fires whenever either view anticipates a crossing, so it recovers onsets that either view alone would miss. Its cost is a higher false-alarm rate, quantified in Section 5.</w:t>
      </w:r>
    </w:p>
    <w:p w14:paraId="691E16B2" w14:textId="77777777" w:rsidR="00E60AAC" w:rsidRDefault="00E60AAC" w:rsidP="00E60AAC">
      <w:pPr>
        <w:ind w:firstLine="480"/>
      </w:pPr>
      <w:r>
        <w:t>which measures how often the system raises a false warning during quiet operation. Crucially, lead time and false alarms trade off against each other, so neither is meaningful in isolation. We therefore judge prognosis at a controlled operating point, reporting the detection recall attainable while holding preFAR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r>
      <w:r>
        <w:tab/>
        <w:t>Optimization Methodology</w:t>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control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r>
      <w:r>
        <w:tab/>
        <w:t>Overall Algorithmic Framework</w:t>
      </w:r>
    </w:p>
    <w:p w14:paraId="431DBFB3" w14:textId="77777777" w:rsidR="00E60AAC" w:rsidRDefault="00E60AAC" w:rsidP="00E60AAC">
      <w:pPr>
        <w:ind w:firstLine="480"/>
      </w:pPr>
      <w:r>
        <w:t>The complete pipeline assembles the components into a single few-shot fault-prognosis procedure. Three views of the target, raw, first-difference,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 xml:space="preserve">4.	Application</w:t>
      </w:r>
    </w:p>
    <w:p>
      <w:pPr>
        <w:pStyle w:val="2"/>
      </w:pPr>
      <w:r>
        <w:t xml:space="preserve">4.1	Process, fault scenario, and control limits</w:t>
      </w:r>
    </w:p>
    <w:p>
      <w:r>
        <w:t xml:space="preserve">The framework is evaluated on the Tennessee Eastman process (TEP), the reference benchmark for chemical-process abnormal-situation management. The target variable is the purge rate, the stream 9 flow, denoted XMEAS10.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mode the band is ℓ = 0.1817 and u = 0.2415 in standardized units. A window is a genuine prognostic opportunity only when the process is still inside the band at the decision time, which is made precise by the clean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w:r>
        <w:t xml:space="preserve">y_w = 𝟙{ ∃ h ∈ {1,…,H} : y_(t+h) &gt; u ∨ y_(t+h) &lt; ℓ }</w:t>
      </w:r>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w:r>
        <w:t xml:space="preserve">clean_w = 𝟙{ y_τ ∈ [ℓ, u]  for all τ ∈ {t−C+1, …, t} },   C = 10</w:t>
      </w:r>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w:r>
        <w:t xml:space="preserve">Recall = |{ w : clean_w=1, y_w=1, ŷ_w=1 }| / |{ w : clean_w=1, y_w=1 }|</w:t>
      </w:r>
      <w:r>
        <w:tab/>
        <w:t>(21)</w:t>
      </w:r>
    </w:p>
    <w:p>
      <w:r>
        <w:t xml:space="preserve">the false prognosis rate is</w:t>
      </w:r>
    </w:p>
    <w:p>
      <w:pPr>
        <w:tabs>
          <w:tab w:val="center" w:pos="4110"/>
          <w:tab w:val="right" w:pos="8220"/>
        </w:tabs>
        <w:ind w:firstLine="480"/>
      </w:pPr>
      <w:r>
        <w:tab/>
      </w:r>
      <w:r>
        <w:t xml:space="preserve">FAR = |{ w : clean_w=1, y_w=0, ŷ_w=1 }| / |{ w : clean_w=1, y_w=0 }|</w:t>
      </w:r>
      <w:r>
        <w:tab/>
        <w:t>(22)</w:t>
      </w:r>
    </w:p>
    <w:p>
      <w:r>
        <w:t xml:space="preserve">and the mean lead time, averaged over the true onset events τ*, is</w:t>
      </w:r>
    </w:p>
    <w:p>
      <w:pPr>
        <w:tabs>
          <w:tab w:val="center" w:pos="4110"/>
          <w:tab w:val="right" w:pos="8220"/>
        </w:tabs>
        <w:ind w:firstLine="480"/>
      </w:pPr>
      <w:r>
        <w:tab/>
      </w:r>
      <w:r>
        <w:t xml:space="preserve">LT = Δt · mean_(τ*) ( τ* − t_e(τ*) )</w:t>
      </w:r>
      <w:r>
        <w:tab/>
        <w:t>(23)</w:t>
      </w:r>
    </w:p>
    <w:p>
      <w:r>
        <w:t xml:space="preserve">where t_e(τ*) is the earliest clean-window origin whose forecast anticipates the crossing at τ*. Forecast fidelity is summarized by the horizon-mean squared error in the restored raw domain,</w:t>
      </w:r>
    </w:p>
    <w:p>
      <w:pPr>
        <w:tabs>
          <w:tab w:val="center" w:pos="4110"/>
          <w:tab w:val="right" w:pos="8220"/>
        </w:tabs>
        <w:ind w:firstLine="480"/>
      </w:pPr>
      <w:r>
        <w:tab/>
      </w:r>
      <w:r>
        <w:t xml:space="preserve">MSE = (1 / (|W|·H)) · ∑_(w∈W) ∑_(h=1)^H ( ŷ_(t+h) − y_(t+h) )²</w:t>
      </w:r>
      <w:r>
        <w:tab/>
        <w:t>(24)</w:t>
      </w:r>
    </w:p>
    <w:p>
      <w:r>
        <w:t xml:space="preserve">A false-prognosis budget of FAR ≤ 0.05 is adopted as the operational acceptance threshold.</w:t>
      </w:r>
    </w:p>
    <w:p>
      <w:pPr>
        <w:pStyle w:val="2"/>
      </w:pPr>
      <w:r>
        <w:t xml:space="preserve">4.3	Data-efficiency benchmark</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geometry of Eqs. (19)-(24).</w:t>
      </w:r>
    </w:p>
    <w:p>
      <w:r>
        <w:t xml:space="preserve">[[ FIGURE 3 PLACEHOLDER — insert image here ]]</w:t>
      </w:r>
    </w:p>
    <w:p>
      <w:r>
        <w:t xml:space="preserve">Fig. 3. Two example ante-onset windows on the held-out test runs, showing the (ℓ, u) band, the ground truth, and the difference, second-difference and union forecasts: a steady-ramp onset caught by the difference view, and a curving onset caught by the second-difference view but missed by the difference view.</w:t>
      </w:r>
    </w:p>
    <w:p>
      <w:pPr>
        <w:pStyle w:val="1"/>
      </w:pPr>
      <w:r>
        <w:t xml:space="preserve">5.	Results and Discussion</w:t>
      </w:r>
    </w:p>
    <w:p>
      <w:pPr>
        <w:pStyle w:val="2"/>
      </w:pPr>
      <w:r>
        <w:t xml:space="preserve">5.1	Data efficiency of the operator framework</w:t>
      </w:r>
    </w:p>
    <w:p>
      <w:r>
        <w:t xml:space="preserve">Table 1 reports the prognostic recall across the six subset ratios, and Fig. 4 plots the same curves against the data budget. The operator views are remarkably data-efficient. The difference, second-difference and union operators hold within a few points of their full-data recall all the way down to ρ = 1%, whereas the raw view loses roughly a third of its recall as data is withdrawn. The union is the most sensitive operator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below ρ = 25%.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Timer-XL-diff</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 xml:space="preserve">5.2	Comparison with baselines and zero-shot models</w:t>
      </w:r>
    </w:p>
    <w:p>
      <w:r>
        <w:t xml:space="preserve">The gap to the supervised baselines is large and widens as data shrinks. Timer-XL-diff at 1% data, with a recall of 0.653, already exceeds the best baseline at 100% data, a hundred-fold data advantage at equal or better sensitivity. The advantage is not bought with false alarms. Table 2 shows that the difference view holds FAR ≤ 0.033 across all ratios, inside the 0.05 budget, and the raw view stays lower still. The union and second-difference operators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Timer-XL-diff</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 xml:space="preserve">Mean lead time tells the same story in operational units (Table 3, Fig. 5). On these near-onset windows the operators warn 2.9 to 3.5 min ahead and hold that lead down to 1% data, whereas the best baseline reaches 2.3 min only at full data and forfeits nearly all of it in the cold-start regime. The weak baselines give essentially no anticipation.</w:t>
      </w:r>
    </w:p>
    <w:p>
      <w:r>
        <w:t>Table 3. Mean lead time (Eq. 23), in minutes, versus ρ. Horizon ceiling H·Δt = 15 min.</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3.53</w:t>
            </w:r>
          </w:p>
        </w:tc>
        <w:tc>
          <w:tcPr>
            <w:tcW w:type="dxa" w:w="1174"/>
          </w:tcPr>
          <w:p>
            <w:r>
              <w:t>3.24</w:t>
            </w:r>
          </w:p>
        </w:tc>
        <w:tc>
          <w:tcPr>
            <w:tcW w:type="dxa" w:w="1174"/>
          </w:tcPr>
          <w:p>
            <w:r>
              <w:t>3.48</w:t>
            </w:r>
          </w:p>
        </w:tc>
        <w:tc>
          <w:tcPr>
            <w:tcW w:type="dxa" w:w="1174"/>
          </w:tcPr>
          <w:p>
            <w:r>
              <w:t>3.44</w:t>
            </w:r>
          </w:p>
        </w:tc>
        <w:tc>
          <w:tcPr>
            <w:tcW w:type="dxa" w:w="1174"/>
          </w:tcPr>
          <w:p>
            <w:r>
              <w:t>3.34</w:t>
            </w:r>
          </w:p>
        </w:tc>
        <w:tc>
          <w:tcPr>
            <w:tcW w:type="dxa" w:w="1174"/>
          </w:tcPr>
          <w:p>
            <w:r>
              <w:t>3.44</w:t>
            </w:r>
          </w:p>
        </w:tc>
      </w:tr>
      <w:tr>
        <w:tc>
          <w:tcPr>
            <w:tcW w:type="dxa" w:w="1174"/>
          </w:tcPr>
          <w:p>
            <w:r>
              <w:t>Timer-XL-∇²</w:t>
            </w:r>
          </w:p>
        </w:tc>
        <w:tc>
          <w:tcPr>
            <w:tcW w:type="dxa" w:w="1174"/>
          </w:tcPr>
          <w:p>
            <w:r>
              <w:t>3.19</w:t>
            </w:r>
          </w:p>
        </w:tc>
        <w:tc>
          <w:tcPr>
            <w:tcW w:type="dxa" w:w="1174"/>
          </w:tcPr>
          <w:p>
            <w:r>
              <w:t>3.24</w:t>
            </w:r>
          </w:p>
        </w:tc>
        <w:tc>
          <w:tcPr>
            <w:tcW w:type="dxa" w:w="1174"/>
          </w:tcPr>
          <w:p>
            <w:r>
              <w:t>3.29</w:t>
            </w:r>
          </w:p>
        </w:tc>
        <w:tc>
          <w:tcPr>
            <w:tcW w:type="dxa" w:w="1174"/>
          </w:tcPr>
          <w:p>
            <w:r>
              <w:t>3.34</w:t>
            </w:r>
          </w:p>
        </w:tc>
        <w:tc>
          <w:tcPr>
            <w:tcW w:type="dxa" w:w="1174"/>
          </w:tcPr>
          <w:p>
            <w:r>
              <w:t>2.90</w:t>
            </w:r>
          </w:p>
        </w:tc>
        <w:tc>
          <w:tcPr>
            <w:tcW w:type="dxa" w:w="1174"/>
          </w:tcPr>
          <w:p>
            <w:r>
              <w:t>3.10</w:t>
            </w:r>
          </w:p>
        </w:tc>
      </w:tr>
      <w:tr>
        <w:tc>
          <w:tcPr>
            <w:tcW w:type="dxa" w:w="1174"/>
          </w:tcPr>
          <w:p>
            <w:r>
              <w:t>Timer-XL-diff</w:t>
            </w:r>
          </w:p>
        </w:tc>
        <w:tc>
          <w:tcPr>
            <w:tcW w:type="dxa" w:w="1174"/>
          </w:tcPr>
          <w:p>
            <w:r>
              <w:t>3.15</w:t>
            </w:r>
          </w:p>
        </w:tc>
        <w:tc>
          <w:tcPr>
            <w:tcW w:type="dxa" w:w="1174"/>
          </w:tcPr>
          <w:p>
            <w:r>
              <w:t>2.61</w:t>
            </w:r>
          </w:p>
        </w:tc>
        <w:tc>
          <w:tcPr>
            <w:tcW w:type="dxa" w:w="1174"/>
          </w:tcPr>
          <w:p>
            <w:r>
              <w:t>2.81</w:t>
            </w:r>
          </w:p>
        </w:tc>
        <w:tc>
          <w:tcPr>
            <w:tcW w:type="dxa" w:w="1174"/>
          </w:tcPr>
          <w:p>
            <w:r>
              <w:t>2.66</w:t>
            </w:r>
          </w:p>
        </w:tc>
        <w:tc>
          <w:tcPr>
            <w:tcW w:type="dxa" w:w="1174"/>
          </w:tcPr>
          <w:p>
            <w:r>
              <w:t>2.66</w:t>
            </w:r>
          </w:p>
        </w:tc>
        <w:tc>
          <w:tcPr>
            <w:tcW w:type="dxa" w:w="1174"/>
          </w:tcPr>
          <w:p>
            <w:r>
              <w:t>2.95</w:t>
            </w:r>
          </w:p>
        </w:tc>
      </w:tr>
      <w:tr>
        <w:tc>
          <w:tcPr>
            <w:tcW w:type="dxa" w:w="1174"/>
          </w:tcPr>
          <w:p>
            <w:r>
              <w:t>Timer-XL-raw</w:t>
            </w:r>
          </w:p>
        </w:tc>
        <w:tc>
          <w:tcPr>
            <w:tcW w:type="dxa" w:w="1174"/>
          </w:tcPr>
          <w:p>
            <w:r>
              <w:t>1.89</w:t>
            </w:r>
          </w:p>
        </w:tc>
        <w:tc>
          <w:tcPr>
            <w:tcW w:type="dxa" w:w="1174"/>
          </w:tcPr>
          <w:p>
            <w:r>
              <w:t>2.47</w:t>
            </w:r>
          </w:p>
        </w:tc>
        <w:tc>
          <w:tcPr>
            <w:tcW w:type="dxa" w:w="1174"/>
          </w:tcPr>
          <w:p>
            <w:r>
              <w:t>2.66</w:t>
            </w:r>
          </w:p>
        </w:tc>
        <w:tc>
          <w:tcPr>
            <w:tcW w:type="dxa" w:w="1174"/>
          </w:tcPr>
          <w:p>
            <w:r>
              <w:t>2.47</w:t>
            </w:r>
          </w:p>
        </w:tc>
        <w:tc>
          <w:tcPr>
            <w:tcW w:type="dxa" w:w="1174"/>
          </w:tcPr>
          <w:p>
            <w:r>
              <w:t>2.66</w:t>
            </w:r>
          </w:p>
        </w:tc>
        <w:tc>
          <w:tcPr>
            <w:tcW w:type="dxa" w:w="1174"/>
          </w:tcPr>
          <w:p>
            <w:r>
              <w:t>2.85</w:t>
            </w:r>
          </w:p>
        </w:tc>
      </w:tr>
      <w:tr>
        <w:tc>
          <w:tcPr>
            <w:tcW w:type="dxa" w:w="1174"/>
          </w:tcPr>
          <w:p>
            <w:r>
              <w:t>Time-MoE (zero-shot)</w:t>
            </w:r>
          </w:p>
        </w:tc>
        <w:tc>
          <w:tcPr>
            <w:tcW w:type="dxa" w:w="1174"/>
          </w:tcPr>
          <w:p>
            <w:r>
              <w:t>1.50</w:t>
            </w:r>
          </w:p>
        </w:tc>
        <w:tc>
          <w:tcPr>
            <w:tcW w:type="dxa" w:w="1174"/>
          </w:tcPr>
          <w:p>
            <w:r>
              <w:t>1.50</w:t>
            </w:r>
          </w:p>
        </w:tc>
        <w:tc>
          <w:tcPr>
            <w:tcW w:type="dxa" w:w="1174"/>
          </w:tcPr>
          <w:p>
            <w:r>
              <w:t>1.50</w:t>
            </w:r>
          </w:p>
        </w:tc>
        <w:tc>
          <w:tcPr>
            <w:tcW w:type="dxa" w:w="1174"/>
          </w:tcPr>
          <w:p>
            <w:r>
              <w:t>1.50</w:t>
            </w:r>
          </w:p>
        </w:tc>
        <w:tc>
          <w:tcPr>
            <w:tcW w:type="dxa" w:w="1174"/>
          </w:tcPr>
          <w:p>
            <w:r>
              <w:t>1.50</w:t>
            </w:r>
          </w:p>
        </w:tc>
        <w:tc>
          <w:tcPr>
            <w:tcW w:type="dxa" w:w="1174"/>
          </w:tcPr>
          <w:p>
            <w:r>
              <w:t>1.50</w:t>
            </w:r>
          </w:p>
        </w:tc>
      </w:tr>
      <w:tr>
        <w:tc>
          <w:tcPr>
            <w:tcW w:type="dxa" w:w="1174"/>
          </w:tcPr>
          <w:p>
            <w:r>
              <w:t>Sundial (zero-shot)</w:t>
            </w:r>
          </w:p>
        </w:tc>
        <w:tc>
          <w:tcPr>
            <w:tcW w:type="dxa" w:w="1174"/>
          </w:tcPr>
          <w:p>
            <w:r>
              <w:t>1.31</w:t>
            </w:r>
          </w:p>
        </w:tc>
        <w:tc>
          <w:tcPr>
            <w:tcW w:type="dxa" w:w="1174"/>
          </w:tcPr>
          <w:p>
            <w:r>
              <w:t>1.31</w:t>
            </w:r>
          </w:p>
        </w:tc>
        <w:tc>
          <w:tcPr>
            <w:tcW w:type="dxa" w:w="1174"/>
          </w:tcPr>
          <w:p>
            <w:r>
              <w:t>1.31</w:t>
            </w:r>
          </w:p>
        </w:tc>
        <w:tc>
          <w:tcPr>
            <w:tcW w:type="dxa" w:w="1174"/>
          </w:tcPr>
          <w:p>
            <w:r>
              <w:t>1.31</w:t>
            </w:r>
          </w:p>
        </w:tc>
        <w:tc>
          <w:tcPr>
            <w:tcW w:type="dxa" w:w="1174"/>
          </w:tcPr>
          <w:p>
            <w:r>
              <w:t>1.31</w:t>
            </w:r>
          </w:p>
        </w:tc>
        <w:tc>
          <w:tcPr>
            <w:tcW w:type="dxa" w:w="1174"/>
          </w:tcPr>
          <w:p>
            <w:r>
              <w:t>1.31</w:t>
            </w:r>
          </w:p>
        </w:tc>
      </w:tr>
      <w:tr>
        <w:tc>
          <w:tcPr>
            <w:tcW w:type="dxa" w:w="1174"/>
          </w:tcPr>
          <w:p>
            <w:r>
              <w:t>STA-ConvBiLSTM</w:t>
            </w:r>
          </w:p>
        </w:tc>
        <w:tc>
          <w:tcPr>
            <w:tcW w:type="dxa" w:w="1174"/>
          </w:tcPr>
          <w:p>
            <w:r>
              <w:t>0.29</w:t>
            </w:r>
          </w:p>
        </w:tc>
        <w:tc>
          <w:tcPr>
            <w:tcW w:type="dxa" w:w="1174"/>
          </w:tcPr>
          <w:p>
            <w:r>
              <w:t>1.55</w:t>
            </w:r>
          </w:p>
        </w:tc>
        <w:tc>
          <w:tcPr>
            <w:tcW w:type="dxa" w:w="1174"/>
          </w:tcPr>
          <w:p>
            <w:r>
              <w:t>1.89</w:t>
            </w:r>
          </w:p>
        </w:tc>
        <w:tc>
          <w:tcPr>
            <w:tcW w:type="dxa" w:w="1174"/>
          </w:tcPr>
          <w:p>
            <w:r>
              <w:t>1.79</w:t>
            </w:r>
          </w:p>
        </w:tc>
        <w:tc>
          <w:tcPr>
            <w:tcW w:type="dxa" w:w="1174"/>
          </w:tcPr>
          <w:p>
            <w:r>
              <w:t>2.08</w:t>
            </w:r>
          </w:p>
        </w:tc>
        <w:tc>
          <w:tcPr>
            <w:tcW w:type="dxa" w:w="1174"/>
          </w:tcPr>
          <w:p>
            <w:r>
              <w:t>2.27</w:t>
            </w:r>
          </w:p>
        </w:tc>
      </w:tr>
      <w:tr>
        <w:tc>
          <w:tcPr>
            <w:tcW w:type="dxa" w:w="1174"/>
          </w:tcPr>
          <w:p>
            <w:r>
              <w:t>TCN-Transformer</w:t>
            </w:r>
          </w:p>
        </w:tc>
        <w:tc>
          <w:tcPr>
            <w:tcW w:type="dxa" w:w="1174"/>
          </w:tcPr>
          <w:p>
            <w:r>
              <w:t>0.15</w:t>
            </w:r>
          </w:p>
        </w:tc>
        <w:tc>
          <w:tcPr>
            <w:tcW w:type="dxa" w:w="1174"/>
          </w:tcPr>
          <w:p>
            <w:r>
              <w:t>0.48</w:t>
            </w:r>
          </w:p>
        </w:tc>
        <w:tc>
          <w:tcPr>
            <w:tcW w:type="dxa" w:w="1174"/>
          </w:tcPr>
          <w:p>
            <w:r>
              <w:t>1.06</w:t>
            </w:r>
          </w:p>
        </w:tc>
        <w:tc>
          <w:tcPr>
            <w:tcW w:type="dxa" w:w="1174"/>
          </w:tcPr>
          <w:p>
            <w:r>
              <w:t>1.55</w:t>
            </w:r>
          </w:p>
        </w:tc>
        <w:tc>
          <w:tcPr>
            <w:tcW w:type="dxa" w:w="1174"/>
          </w:tcPr>
          <w:p>
            <w:r>
              <w:t>1.65</w:t>
            </w:r>
          </w:p>
        </w:tc>
        <w:tc>
          <w:tcPr>
            <w:tcW w:type="dxa" w:w="1174"/>
          </w:tcPr>
          <w:p>
            <w:r>
              <w:t>1.55</w:t>
            </w:r>
          </w:p>
        </w:tc>
      </w:tr>
      <w:tr>
        <w:tc>
          <w:tcPr>
            <w:tcW w:type="dxa" w:w="1174"/>
          </w:tcPr>
          <w:p>
            <w:r>
              <w:t>DiPCA-LSTM</w:t>
            </w:r>
          </w:p>
        </w:tc>
        <w:tc>
          <w:tcPr>
            <w:tcW w:type="dxa" w:w="1174"/>
          </w:tcPr>
          <w:p>
            <w:r>
              <w:t>0.29</w:t>
            </w:r>
          </w:p>
        </w:tc>
        <w:tc>
          <w:tcPr>
            <w:tcW w:type="dxa" w:w="1174"/>
          </w:tcPr>
          <w:p>
            <w:r>
              <w:t>0.15</w:t>
            </w:r>
          </w:p>
        </w:tc>
        <w:tc>
          <w:tcPr>
            <w:tcW w:type="dxa" w:w="1174"/>
          </w:tcPr>
          <w:p>
            <w:r>
              <w:t>0.15</w:t>
            </w:r>
          </w:p>
        </w:tc>
        <w:tc>
          <w:tcPr>
            <w:tcW w:type="dxa" w:w="1174"/>
          </w:tcPr>
          <w:p>
            <w:r>
              <w:t>0.19</w:t>
            </w:r>
          </w:p>
        </w:tc>
        <w:tc>
          <w:tcPr>
            <w:tcW w:type="dxa" w:w="1174"/>
          </w:tcPr>
          <w:p>
            <w:r>
              <w:t>0.44</w:t>
            </w:r>
          </w:p>
        </w:tc>
        <w:tc>
          <w:tcPr>
            <w:tcW w:type="dxa" w:w="1174"/>
          </w:tcPr>
          <w:p>
            <w:r>
              <w:t>0.19</w:t>
            </w:r>
          </w:p>
        </w:tc>
      </w:tr>
      <w:tr>
        <w:tc>
          <w:tcPr>
            <w:tcW w:type="dxa" w:w="1174"/>
          </w:tcPr>
          <w:p>
            <w:r>
              <w:t>CNN-LSTM</w:t>
            </w:r>
          </w:p>
        </w:tc>
        <w:tc>
          <w:tcPr>
            <w:tcW w:type="dxa" w:w="1174"/>
          </w:tcPr>
          <w:p>
            <w:r>
              <w:t>0.00</w:t>
            </w:r>
          </w:p>
        </w:tc>
        <w:tc>
          <w:tcPr>
            <w:tcW w:type="dxa" w:w="1174"/>
          </w:tcPr>
          <w:p>
            <w:r>
              <w:t>0.15</w:t>
            </w:r>
          </w:p>
        </w:tc>
        <w:tc>
          <w:tcPr>
            <w:tcW w:type="dxa" w:w="1174"/>
          </w:tcPr>
          <w:p>
            <w:r>
              <w:t>0.15</w:t>
            </w:r>
          </w:p>
        </w:tc>
        <w:tc>
          <w:tcPr>
            <w:tcW w:type="dxa" w:w="1174"/>
          </w:tcPr>
          <w:p>
            <w:r>
              <w:t>0.10</w:t>
            </w:r>
          </w:p>
        </w:tc>
        <w:tc>
          <w:tcPr>
            <w:tcW w:type="dxa" w:w="1174"/>
          </w:tcPr>
          <w:p>
            <w:r>
              <w:t>0.15</w:t>
            </w:r>
          </w:p>
        </w:tc>
        <w:tc>
          <w:tcPr>
            <w:tcW w:type="dxa" w:w="1174"/>
          </w:tcPr>
          <w:p>
            <w:r>
              <w:t>0.44</w:t>
            </w:r>
          </w:p>
        </w:tc>
      </w:tr>
      <w:tr>
        <w:tc>
          <w:tcPr>
            <w:tcW w:type="dxa" w:w="1174"/>
          </w:tcPr>
          <w:p>
            <w:r>
              <w:t>LSTM-GRU</w:t>
            </w:r>
          </w:p>
        </w:tc>
        <w:tc>
          <w:tcPr>
            <w:tcW w:type="dxa" w:w="1174"/>
          </w:tcPr>
          <w:p>
            <w:r>
              <w:t>0.15</w:t>
            </w:r>
          </w:p>
        </w:tc>
        <w:tc>
          <w:tcPr>
            <w:tcW w:type="dxa" w:w="1174"/>
          </w:tcPr>
          <w:p>
            <w:r>
              <w:t>0.00</w:t>
            </w:r>
          </w:p>
        </w:tc>
        <w:tc>
          <w:tcPr>
            <w:tcW w:type="dxa" w:w="1174"/>
          </w:tcPr>
          <w:p>
            <w:r>
              <w:t>0.10</w:t>
            </w:r>
          </w:p>
        </w:tc>
        <w:tc>
          <w:tcPr>
            <w:tcW w:type="dxa" w:w="1174"/>
          </w:tcPr>
          <w:p>
            <w:r>
              <w:t>0.19</w:t>
            </w:r>
          </w:p>
        </w:tc>
        <w:tc>
          <w:tcPr>
            <w:tcW w:type="dxa" w:w="1174"/>
          </w:tcPr>
          <w:p>
            <w:r>
              <w:t>0.15</w:t>
            </w:r>
          </w:p>
        </w:tc>
        <w:tc>
          <w:tcPr>
            <w:tcW w:type="dxa" w:w="1174"/>
          </w:tcPr>
          <w:p>
            <w:r>
              <w:t>0.39</w:t>
            </w:r>
          </w:p>
        </w:tc>
      </w:tr>
    </w:tbl>
    <w:p>
      <w:r>
        <w:t xml:space="preserve">[[ FIGURE 5 PLACEHOLDER — insert image here ]]</w:t>
      </w:r>
    </w:p>
    <w:p>
      <w:r>
        <w:t xml:space="preserve">Fig. 5. (a) False prognosis rate and (b) mean lead time versus ρ for the same method set as Fig. 4. The shaded region in (a) marks the FAR ≤ 0.05 budget.</w:t>
      </w:r>
    </w:p>
    <w:p>
      <w:pPr>
        <w:pStyle w:val="2"/>
      </w:pPr>
      <w:r>
        <w:t xml:space="preserve">5.3	Improvement over the raw foundation model</w:t>
      </w:r>
    </w:p>
    <w:p>
      <w:r>
        <w:t xml:space="preserve">Table 4 isolates the value added by the operators over the raw Timer-XL, the natural single-backbone reference. The comparison of the two data budgets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 xml:space="preserve">Table 4. Improvement over Timer-XL-raw at ρ = 1% and ρ = 100% under the early-warning cutoff. Percentages are relative to the raw view.</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1.89</w:t>
            </w:r>
          </w:p>
        </w:tc>
        <w:tc>
          <w:tcPr>
            <w:tcW w:type="dxa" w:w="1370"/>
          </w:tcPr>
          <w:p>
            <w:r>
              <w:t>0.237</w:t>
            </w:r>
          </w:p>
        </w:tc>
        <w:tc>
          <w:tcPr>
            <w:tcW w:type="dxa" w:w="1370"/>
          </w:tcPr>
          <w:p>
            <w:r>
              <w:t>0.011</w:t>
            </w:r>
          </w:p>
        </w:tc>
      </w:tr>
      <w:tr>
        <w:tc>
          <w:tcPr>
            <w:tcW w:type="dxa" w:w="1370"/>
          </w:tcPr>
          <w:p>
            <w:r>
              <w:t>1%</w:t>
            </w:r>
          </w:p>
        </w:tc>
        <w:tc>
          <w:tcPr>
            <w:tcW w:type="dxa" w:w="1370"/>
          </w:tcPr>
          <w:p>
            <w:r>
              <w:t>diff</w:t>
            </w:r>
          </w:p>
        </w:tc>
        <w:tc>
          <w:tcPr>
            <w:tcW w:type="dxa" w:w="1370"/>
          </w:tcPr>
          <w:p>
            <w:r>
              <w:t>0.653 (+46%)</w:t>
            </w:r>
          </w:p>
        </w:tc>
        <w:tc>
          <w:tcPr>
            <w:tcW w:type="dxa" w:w="1370"/>
          </w:tcPr>
          <w:p>
            <w:r>
              <w:t>3.15 (+67%)</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3.19 (+69%)</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3.53 (+87%)</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2.85</w:t>
            </w:r>
          </w:p>
        </w:tc>
        <w:tc>
          <w:tcPr>
            <w:tcW w:type="dxa" w:w="1370"/>
          </w:tcPr>
          <w:p>
            <w:r>
              <w:t>0.064</w:t>
            </w:r>
          </w:p>
        </w:tc>
        <w:tc>
          <w:tcPr>
            <w:tcW w:type="dxa" w:w="1370"/>
          </w:tcPr>
          <w:p>
            <w:r>
              <w:t>0.020</w:t>
            </w:r>
          </w:p>
        </w:tc>
      </w:tr>
      <w:tr>
        <w:tc>
          <w:tcPr>
            <w:tcW w:type="dxa" w:w="1370"/>
          </w:tcPr>
          <w:p>
            <w:r>
              <w:t>100%</w:t>
            </w:r>
          </w:p>
        </w:tc>
        <w:tc>
          <w:tcPr>
            <w:tcW w:type="dxa" w:w="1370"/>
          </w:tcPr>
          <w:p>
            <w:r>
              <w:t>diff</w:t>
            </w:r>
          </w:p>
        </w:tc>
        <w:tc>
          <w:tcPr>
            <w:tcW w:type="dxa" w:w="1370"/>
          </w:tcPr>
          <w:p>
            <w:r>
              <w:t>0.673 (−3%)</w:t>
            </w:r>
          </w:p>
        </w:tc>
        <w:tc>
          <w:tcPr>
            <w:tcW w:type="dxa" w:w="1370"/>
          </w:tcPr>
          <w:p>
            <w:r>
              <w:t>2.95 (+4%)</w:t>
            </w:r>
          </w:p>
        </w:tc>
        <w:tc>
          <w:tcPr>
            <w:tcW w:type="dxa" w:w="1370"/>
          </w:tcPr>
          <w:p>
            <w:r>
              <w:t>0.048 (−25%)</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3.10 (+9%)</w:t>
            </w:r>
          </w:p>
        </w:tc>
        <w:tc>
          <w:tcPr>
            <w:tcW w:type="dxa" w:w="1370"/>
          </w:tcPr>
          <w:p>
            <w:r>
              <w:t>0.065 (±0%)</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3.44 (+21%)</w:t>
            </w:r>
          </w:p>
        </w:tc>
        <w:tc>
          <w:tcPr>
            <w:tcW w:type="dxa" w:w="1370"/>
          </w:tcPr>
          <w:p>
            <w:r>
              <w:t>0.058 (−9%)</w:t>
            </w:r>
          </w:p>
        </w:tc>
        <w:tc>
          <w:tcPr>
            <w:tcW w:type="dxa" w:w="1370"/>
          </w:tcPr>
          <w:p>
            <w:r>
              <w:t>0.081</w:t>
            </w:r>
          </w:p>
        </w:tc>
      </w:tr>
    </w:tbl>
    <w:p>
      <w:r>
        <w:t xml:space="preserve">The degradation of each method as data falls from 100% to 1% quantifies the same effect. The raw view loses 36% of its recall, 34%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 xml:space="preserve">5.4	Recall-false-alarm operating range</w:t>
      </w:r>
    </w:p>
    <w:p>
      <w:r>
        <w:t xml:space="preserve">Because the operators occupy distinct points on the recall-false-alarm plane, the framework offers a tunable operating range rather than a single decision (Fig. 6). The difference view is the budget-compliant operating point, the only operator with FAR ≤ 0.05 at every ratio and the lowest forecasting error, and it is the default when nuisance alarms are costly. The union is the maximum-sensitivity operating point, buying up to twelve recall points and half a minute of lead over the difference view at the cost of a five-fold higher false-alarm rate. It is preferable when a missed onset is far costlier than a false one. The second-difference view lies between the two, close to the union in behaviour. Crucially, this entire range dominates the supervised baselines and the zero-shot models on all three prognostic axes at every data budget.</w:t>
      </w:r>
    </w:p>
    <w:p>
      <w:r>
        <w:t xml:space="preserve">[[ FIGURE 6 PLACEHOLDER — insert image here ]]</w:t>
      </w:r>
    </w:p>
    <w:p>
      <w:r>
        <w:t xml:space="preserve">Fig. 6. Recall against false prognosis rate, with one marker per operating point per ρ for the raw, difference, second-difference and union operators. The empirical Pareto front and the FAR = 0.05 budget line are drawn.</w:t>
      </w:r>
    </w:p>
    <w:p>
      <w:pPr>
        <w:pStyle w:val="2"/>
      </w:pPr>
      <w:r>
        <w:t xml:space="preserve">5.5	Forecast accuracy under data reduction</w:t>
      </w:r>
    </w:p>
    <w:p>
      <w:r>
        <w:t xml:space="preserve">Table 5 reports the horizon-mean squared error in the restored raw domain (Fig. 7). The difference view attains the lowest error at every ratio and barely degrades under data withdrawal. The supervised baselines split into two failure modes. STA-ConvBiLSTM and TCN-Transformer match the operators only at full data and then explode by three- to seven-fold as data shrinks,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Timer-XL-diff</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 xml:space="preserve">5.6	Summary</w:t>
      </w:r>
    </w:p>
    <w:p>
      <w:r>
        <w:t xml:space="preserve">Across recall, false-alarm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available in the pool. The framework therefore delivers a practical cold-start early-warning capability with an explicit, tunable recall-false-alarm operating range.</w:t>
      </w:r>
    </w:p>
    <w:p>
      <w:pPr>
        <w:pStyle w:val="1"/>
      </w:pPr>
      <w:r>
        <w:t xml:space="preserve">6.	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5.</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