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1Department of Chemical Engineering</w:t>
      </w:r>
      <w:r w:rsidRPr="001C6770">
        <w:rPr>
          <w:rFonts w:hint="eastAsia"/>
          <w:sz w:val="18"/>
          <w:szCs w:val="16"/>
        </w:rPr>
      </w:r>
      <w:r w:rsidRPr="001C6770">
        <w:rPr>
          <w:sz w:val="18"/>
          <w:szCs w:val="16"/>
        </w:rPr>
        <w:t xml:space="preserve">,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ind w:firstLine="0"/>
        <w:rPr>
          <w:rFonts w:eastAsiaTheme="minorEastAsia"/>
        </w:rPr>
      </w:pPr>
      <w:bookmarkStart w:id="0" w:name="_Toc220180359"/>
      <w:bookmarkEnd w:id="0"/>
      <w:r>
        <w:t>Highlights</w:t>
      </w:r>
    </w:p>
    <w:p w14:paraId="3969EEE9" w14:textId="77777777" w:rsidR="0044082D" w:rsidRDefault="0044082D" w:rsidP="00F42A0D">
      <w:pPr>
        <w:ind w:firstLine="0"/>
        <w:rPr>
          <w:rFonts w:eastAsiaTheme="minorEastAsia"/>
        </w:rPr>
      </w:pPr>
      <w:bookmarkStart w:id="0" w:name="_Toc220180359"/>
      <w:bookmarkEnd w:id="0"/>
      <w:r>
        <w:t>• Differencing operators make foundation-model prognosis nearly data-independent.</w:t>
      </w:r>
    </w:p>
    <w:p w14:paraId="3969EEE9" w14:textId="77777777" w:rsidR="0044082D" w:rsidRDefault="0044082D" w:rsidP="00F42A0D">
      <w:pPr>
        <w:ind w:firstLine="0"/>
        <w:rPr>
          <w:rFonts w:eastAsiaTheme="minorEastAsia"/>
        </w:rPr>
      </w:pPr>
      <w:bookmarkStart w:id="0" w:name="_Toc220180359"/>
      <w:bookmarkEnd w:id="0"/>
      <w:r>
        <w:t>• A union of velocity and acceleration views gives the earliest reliable warning.</w:t>
      </w:r>
    </w:p>
    <w:p w14:paraId="3969EEE9" w14:textId="77777777" w:rsidR="0044082D" w:rsidRDefault="0044082D" w:rsidP="00F42A0D">
      <w:pPr>
        <w:ind w:firstLine="0"/>
        <w:rPr>
          <w:rFonts w:eastAsiaTheme="minorEastAsia"/>
        </w:rPr>
      </w:pPr>
      <w:bookmarkStart w:id="0" w:name="_Toc220180359"/>
      <w:bookmarkEnd w:id="0"/>
      <w:r>
        <w:t>• 1% of the fault data matches a baseline trained on a hundred times more.</w:t>
      </w:r>
    </w:p>
    <w:p w14:paraId="3969EEE9" w14:textId="77777777" w:rsidR="0044082D" w:rsidRDefault="0044082D" w:rsidP="00F42A0D">
      <w:pPr>
        <w:ind w:firstLine="0"/>
        <w:rPr>
          <w:rFonts w:eastAsiaTheme="minorEastAsia"/>
        </w:rPr>
      </w:pPr>
      <w:bookmarkStart w:id="0" w:name="_Toc220180359"/>
      <w:bookmarkEnd w:id="0"/>
      <w:r>
        <w:t>• Early-warning metrics, not forecast error, are used to judge prognosis.</w:t>
      </w:r>
    </w:p>
    <w:p w14:paraId="3969EEE9" w14:textId="77777777" w:rsidR="0044082D" w:rsidRDefault="0044082D" w:rsidP="00F42A0D">
      <w:pPr>
        <w:ind w:firstLine="0"/>
        <w:rPr>
          <w:rFonts w:eastAsiaTheme="minorEastAsia"/>
        </w:rPr>
      </w:pPr>
      <w:bookmarkStart w:id="0" w:name="_Toc220180359"/>
      <w:bookmarkEnd w:id="0"/>
      <w:r>
        <w:t>• Recall–false-alarm range is tunable for cold-start deployment.</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data-driven prognostic models are often restricted by the cold-start problem, where newly commissioned equipment or novel operating conditions leave extremely limited fault data, so conventional deep-learning forecasters overfit and miss the incipient alarm. Time series foundation models (TSFMs) mitigate this scarcity through cross-domain pretraining, yet a single model still degrades as the adaptation data shrink. This study therefore proposes an operator-augmented ensemble of time series foundation models for few-shot fault prognosis. The framework exposes the adapted backbone through a pool of differencing operators — level, velocity and acceleration views — which turn the non-stationary target into a near-stationary forecasting problem and largely remove the model's dependence on the amount of adaptation data. A direction-aware union rule then fuses the velocity and acceleration decisions into the earliest reliable warning. The method is validated on the Tennessee Eastman process under a slow incipient disturbance, where it sustains near-full-data recall, lead time and forecasting accuracy down to a tiny fraction of the fault data, while every supervised baseline collapses. Using only 1% of the fault-adaptation windows, the union decision attains a prognostic recall of 0.723 at a mean lead time of 10.8 min within a 15 min horizon, whereas the strongest supervised baseline reaches 0.535 and 8.2 min only with the full data set, and 0.030 at the same budget. It thereby offers a proactive abnormal situation management strategy for process safety in large-scale chemical plants.</w:t>
      </w:r>
    </w:p>
    <w:p w14:paraId="10F3BB65" w14:textId="041FC835" w:rsidR="007E5DAD" w:rsidRDefault="0018563B" w:rsidP="0069470F">
      <w:pPr>
        <w:ind w:firstLine="0"/>
        <w:rPr>
          <w:rFonts w:eastAsiaTheme="minorEastAsia"/>
        </w:rPr>
      </w:pPr>
      <w:r>
        <w:t>Keywords: Abnormal situation management; Fault prognosis; Time series foundation model; Few-shot learning; Early warning; Tennessee Eastman process</w:t>
      </w:r>
    </w:p>
    <w:p w14:paraId="10F3BB65" w14:textId="041FC835" w:rsidR="007E5DAD" w:rsidRDefault="0018563B" w:rsidP="0069470F">
      <w:pPr>
        <w:pStyle w:val="1"/>
        <w:ind w:firstLine="0"/>
        <w:rPr>
          <w:rFonts w:eastAsiaTheme="minorEastAsia"/>
        </w:rPr>
      </w:pPr>
      <w:r>
        <w:t>Nomenclature</w:t>
      </w:r>
    </w:p>
    <w:p w14:paraId="10F3BB65" w14:textId="041FC835" w:rsidR="007E5DAD" w:rsidRDefault="0018563B" w:rsidP="0069470F">
      <w:pPr>
        <w:ind w:firstLine="0"/>
        <w:rPr>
          <w:rFonts w:eastAsiaTheme="minorEastAsia"/>
        </w:rPr>
      </w:pPr>
      <w:r>
        <w:t>ASM</w:t>
        <w:tab/>
        <w:t>abnormal situation management</w:t>
      </w:r>
    </w:p>
    <w:p w14:paraId="10F3BB65" w14:textId="041FC835" w:rsidR="007E5DAD" w:rsidRDefault="0018563B" w:rsidP="0069470F">
      <w:pPr>
        <w:ind w:firstLine="0"/>
        <w:rPr>
          <w:rFonts w:eastAsiaTheme="minorEastAsia"/>
        </w:rPr>
      </w:pPr>
      <w:r>
        <w:t>FDD</w:t>
        <w:tab/>
        <w:t>fault detection and diagnosis</w:t>
      </w:r>
    </w:p>
    <w:p w14:paraId="10F3BB65" w14:textId="041FC835" w:rsidR="007E5DAD" w:rsidRDefault="0018563B" w:rsidP="0069470F">
      <w:pPr>
        <w:ind w:firstLine="0"/>
        <w:rPr>
          <w:rFonts w:eastAsiaTheme="minorEastAsia"/>
        </w:rPr>
      </w:pPr>
      <w:r>
        <w:t>TSFM</w:t>
        <w:tab/>
        <w:t>time series foundation model</w:t>
      </w:r>
    </w:p>
    <w:p w14:paraId="10F3BB65" w14:textId="041FC835" w:rsidR="007E5DAD" w:rsidRDefault="0018563B" w:rsidP="0069470F">
      <w:pPr>
        <w:ind w:firstLine="0"/>
        <w:rPr>
          <w:rFonts w:eastAsiaTheme="minorEastAsia"/>
        </w:rPr>
      </w:pPr>
      <w:r>
        <w:t>TEP</w:t>
        <w:tab/>
        <w:t>Tennessee Eastman process</w:t>
      </w:r>
    </w:p>
    <w:p w14:paraId="10F3BB65" w14:textId="041FC835" w:rsidR="007E5DAD" w:rsidRDefault="0018563B" w:rsidP="0069470F">
      <w:pPr>
        <w:ind w:firstLine="0"/>
        <w:rPr>
          <w:rFonts w:eastAsiaTheme="minorEastAsia"/>
        </w:rPr>
      </w:pPr>
      <w:r>
        <w:t>FAR</w:t>
        <w:tab/>
        <w:t>false prognosis rate, Eqs. (17) and (22)</w:t>
      </w:r>
    </w:p>
    <w:p w14:paraId="10F3BB65" w14:textId="041FC835" w:rsidR="007E5DAD" w:rsidRDefault="0018563B" w:rsidP="0069470F">
      <w:pPr>
        <w:ind w:firstLine="0"/>
        <w:rPr>
          <w:rFonts w:eastAsiaTheme="minorEastAsia"/>
        </w:rPr>
      </w:pPr>
      <w:r>
        <w:t>MSE</w:t>
        <w:tab/>
        <w:t>horizon-mean squared error, Eq. (24)</w:t>
      </w:r>
    </w:p>
    <w:p w14:paraId="10F3BB65" w14:textId="041FC835" w:rsidR="007E5DAD" w:rsidRDefault="0018563B" w:rsidP="0069470F">
      <w:pPr>
        <w:ind w:firstLine="0"/>
        <w:rPr>
          <w:rFonts w:eastAsiaTheme="minorEastAsia"/>
        </w:rPr>
      </w:pPr>
      <w:r>
        <w:t>M</w:t>
        <w:tab/>
        <w:t>number of measured process variables</w:t>
      </w:r>
    </w:p>
    <w:p w14:paraId="10F3BB65" w14:textId="041FC835" w:rsidR="007E5DAD" w:rsidRDefault="0018563B" w:rsidP="0069470F">
      <w:pPr>
        <w:ind w:firstLine="0"/>
        <w:rPr>
          <w:rFonts w:eastAsiaTheme="minorEastAsia"/>
        </w:rPr>
      </w:pPr>
      <w:r>
        <w:t>L</w:t>
        <w:tab/>
        <w:t>look-back window length, in samples</w:t>
      </w:r>
    </w:p>
    <w:p w14:paraId="10F3BB65" w14:textId="041FC835" w:rsidR="007E5DAD" w:rsidRDefault="0018563B" w:rsidP="0069470F">
      <w:pPr>
        <w:ind w:firstLine="0"/>
        <w:rPr>
          <w:rFonts w:eastAsiaTheme="minorEastAsia"/>
        </w:rPr>
      </w:pPr>
      <w:r>
        <w:t>H</w:t>
        <w:tab/>
        <w:t>prognosis horizon, in samples</w:t>
      </w:r>
    </w:p>
    <w:p w14:paraId="10F3BB65" w14:textId="041FC835" w:rsidR="007E5DAD" w:rsidRDefault="0018563B" w:rsidP="0069470F">
      <w:pPr>
        <w:ind w:firstLine="0"/>
        <w:rPr>
          <w:rFonts w:eastAsiaTheme="minorEastAsia"/>
        </w:rPr>
      </w:pPr>
      <w:r>
        <w:t>Δt</w:t>
        <w:tab/>
        <w:t>sampling interval</w:t>
      </w:r>
    </w:p>
    <w:p w14:paraId="10F3BB65" w14:textId="041FC835" w:rsidR="007E5DAD" w:rsidRDefault="0018563B" w:rsidP="0069470F">
      <w:pPr>
        <w:ind w:firstLine="0"/>
        <w:rPr>
          <w:rFonts w:eastAsiaTheme="minorEastAsia"/>
        </w:rPr>
      </w:pPr>
      <w:r>
        <w:t>y</w:t>
        <w:tab/>
        <w:t>target variable</w:t>
      </w:r>
    </w:p>
    <w:p w14:paraId="10F3BB65" w14:textId="041FC835" w:rsidR="007E5DAD" w:rsidRDefault="0018563B" w:rsidP="0069470F">
      <w:pPr>
        <w:ind w:firstLine="0"/>
        <w:rPr>
          <w:rFonts w:eastAsiaTheme="minorEastAsia"/>
        </w:rPr>
      </w:pPr>
      <w:r>
        <w:t>ŷ</w:t>
        <w:tab/>
        <w:t>forecast target trajectory</w:t>
      </w:r>
    </w:p>
    <w:p w14:paraId="10F3BB65" w14:textId="041FC835" w:rsidR="007E5DAD" w:rsidRDefault="0018563B" w:rsidP="0069470F">
      <w:pPr>
        <w:ind w:firstLine="0"/>
        <w:rPr>
          <w:rFonts w:eastAsiaTheme="minorEastAsia"/>
        </w:rPr>
      </w:pPr>
      <w:r>
        <w:t>Fθ</w:t>
        <w:tab/>
        <w:t>forecasting operator with parameters θ</w:t>
      </w:r>
    </w:p>
    <w:p w14:paraId="10F3BB65" w14:textId="041FC835" w:rsidR="007E5DAD" w:rsidRDefault="0018563B" w:rsidP="0069470F">
      <w:pPr>
        <w:ind w:firstLine="0"/>
        <w:rPr>
          <w:rFonts w:eastAsiaTheme="minorEastAsia"/>
        </w:rPr>
      </w:pPr>
      <w:r>
        <w:t>θ₀</w:t>
        <w:tab/>
        <w:t>pretrained backbone parameters</w:t>
      </w:r>
    </w:p>
    <w:p w14:paraId="10F3BB65" w14:textId="041FC835" w:rsidR="007E5DAD" w:rsidRDefault="0018563B" w:rsidP="0069470F">
      <w:pPr>
        <w:ind w:firstLine="0"/>
        <w:rPr>
          <w:rFonts w:eastAsiaTheme="minorEastAsia"/>
        </w:rPr>
      </w:pPr>
      <w:r>
        <w:t>μy, σy</w:t>
        <w:tab/>
        <w:t>mean and standard deviation of the target on healthy data</w:t>
      </w:r>
    </w:p>
    <w:p w14:paraId="10F3BB65" w14:textId="041FC835" w:rsidR="007E5DAD" w:rsidRDefault="0018563B" w:rsidP="0069470F">
      <w:pPr>
        <w:ind w:firstLine="0"/>
        <w:rPr>
          <w:rFonts w:eastAsiaTheme="minorEastAsia"/>
        </w:rPr>
      </w:pPr>
      <w:r>
        <w:t>ℓ, u</w:t>
        <w:tab/>
        <w:t>lower and upper alarm limits, Eq. (3)</w:t>
      </w:r>
    </w:p>
    <w:p w14:paraId="10F3BB65" w14:textId="041FC835" w:rsidR="007E5DAD" w:rsidRDefault="0018563B" w:rsidP="0069470F">
      <w:pPr>
        <w:ind w:firstLine="0"/>
        <w:rPr>
          <w:rFonts w:eastAsiaTheme="minorEastAsia"/>
        </w:rPr>
      </w:pPr>
      <w:r>
        <w:t>ρ</w:t>
        <w:tab/>
        <w:t>training-subset ratio, fraction of fault windows used for adaptation</w:t>
      </w:r>
    </w:p>
    <w:p w14:paraId="10F3BB65" w14:textId="041FC835" w:rsidR="007E5DAD" w:rsidRDefault="0018563B" w:rsidP="0069470F">
      <w:pPr>
        <w:ind w:firstLine="0"/>
        <w:rPr>
          <w:rFonts w:eastAsiaTheme="minorEastAsia"/>
        </w:rPr>
      </w:pPr>
      <w:r>
        <w:t>𝒟_h</w:t>
        <w:tab/>
        <w:t>healthy data record used to set the alarm band</w:t>
      </w:r>
    </w:p>
    <w:p w14:paraId="10F3BB65" w14:textId="041FC835" w:rsidR="007E5DAD" w:rsidRDefault="0018563B" w:rsidP="0069470F">
      <w:pPr>
        <w:ind w:firstLine="0"/>
        <w:rPr>
          <w:rFonts w:eastAsiaTheme="minorEastAsia"/>
        </w:rPr>
      </w:pPr>
      <w:r>
        <w:t>𝒟_fault</w:t>
        <w:tab/>
        <w:t>full set of fault-region adaptation windows</w:t>
      </w:r>
    </w:p>
    <w:p w14:paraId="10F3BB65" w14:textId="041FC835" w:rsidR="007E5DAD" w:rsidRDefault="0018563B" w:rsidP="0069470F">
      <w:pPr>
        <w:ind w:firstLine="0"/>
        <w:rPr>
          <w:rFonts w:eastAsiaTheme="minorEastAsia"/>
        </w:rPr>
      </w:pPr>
      <w:r>
        <w:t>𝒮</w:t>
        <w:tab/>
        <w:t>few-shot adaptation subset, |𝒮| = ⌊ρN⌋</w:t>
      </w:r>
    </w:p>
    <w:p w14:paraId="10F3BB65" w14:textId="041FC835" w:rsidR="007E5DAD" w:rsidRDefault="0018563B" w:rsidP="0069470F">
      <w:pPr>
        <w:ind w:firstLine="0"/>
        <w:rPr>
          <w:rFonts w:eastAsiaTheme="minorEastAsia"/>
        </w:rPr>
      </w:pPr>
      <w:r>
        <w:t>C</w:t>
        <w:tab/>
        <w:t>clean-window length preceding the forecast origin, Eq. (20)</w:t>
      </w:r>
    </w:p>
    <w:p w14:paraId="10F3BB65" w14:textId="041FC835" w:rsidR="007E5DAD" w:rsidRDefault="0018563B" w:rsidP="0069470F">
      <w:pPr>
        <w:ind w:firstLine="0"/>
        <w:rPr>
          <w:rFonts w:eastAsiaTheme="minorEastAsia"/>
        </w:rPr>
      </w:pPr>
      <w:r>
        <w:t>β</w:t>
        <w:tab/>
        <w:t>false-alarm budget, set to 0.05</w:t>
      </w:r>
    </w:p>
    <w:p w14:paraId="10F3BB65" w14:textId="041FC835" w:rsidR="007E5DAD" w:rsidRDefault="0018563B" w:rsidP="0069470F">
      <w:pPr>
        <w:ind w:firstLine="0"/>
        <w:rPr>
          <w:rFonts w:eastAsiaTheme="minorEastAsia"/>
        </w:rPr>
      </w:pPr>
      <w:r>
        <w:t>τ*</w:t>
        <w:tab/>
        <w:t>true onset, first measured crossing of the alarm band</w:t>
      </w:r>
    </w:p>
    <w:p w14:paraId="10F3BB65" w14:textId="041FC835" w:rsidR="007E5DAD" w:rsidRDefault="0018563B" w:rsidP="0069470F">
      <w:pPr>
        <w:ind w:firstLine="0"/>
        <w:rPr>
          <w:rFonts w:eastAsiaTheme="minorEastAsia"/>
        </w:rPr>
      </w:pPr>
      <w:r>
        <w:t>d, g</w:t>
        <w:tab/>
        <w:t>first and second differences of the target</w:t>
      </w:r>
    </w:p>
    <w:p w14:paraId="10F3BB65" w14:textId="041FC835" w:rsidR="007E5DAD" w:rsidRDefault="0018563B" w:rsidP="0069470F">
      <w:pPr>
        <w:ind w:firstLine="0"/>
        <w:rPr>
          <w:rFonts w:eastAsiaTheme="minorEastAsia"/>
        </w:rPr>
      </w:pPr>
      <w:r>
        <w:t>∇, ∇²</w:t>
        <w:tab/>
        <w:t>difference and second-difference operators</w:t>
      </w:r>
    </w:p>
    <w:p w14:paraId="10F3BB65" w14:textId="041FC835" w:rsidR="007E5DAD" w:rsidRDefault="0018563B" w:rsidP="0069470F">
      <w:pPr>
        <w:ind w:firstLine="0"/>
        <w:rPr>
          <w:rFonts w:eastAsiaTheme="minorEastAsia"/>
        </w:rPr>
      </w:pPr>
      <w:r>
        <w:t>Aᵁ</w:t>
        <w:tab/>
        <w:t>union alarm flag, Aᵁ = A∇ ∨ A∇²</w:t>
      </w:r>
    </w:p>
    <w:p w14:paraId="10F3BB65" w14:textId="041FC835" w:rsidR="007E5DAD" w:rsidRDefault="0018563B" w:rsidP="0069470F">
      <w:pPr>
        <w:ind w:firstLine="0"/>
        <w:rPr>
          <w:rFonts w:eastAsiaTheme="minorEastAsia"/>
        </w:rPr>
      </w:pPr>
      <w:r>
        <w:t>D</w:t>
        <w:tab/>
        <w:t>set of onsets a method anticipates, Eq. (23)</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[38–40]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the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ind w:firstLine="0"/>
      </w:pPr>
      <w:r>
        <w:t>The contributions of this work are threefold. First, we identify the non-stationarity of the forecasting target, rather than the capacity of the backbone, as the mechanism that makes few-shot fault prognosis fragile, and we show that differencing operators remove it. Second, we build an operator pool over a single few-shot aligned TSFM and fuse the velocity and acceleration views through a direction-aware union rule that is applied identically to every method compared, so the comparison isolates the operators rather than the decision logic. Third, we evaluate prognosis with early-warning metrics, namely prognostic recall, false prognosis rate and lead time conditioned on detection, under an explicit false-alarm budget and a strictly nested data-scaling protocol, and report a hundred-fold data advantage over fully trained supervised baselines. The remainder of the paper is organized as follows. Section 2 formalizes fault prognosis and reviews the attention and foundation-model background. Section 3 presents the operator-augmented ensemble and the union decision rule. Section 4 reports the Tennessee Eastman case study, and Section 5 concludes.</w:t>
      </w:r>
    </w:p>
    <w:p w14:paraId="585C89A2" w14:textId="77777777" w:rsidR="00E60AAC" w:rsidRDefault="00E60AAC" w:rsidP="00E60AAC">
      <w:pPr>
        <w:pStyle w:val="1"/>
      </w:pPr>
      <w:r>
        <w:t>2.</w:t>
      </w:r>
      <w:r>
        <w:tab/>
        <w:t>Problem formulation and background</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the variable-level instantiation of abnormal situation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M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M</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alarm band is fixed, following standard alarm-setting practice [41],</w:t>
      </w:r>
    </w:p>
    <w:p w14:paraId="6893E00F" w14:textId="77777777" w:rsidR="00E60AAC" w:rsidRDefault="00E60AAC" w:rsidP="00E60AAC">
      <w:pPr>
        <w:tabs>
          <w:tab w:val="center" w:pos="4110"/>
          <w:tab w:val="right" w:pos="8220"/>
        </w:tabs>
        <w:ind w:firstLine="480"/>
      </w:pPr>
      <w:r>
        <w:tab/>
      </w:r>
      <m:oMath>
        <m:r>
          <w:rPr>
            <w:rFonts w:ascii="Cambria Math" w:hAnsi="Cambria Math"/>
          </w:rPr>
          <m:t>ℓ</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band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[42].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tab/>
        <w:t>Time series foundation models</w:t>
      </w:r>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t>crossing. Time series foundation models offer an alternative. A TSFM is a large Transformer pretrained on a massive, heterogeneous corpus of time series, which endows it with a broad prior over temporal dynamics that transfers with little target data. Concretely, following the patching formulation of Transformer forecasters [43],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[38] as the backbone and additionally consider two architecturally distinct TSFMs, Time-MoE [39], a decoder-only mixture-of-experts, and Sundial [40],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tab/>
        <w:t>Few-shot alignment of the TSFM backbone</w:t>
      </w:r>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standardizer and the alarm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the level, the difference operator sees the velocity, and the second-difference operator sees the acceleration that precedes the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yₜ − yₜ₋₁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The second-difference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4.4.</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alarm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&lt;</m:t>
            </m:r>
            <m:r>
              <w:rPr>
                <w:rFonts w:ascii="Cambria Math" w:hAnsi="Cambria Math"/>
              </w:rPr>
              <m:t>ℓ 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ℓ</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m:t>
        </m:r>
        <m:r>
          <m:rPr>
            <m:sty m:val="p"/>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false prognosis rate (FAR)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 prognosis rate, quantified in Section 4.5.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prognostic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tab/>
        <w:t>Optimization and leakage control</w:t>
      </w:r>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alarm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tab/>
        <w:t>Overall algorithmic framework</w:t>
      </w:r>
      <w:r/>
    </w:p>
    <w:p w14:paraId="431DBFB3" w14:textId="77777777" w:rsidR="00E60AAC" w:rsidRDefault="00E60AAC" w:rsidP="00E60AAC">
      <w:pPr>
        <w:ind w:firstLine="480"/>
      </w:pPr>
      <w:r>
        <w:t>The complete pipeline assembles the components into a single few-shot fault-prognosis procedure. Three views of the target, raw, 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4.</w:t>
        <w:tab/>
        <w:t>Application and results</w:t>
      </w:r>
    </w:p>
    <w:p>
      <w:pPr>
        <w:pStyle w:val="2"/>
      </w:pPr>
      <w:r>
        <w:t>4.1</w:t>
        <w:tab/>
        <w:t>Process, fault scenario, and alarm limits</w:t>
      </w:r>
    </w:p>
    <w:p>
      <w:r>
        <w:t>The framework is evaluated on the Tennessee Eastman process (TEP) [44], the reference benchmark for chemical-process abnormal situation management. The target variable is the purge rate, the stream 9 flow, denoted XMEAS10 (Fig. 2). It is a safety- and economics-critical stream whose slow excursions are a classic early indicator of loss of separation. The disturbance is IDV13, a slow drift in reaction kinetics. Simulations use the revised open-source TEP model [45], in which the disturbance amplitude is a continuous parameter. IDV13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pPr>
        <w:ind w:firstLine="0"/>
      </w:pPr>
      <w:r>
        <w:t>Ten independent 2,000-sample runs of this scenario are simulated. Runs 1–7 form the adaptation pool of 12,663 windows, Run 8 is the validation split used for early stopping, and Runs 9–10 are held out entirely and carry every metric reported below. The backbone is an 8-layer Timer-XL with model dimension 1,024, feed-forward dimension 2,048 and 8 attention heads, adapted for at most 10 epochs with batch size 32 and learning rate 5×10⁻⁶ under a cosine schedule, with early stopping at patience 3 on the validation split. The five supervised baselines are trained from scratch on the identical splits and window geometry with learning rate 10⁻³ and batch size 128. All runs share the few-shot seed 2021, so ρ = 1% selects the same 126 adaptation windows for every method.</w:t>
      </w:r>
    </w:p>
    <w:p>
      <w:r>
        <w:t>The alarm band (ℓ, u) is fit on the healthy record by Eq. (3) and is never informed by the test fault. For XMEAS10 in this operating condition the band is ℓ = 0.1817 and u = 0.2415 in standardized units. A window is a genuine prognostic opportunity only when the process is still inside the band at the decision time, which is made precise by the clean-window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of Eq. (17), now instantiated on the clean windows,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and the mean lead time, averaged over the set D of onset events that the method actually anticipates, is</w:t>
      </w:r>
    </w:p>
    <w:p>
      <w:pPr>
        <w:tabs>
          <w:tab w:val="center" w:pos="4110"/>
          <w:tab w:val="right" w:pos="8220"/>
        </w:tabs>
        <w:ind w:firstLine="480"/>
      </w:pPr>
      <w:r>
        <w:tab/>
      </w:r>
      <m:oMath>
        <m:bar>
          <m:barPr>
            <m:pos m:val="top"/>
          </m:barPr>
          <m:e>
            <m:r>
              <m:rPr>
                <m:sty m:val="p"/>
              </m:rPr>
              <m:t>LT</m:t>
            </m:r>
          </m:e>
        </m:bar>
        <m:r>
          <m:rPr>
            <m:sty m:val="p"/>
          </m:rPr>
          <m:t>=</m:t>
        </m:r>
        <m:r>
          <m:rPr>
            <m:sty m:val="p"/>
          </m:rPr>
          <m:t>Δ</m:t>
        </m:r>
        <m:r>
          <m:t>t</m:t>
        </m:r>
        <m:r>
          <m:rPr>
            <m:sty m:val="p"/>
          </m:rPr>
          <m:t>⋅</m:t>
        </m:r>
        <m:sSub>
          <m:e>
            <m:r>
              <m:rPr>
                <m:sty m:val="p"/>
              </m:rPr>
              <m:t>mean</m:t>
            </m:r>
          </m:e>
          <m:sub>
            <m:sSup>
              <m:e>
                <m:r>
                  <m:t>τ</m:t>
                </m:r>
              </m:e>
              <m:sup>
                <m:r>
                  <m:rPr>
                    <m:sty m:val="p"/>
                  </m:rPr>
                  <m:t>*</m:t>
                </m:r>
              </m:sup>
            </m:sSup>
            <m:r>
              <m:rPr>
                <m:sty m:val="p"/>
              </m:rPr>
              <m:t>∈</m:t>
            </m:r>
            <m:r>
              <m:t>D</m:t>
            </m:r>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where t_e(τ*) is the earliest clean-window origin whose forecast raises an anticipated alarm covering τ*, and D = {τ*: such an origin exists} collects the onsets the method anticipates at all. Conditioning on D keeps the lead time a measure of how early a warning arrives; how often one arrives is already reported by the prognostic recall, and folding the missed onsets in as zero lead would confound the two. Because the warning is issued at the forecast origin and the crossing must fall inside the H-step horizon, the lead time ranges from Δt = 3 min to H·Δt = 15 min.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The false-alarm budget β of Section 3.3 is instantiated as FAR ≤ 0.05, which is adopted as the operational acceptance threshold.</w:t>
      </w:r>
    </w:p>
    <w:p>
      <w:pPr>
        <w:pStyle w:val="2"/>
      </w:pPr>
      <w:r>
        <w:t>4.3</w:t>
        <w:tab/>
        <w:t>Benchmark design and reference methods</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and CNN-LSTM, two standard recurrent–convolutional forecasters; TCN-Transformer [46]; DiPCA-LSTM, which couples dynamic-inner PCA [47] to an LSTM head; and STA-ConvBiLSTM, a spatial–temporal attention model [48]. Every baseline is trained in the difference domain and restored to the raw domain, so all methods are scored by the identical alarm criterion and metrics of Eqs. (19)–(24). Fig. 3 shows two representative ante-onset windows that illustrate the complementary behaviour of the difference and second-difference views.</w:t>
      </w:r>
    </w:p>
    <w:p>
      <w:r>
        <w:t xml:space="preserve">[[ FIGURE 3 PLACEHOLDER — insert image here ]]</w:t>
      </w:r>
    </w:p>
    <w:p>
      <w:r>
        <w:t>Fig. 3. Two example ante-onset windows on the held-out test runs, showing the (ℓ, u) band, the ground truth, the difference, second-difference and union forecasts, and for reference the raw view, the two zero-shot foundation models and the five supervised baselines: a steady-ramp onset caught by the difference view while every baseline misses, and a curving onset caught by the second-difference view but missed by the difference view and by every baseline.</w:t>
      </w:r>
    </w:p>
    <w:p>
      <w:pPr>
        <w:pStyle w:val="2"/>
      </w:pPr>
      <w:r>
        <w:t>4.4</w:t>
        <w:tab/>
        <w:t>Data efficiency of the operator framework</w:t>
      </w:r>
    </w:p>
    <w:p>
      <w:r>
        <w:t>Table 1 reports the prognostic recall across the six subset ratios, and Fig. 4 plots the same curves against ρ. The operator views are remarkably data-efficient. The difference and second-difference views and the union decision hold within seven recall points of their full-data value all the way down to ρ = 1%, whereas the raw view loses roughly a third of its recall as data is withdrawn. The union rule is the most sensitive decision at every ratio, reaching 0.792 at full data and still 0.723 at 1%. In stark contrast, the strongest supervised baseline, STA-ConvBiLSTM, needs the full training set to reach 0.535 and collapses to 0.030 at 1%. The zero-shot foundation models are flat by construction and outrank every supervised baseline at ρ = 1%; at ρ = 5% Time-MoE still does, while Sundial has just been overtaken by STA-ConvBiLSTM.</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4.5</w:t>
        <w:tab/>
        <w:t>Comparison with baselines and zero-shot models</w:t>
      </w:r>
    </w:p>
    <w:p>
      <w:r>
        <w:t>The gap to the supervised baselines is large and widens as data shrinks. Timer-XL-∇ at 1% data, with a recall of 0.653, already exceeds the best baseline at 100% data, a hundred-fold data advantage at equal or better sensitivity. The advantage is not bought with false alarms. Table 2 shows that the difference view holds FAR ≤ 0.033 across all ratios, inside the β = 0.05 budget, and the raw view is lower still wherever data are scarce, ρ ≤ 25%. The union rule and the second-difference view trade the budget for sensitivity: their FAR runs from about 0.08 at full data to about 0.16 at ρ = 1%, so both sit outside β at every ratio.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Mean lead time tells the same story in operational units (Table 3, Fig. 5). Averaged over the onsets each method anticipates, the two differencing views and the union rule warn 8.8 to 10.8 min ahead of a 15 min ceiling and hold that lead down to 1% data. The union rule is the earliest or joint-earliest decision at every ratio, tying the acceleration view at ρ = 5% and leading it elsewhere, and it leads the level view by about 1.3 min and the best supervised baseline by 2.4 min at full data; that baseline gives up a further 1.6 min in the cold-start regime, and the collapsed baselines anticipate only the few onsets they happen to catch. Because the lead time is conditioned on detection, it must be read together with Table 1: at 1% data the union rule anticipates 28 onset events and STA-ConvBiLSTM only 5, and 28 is in fact the ceiling, because of the 62 onsets in the test runs only 28 are reachable by a clean window at all, so the latter's 6.6 min is an average over a handful of events.</w:t>
      </w:r>
    </w:p>
    <w:p>
      <w:r>
        <w:t>Table 3. Mean lead time (Eq. 23), in minutes, versus ρ, averaged over the onset events each method anticipates. The metric ranges from Δt = 3 min to H·Δt = 15 min; how many events enter the average is governed by the prognostic recall of Table 1.</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10.82</w:t>
            </w:r>
          </w:p>
        </w:tc>
        <w:tc>
          <w:tcPr>
            <w:tcW w:type="dxa" w:w="1174"/>
          </w:tcPr>
          <w:p>
            <w:r>
              <w:t>10.18</w:t>
            </w:r>
          </w:p>
        </w:tc>
        <w:tc>
          <w:tcPr>
            <w:tcW w:type="dxa" w:w="1174"/>
          </w:tcPr>
          <w:p>
            <w:r>
              <w:t>10.71</w:t>
            </w:r>
          </w:p>
        </w:tc>
        <w:tc>
          <w:tcPr>
            <w:tcW w:type="dxa" w:w="1174"/>
          </w:tcPr>
          <w:p>
            <w:r>
              <w:t>10.61</w:t>
            </w:r>
          </w:p>
        </w:tc>
        <w:tc>
          <w:tcPr>
            <w:tcW w:type="dxa" w:w="1174"/>
          </w:tcPr>
          <w:p>
            <w:r>
              <w:t>10.67</w:t>
            </w:r>
          </w:p>
        </w:tc>
        <w:tc>
          <w:tcPr>
            <w:tcW w:type="dxa" w:w="1174"/>
          </w:tcPr>
          <w:p>
            <w:r>
              <w:t>10.61</w:t>
            </w:r>
          </w:p>
        </w:tc>
      </w:tr>
      <w:tr>
        <w:tc>
          <w:tcPr>
            <w:tcW w:type="dxa" w:w="1174"/>
          </w:tcPr>
          <w:p>
            <w:r>
              <w:t>Timer-XL-∇²</w:t>
            </w:r>
          </w:p>
        </w:tc>
        <w:tc>
          <w:tcPr>
            <w:tcW w:type="dxa" w:w="1174"/>
          </w:tcPr>
          <w:p>
            <w:r>
              <w:t>10.07</w:t>
            </w:r>
          </w:p>
        </w:tc>
        <w:tc>
          <w:tcPr>
            <w:tcW w:type="dxa" w:w="1174"/>
          </w:tcPr>
          <w:p>
            <w:r>
              <w:t>10.18</w:t>
            </w:r>
          </w:p>
        </w:tc>
        <w:tc>
          <w:tcPr>
            <w:tcW w:type="dxa" w:w="1174"/>
          </w:tcPr>
          <w:p>
            <w:r>
              <w:t>10.29</w:t>
            </w:r>
          </w:p>
        </w:tc>
        <w:tc>
          <w:tcPr>
            <w:tcW w:type="dxa" w:w="1174"/>
          </w:tcPr>
          <w:p>
            <w:r>
              <w:t>10.39</w:t>
            </w:r>
          </w:p>
        </w:tc>
        <w:tc>
          <w:tcPr>
            <w:tcW w:type="dxa" w:w="1174"/>
          </w:tcPr>
          <w:p>
            <w:r>
              <w:t>9.92</w:t>
            </w:r>
          </w:p>
        </w:tc>
        <w:tc>
          <w:tcPr>
            <w:tcW w:type="dxa" w:w="1174"/>
          </w:tcPr>
          <w:p>
            <w:r>
              <w:t>9.86</w:t>
            </w:r>
          </w:p>
        </w:tc>
      </w:tr>
      <w:tr>
        <w:tc>
          <w:tcPr>
            <w:tcW w:type="dxa" w:w="1174"/>
          </w:tcPr>
          <w:p>
            <w:r>
              <w:t>Timer-XL-∇</w:t>
            </w:r>
          </w:p>
        </w:tc>
        <w:tc>
          <w:tcPr>
            <w:tcW w:type="dxa" w:w="1174"/>
          </w:tcPr>
          <w:p>
            <w:r>
              <w:t>9.96</w:t>
            </w:r>
          </w:p>
        </w:tc>
        <w:tc>
          <w:tcPr>
            <w:tcW w:type="dxa" w:w="1174"/>
          </w:tcPr>
          <w:p>
            <w:r>
              <w:t>8.79</w:t>
            </w:r>
          </w:p>
        </w:tc>
        <w:tc>
          <w:tcPr>
            <w:tcW w:type="dxa" w:w="1174"/>
          </w:tcPr>
          <w:p>
            <w:r>
              <w:t>9.21</w:t>
            </w:r>
          </w:p>
        </w:tc>
        <w:tc>
          <w:tcPr>
            <w:tcW w:type="dxa" w:w="1174"/>
          </w:tcPr>
          <w:p>
            <w:r>
              <w:t>9.11</w:t>
            </w:r>
          </w:p>
        </w:tc>
        <w:tc>
          <w:tcPr>
            <w:tcW w:type="dxa" w:w="1174"/>
          </w:tcPr>
          <w:p>
            <w:r>
              <w:t>9.35</w:t>
            </w:r>
          </w:p>
        </w:tc>
        <w:tc>
          <w:tcPr>
            <w:tcW w:type="dxa" w:w="1174"/>
          </w:tcPr>
          <w:p>
            <w:r>
              <w:t>9.78</w:t>
            </w:r>
          </w:p>
        </w:tc>
      </w:tr>
      <w:tr>
        <w:tc>
          <w:tcPr>
            <w:tcW w:type="dxa" w:w="1174"/>
          </w:tcPr>
          <w:p>
            <w:r>
              <w:t>Timer-XL-raw</w:t>
            </w:r>
          </w:p>
        </w:tc>
        <w:tc>
          <w:tcPr>
            <w:tcW w:type="dxa" w:w="1174"/>
          </w:tcPr>
          <w:p>
            <w:r>
              <w:t>8.09</w:t>
            </w:r>
          </w:p>
        </w:tc>
        <w:tc>
          <w:tcPr>
            <w:tcW w:type="dxa" w:w="1174"/>
          </w:tcPr>
          <w:p>
            <w:r>
              <w:t>8.46</w:t>
            </w:r>
          </w:p>
        </w:tc>
        <w:tc>
          <w:tcPr>
            <w:tcW w:type="dxa" w:w="1174"/>
          </w:tcPr>
          <w:p>
            <w:r>
              <w:t>8.89</w:t>
            </w:r>
          </w:p>
        </w:tc>
        <w:tc>
          <w:tcPr>
            <w:tcW w:type="dxa" w:w="1174"/>
          </w:tcPr>
          <w:p>
            <w:r>
              <w:t>8.46</w:t>
            </w:r>
          </w:p>
        </w:tc>
        <w:tc>
          <w:tcPr>
            <w:tcW w:type="dxa" w:w="1174"/>
          </w:tcPr>
          <w:p>
            <w:r>
              <w:t>8.89</w:t>
            </w:r>
          </w:p>
        </w:tc>
        <w:tc>
          <w:tcPr>
            <w:tcW w:type="dxa" w:w="1174"/>
          </w:tcPr>
          <w:p>
            <w:r>
              <w:t>9.32</w:t>
            </w:r>
          </w:p>
        </w:tc>
      </w:tr>
      <w:tr>
        <w:tc>
          <w:tcPr>
            <w:tcW w:type="dxa" w:w="1174"/>
          </w:tcPr>
          <w:p>
            <w:r>
              <w:t>Time-MoE (zero-shot)</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r>
      <w:tr>
        <w:tc>
          <w:tcPr>
            <w:tcW w:type="dxa" w:w="1174"/>
          </w:tcPr>
          <w:p>
            <w:r>
              <w:t>Sundial (zero-shot)</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r>
      <w:tr>
        <w:tc>
          <w:tcPr>
            <w:tcW w:type="dxa" w:w="1174"/>
          </w:tcPr>
          <w:p>
            <w:r>
              <w:t>STA-ConvBiLSTM</w:t>
            </w:r>
          </w:p>
        </w:tc>
        <w:tc>
          <w:tcPr>
            <w:tcW w:type="dxa" w:w="1174"/>
          </w:tcPr>
          <w:p>
            <w:r>
              <w:t>6.60</w:t>
            </w:r>
          </w:p>
        </w:tc>
        <w:tc>
          <w:tcPr>
            <w:tcW w:type="dxa" w:w="1174"/>
          </w:tcPr>
          <w:p>
            <w:r>
              <w:t>8.33</w:t>
            </w:r>
          </w:p>
        </w:tc>
        <w:tc>
          <w:tcPr>
            <w:tcW w:type="dxa" w:w="1174"/>
          </w:tcPr>
          <w:p>
            <w:r>
              <w:t>9.50</w:t>
            </w:r>
          </w:p>
        </w:tc>
        <w:tc>
          <w:tcPr>
            <w:tcW w:type="dxa" w:w="1174"/>
          </w:tcPr>
          <w:p>
            <w:r>
              <w:t>7.44</w:t>
            </w:r>
          </w:p>
        </w:tc>
        <w:tc>
          <w:tcPr>
            <w:tcW w:type="dxa" w:w="1174"/>
          </w:tcPr>
          <w:p>
            <w:r>
              <w:t>8.16</w:t>
            </w:r>
          </w:p>
        </w:tc>
        <w:tc>
          <w:tcPr>
            <w:tcW w:type="dxa" w:w="1174"/>
          </w:tcPr>
          <w:p>
            <w:r>
              <w:t>8.22</w:t>
            </w:r>
          </w:p>
        </w:tc>
      </w:tr>
      <w:tr>
        <w:tc>
          <w:tcPr>
            <w:tcW w:type="dxa" w:w="1174"/>
          </w:tcPr>
          <w:p>
            <w:r>
              <w:t>TCN-Transformer</w:t>
            </w:r>
          </w:p>
        </w:tc>
        <w:tc>
          <w:tcPr>
            <w:tcW w:type="dxa" w:w="1174"/>
          </w:tcPr>
          <w:p>
            <w:r>
              <w:t>4.80</w:t>
            </w:r>
          </w:p>
        </w:tc>
        <w:tc>
          <w:tcPr>
            <w:tcW w:type="dxa" w:w="1174"/>
          </w:tcPr>
          <w:p>
            <w:r>
              <w:t>5.50</w:t>
            </w:r>
          </w:p>
        </w:tc>
        <w:tc>
          <w:tcPr>
            <w:tcW w:type="dxa" w:w="1174"/>
          </w:tcPr>
          <w:p>
            <w:r>
              <w:t>6.88</w:t>
            </w:r>
          </w:p>
        </w:tc>
        <w:tc>
          <w:tcPr>
            <w:tcW w:type="dxa" w:w="1174"/>
          </w:tcPr>
          <w:p>
            <w:r>
              <w:t>7.17</w:t>
            </w:r>
          </w:p>
        </w:tc>
        <w:tc>
          <w:tcPr>
            <w:tcW w:type="dxa" w:w="1174"/>
          </w:tcPr>
          <w:p>
            <w:r>
              <w:t>7.25</w:t>
            </w:r>
          </w:p>
        </w:tc>
        <w:tc>
          <w:tcPr>
            <w:tcW w:type="dxa" w:w="1174"/>
          </w:tcPr>
          <w:p>
            <w:r>
              <w:t>7.80</w:t>
            </w:r>
          </w:p>
        </w:tc>
      </w:tr>
      <w:tr>
        <w:tc>
          <w:tcPr>
            <w:tcW w:type="dxa" w:w="1174"/>
          </w:tcPr>
          <w:p>
            <w:r>
              <w:t>DiPCA-LSTM</w:t>
            </w:r>
          </w:p>
        </w:tc>
        <w:tc>
          <w:tcPr>
            <w:tcW w:type="dxa" w:w="1174"/>
          </w:tcPr>
          <w:p>
            <w:r>
              <w:t>5.57</w:t>
            </w:r>
          </w:p>
        </w:tc>
        <w:tc>
          <w:tcPr>
            <w:tcW w:type="dxa" w:w="1174"/>
          </w:tcPr>
          <w:p>
            <w:r>
              <w:t>4.50</w:t>
            </w:r>
          </w:p>
        </w:tc>
        <w:tc>
          <w:tcPr>
            <w:tcW w:type="dxa" w:w="1174"/>
          </w:tcPr>
          <w:p>
            <w:r>
              <w:t>4.80</w:t>
            </w:r>
          </w:p>
        </w:tc>
        <w:tc>
          <w:tcPr>
            <w:tcW w:type="dxa" w:w="1174"/>
          </w:tcPr>
          <w:p>
            <w:r>
              <w:t>5.00</w:t>
            </w:r>
          </w:p>
        </w:tc>
        <w:tc>
          <w:tcPr>
            <w:tcW w:type="dxa" w:w="1174"/>
          </w:tcPr>
          <w:p>
            <w:r>
              <w:t>6.86</w:t>
            </w:r>
          </w:p>
        </w:tc>
        <w:tc>
          <w:tcPr>
            <w:tcW w:type="dxa" w:w="1174"/>
          </w:tcPr>
          <w:p>
            <w:r>
              <w:t>4.71</w:t>
            </w:r>
          </w:p>
        </w:tc>
      </w:tr>
      <w:tr>
        <w:tc>
          <w:tcPr>
            <w:tcW w:type="dxa" w:w="1174"/>
          </w:tcPr>
          <w:p>
            <w:r>
              <w:t>CNN-LSTM</w:t>
            </w:r>
          </w:p>
        </w:tc>
        <w:tc>
          <w:tcPr>
            <w:tcW w:type="dxa" w:w="1174"/>
          </w:tcPr>
          <w:p>
            <w:r>
              <w:t>3.00</w:t>
            </w:r>
          </w:p>
        </w:tc>
        <w:tc>
          <w:tcPr>
            <w:tcW w:type="dxa" w:w="1174"/>
          </w:tcPr>
          <w:p>
            <w:r>
              <w:t>5.25</w:t>
            </w:r>
          </w:p>
        </w:tc>
        <w:tc>
          <w:tcPr>
            <w:tcW w:type="dxa" w:w="1174"/>
          </w:tcPr>
          <w:p>
            <w:r>
              <w:t>6.00</w:t>
            </w:r>
          </w:p>
        </w:tc>
        <w:tc>
          <w:tcPr>
            <w:tcW w:type="dxa" w:w="1174"/>
          </w:tcPr>
          <w:p>
            <w:r>
              <w:t>4.00</w:t>
            </w:r>
          </w:p>
        </w:tc>
        <w:tc>
          <w:tcPr>
            <w:tcW w:type="dxa" w:w="1174"/>
          </w:tcPr>
          <w:p>
            <w:r>
              <w:t>4.50</w:t>
            </w:r>
          </w:p>
        </w:tc>
        <w:tc>
          <w:tcPr>
            <w:tcW w:type="dxa" w:w="1174"/>
          </w:tcPr>
          <w:p>
            <w:r>
              <w:t>7.50</w:t>
            </w:r>
          </w:p>
        </w:tc>
      </w:tr>
      <w:tr>
        <w:tc>
          <w:tcPr>
            <w:tcW w:type="dxa" w:w="1174"/>
          </w:tcPr>
          <w:p>
            <w:r>
              <w:t>LSTM-GRU</w:t>
            </w:r>
          </w:p>
        </w:tc>
        <w:tc>
          <w:tcPr>
            <w:tcW w:type="dxa" w:w="1174"/>
          </w:tcPr>
          <w:p>
            <w:r>
              <w:t>6.00</w:t>
            </w:r>
          </w:p>
        </w:tc>
        <w:tc>
          <w:tcPr>
            <w:tcW w:type="dxa" w:w="1174"/>
          </w:tcPr>
          <w:p>
            <w:r>
              <w:t>3.00</w:t>
            </w:r>
          </w:p>
        </w:tc>
        <w:tc>
          <w:tcPr>
            <w:tcW w:type="dxa" w:w="1174"/>
          </w:tcPr>
          <w:p>
            <w:r>
              <w:t>4.50</w:t>
            </w:r>
          </w:p>
        </w:tc>
        <w:tc>
          <w:tcPr>
            <w:tcW w:type="dxa" w:w="1174"/>
          </w:tcPr>
          <w:p>
            <w:r>
              <w:t>5.00</w:t>
            </w:r>
          </w:p>
        </w:tc>
        <w:tc>
          <w:tcPr>
            <w:tcW w:type="dxa" w:w="1174"/>
          </w:tcPr>
          <w:p>
            <w:r>
              <w:t>5.25</w:t>
            </w:r>
          </w:p>
        </w:tc>
        <w:tc>
          <w:tcPr>
            <w:tcW w:type="dxa" w:w="1174"/>
          </w:tcPr>
          <w:p>
            <w:r>
              <w:t>6.43</w:t>
            </w:r>
          </w:p>
        </w:tc>
      </w:tr>
    </w:tbl>
    <w:p>
      <w:r>
        <w:t xml:space="preserve">[[ FIGURE 5 PLACEHOLDER — insert image here ]]</w:t>
      </w:r>
    </w:p>
    <w:p>
      <w:r>
        <w:t>Fig. 5. (a) False prognosis rate and (b) mean lead time over anticipated onsets versus ρ for the same method set as Fig. 4. The shaded region in (a) marks the FAR ≤ 0.05 budget.</w:t>
      </w:r>
    </w:p>
    <w:p>
      <w:pPr>
        <w:pStyle w:val="2"/>
      </w:pPr>
      <w:r>
        <w:t>4.6</w:t>
        <w:tab/>
        <w:t>Improvement over the raw foundation model</w:t>
      </w:r>
    </w:p>
    <w:p>
      <w:r>
        <w:t>Table 4 isolates the value added by the operators over the raw Timer-XL, the natural single-backbone reference. The comparison of the two subset ratios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Table 4. Improvement over Timer-XL-raw at ρ = 1% and ρ = 100% under the early-warning cutoff. Recall, MSE and FAR gains are given as percentages relative to the raw view; the lead-time gain is given in absolute minutes, because the metric is bounded between Δt = 3 min and H·Δt = 15 min and ratios on it are compressed.</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8.09</w:t>
            </w:r>
          </w:p>
        </w:tc>
        <w:tc>
          <w:tcPr>
            <w:tcW w:type="dxa" w:w="1370"/>
          </w:tcPr>
          <w:p>
            <w:r>
              <w:t>0.237</w:t>
            </w:r>
          </w:p>
        </w:tc>
        <w:tc>
          <w:tcPr>
            <w:tcW w:type="dxa" w:w="1370"/>
          </w:tcPr>
          <w:p>
            <w:r>
              <w:t>0.011</w:t>
            </w:r>
          </w:p>
        </w:tc>
      </w:tr>
      <w:tr>
        <w:tc>
          <w:tcPr>
            <w:tcW w:type="dxa" w:w="1370"/>
          </w:tcPr>
          <w:p>
            <w:r>
              <w:t>1%</w:t>
            </w:r>
          </w:p>
        </w:tc>
        <w:tc>
          <w:tcPr>
            <w:tcW w:type="dxa" w:w="1370"/>
          </w:tcPr>
          <w:p>
            <w:r>
              <w:t>∇</w:t>
            </w:r>
          </w:p>
        </w:tc>
        <w:tc>
          <w:tcPr>
            <w:tcW w:type="dxa" w:w="1370"/>
          </w:tcPr>
          <w:p>
            <w:r>
              <w:t>0.653 (+47%)</w:t>
            </w:r>
          </w:p>
        </w:tc>
        <w:tc>
          <w:tcPr>
            <w:tcW w:type="dxa" w:w="1370"/>
          </w:tcPr>
          <w:p>
            <w:r>
              <w:t>9.96 (+1.88 min)</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10.07 (+1.98 min)</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10.82 (+2.73 min)</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9.32</w:t>
            </w:r>
          </w:p>
        </w:tc>
        <w:tc>
          <w:tcPr>
            <w:tcW w:type="dxa" w:w="1370"/>
          </w:tcPr>
          <w:p>
            <w:r>
              <w:t>0.064</w:t>
            </w:r>
          </w:p>
        </w:tc>
        <w:tc>
          <w:tcPr>
            <w:tcW w:type="dxa" w:w="1370"/>
          </w:tcPr>
          <w:p>
            <w:r>
              <w:t>0.020</w:t>
            </w:r>
          </w:p>
        </w:tc>
      </w:tr>
      <w:tr>
        <w:tc>
          <w:tcPr>
            <w:tcW w:type="dxa" w:w="1370"/>
          </w:tcPr>
          <w:p>
            <w:r>
              <w:t>100%</w:t>
            </w:r>
          </w:p>
        </w:tc>
        <w:tc>
          <w:tcPr>
            <w:tcW w:type="dxa" w:w="1370"/>
          </w:tcPr>
          <w:p>
            <w:r>
              <w:t>∇</w:t>
            </w:r>
          </w:p>
        </w:tc>
        <w:tc>
          <w:tcPr>
            <w:tcW w:type="dxa" w:w="1370"/>
          </w:tcPr>
          <w:p>
            <w:r>
              <w:t>0.673 (−3%)</w:t>
            </w:r>
          </w:p>
        </w:tc>
        <w:tc>
          <w:tcPr>
            <w:tcW w:type="dxa" w:w="1370"/>
          </w:tcPr>
          <w:p>
            <w:r>
              <w:t>9.78 (+0.46 min)</w:t>
            </w:r>
          </w:p>
        </w:tc>
        <w:tc>
          <w:tcPr>
            <w:tcW w:type="dxa" w:w="1370"/>
          </w:tcPr>
          <w:p>
            <w:r>
              <w:t>0.048 (−24%)</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9.86 (+0.54 min)</w:t>
            </w:r>
          </w:p>
        </w:tc>
        <w:tc>
          <w:tcPr>
            <w:tcW w:type="dxa" w:w="1370"/>
          </w:tcPr>
          <w:p>
            <w:r>
              <w:t>0.065 (+1%)</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10.61 (+1.29 min)</w:t>
            </w:r>
          </w:p>
        </w:tc>
        <w:tc>
          <w:tcPr>
            <w:tcW w:type="dxa" w:w="1370"/>
          </w:tcPr>
          <w:p>
            <w:r>
              <w:t>0.058 (−9%)</w:t>
            </w:r>
          </w:p>
        </w:tc>
        <w:tc>
          <w:tcPr>
            <w:tcW w:type="dxa" w:w="1370"/>
          </w:tcPr>
          <w:p>
            <w:r>
              <w:t>0.081</w:t>
            </w:r>
          </w:p>
        </w:tc>
      </w:tr>
    </w:tbl>
    <w:p>
      <w:r>
        <w:t>The degradation of each method as data falls from 100% to 1% quantifies the same effect. The raw view loses 36% of its recall and 1.2 min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4.7</w:t>
        <w:tab/>
        <w:t>Recall–FAR operating range</w:t>
      </w:r>
    </w:p>
    <w:p>
      <w:r>
        <w:t>Because the operator views and the union rule occupy distinct points on the recall–FAR plane, the framework offers a tunable operating range rather than a single decision (Fig. 6). The difference view is the budget-compliant high-recall operating point: together with the level view it is one of only two operators that stay inside FAR ≤ 0.05 at every ratio, and of the two it holds by far the higher recall under data reduction and the lowest forecasting error, so it is the default when nuisance alarms are costly. The union is the maximum-sensitivity operating point, buying up to fifteen recall points and up to 1.5 min of lead over the difference view at the cost of a four- to six-fold higher false prognosis rate. It is preferable when a missed onset is far costlier than a false one. The second-difference view lies between the two, close to the union in behaviour. Crucially, on prognostic recall this entire range dominates every supervised baseline and both zero-shot models at every subset ratio, and on lead time the acceleration view and the union rule do the same. The single exception is STA-ConvBiLSTM at ρ = 10%, whose 9.50 min edges the level and velocity views by 0.6 and 0.3 min while trailing them by about 18 recall points. The only references with lower false prognosis rates achieve them by rarely alarming at all.</w:t>
      </w:r>
    </w:p>
    <w:p>
      <w:r>
        <w:t xml:space="preserve">[[ FIGURE 6 PLACEHOLDER — insert image here ]]</w:t>
      </w:r>
    </w:p>
    <w:p>
      <w:r>
        <w:t>Fig. 6. Recall against false prognosis rate, with one marker per operating point per ρ for the raw, difference and second-difference views and the union decision. The empirical Pareto front and the FAR = 0.05 budget line are drawn.</w:t>
      </w:r>
    </w:p>
    <w:p>
      <w:pPr>
        <w:pStyle w:val="2"/>
      </w:pPr>
      <w:r>
        <w:t>4.8</w:t>
        <w:tab/>
        <w:t>Forecast accuracy under data reduction</w:t>
      </w:r>
    </w:p>
    <w:p>
      <w:r>
        <w:t>Table 5 reports the horizon-mean squared error in the restored raw domain (Fig. 7). The difference view attains the lowest error at every ratio and barely degrades under data withdrawal. The supervised baselines split into two failure modes. STA-ConvBiLSTM approaches the operators only at full data, and it and TCN-Transformer then explode by three- to seven-fold as data shrinks, TCN-Transformer never matching any operator view at any ratio,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4.9</w:t>
        <w:tab/>
        <w:t>Summary</w:t>
      </w:r>
    </w:p>
    <w:p>
      <w:r>
        <w:t>Across prognostic recall, false prognosis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obtainable from the pool. The framework therefore delivers a practical cold-start early-warning capability with an explicit, tunable recall–FAR operating range.</w:t>
      </w:r>
    </w:p>
    <w:p>
      <w:pPr>
        <w:pStyle w:val="1"/>
      </w:pPr>
      <w:r>
        <w:t>5.</w:t>
        <w:tab/>
        <w:t>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With 1% of the adaptation windows the union decision reaches a prognostic recall of 0.723 at a mean lead time of 10.8 min, and the velocity view alone reaches 0.653, above the 0.535 of the best supervised baseline trained on a hundred times more data, while holding its false prognosis rate at 0.033, inside the 0.05 budget. The full quantitative comparison is reported in Section 4.</w:t>
      </w:r>
    </w:p>
    <w:p>
      <w:r>
        <w:t>The study is confined to a single target variable and a single slow-drift disturbance, the union rule is evaluated at one prognosis horizon, and every curve is obtained from one fixed few-shot seed, so run-to-run variability at the smallest ratios is not quantified. The results are also conditioned on the clean-window length C = 10; lengthening it shrinks the positive set quickly and narrows the margin over the fully trained baselines, although the union decision keeps a positive margin at every value tested, from +0.188 at C = 10 to +0.071 at C = 25.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ind w:firstLine="0"/>
        <w:rPr>
          <w:rFonts w:eastAsiaTheme="minorEastAsia"/>
        </w:rPr>
      </w:pPr>
      <w:bookmarkEnd w:id="3"/>
      <w:r>
        <w:t>CRediT authorship contribution statement</w:t>
      </w:r>
    </w:p>
    <w:p w14:paraId="4102F9C8" w14:textId="0B8C4301" w:rsidR="00721F59" w:rsidRDefault="004B45CF" w:rsidP="00283519">
      <w:pPr>
        <w:ind w:firstLine="0"/>
        <w:rPr>
          <w:rFonts w:eastAsiaTheme="minorEastAsia"/>
        </w:rPr>
      </w:pPr>
      <w:bookmarkEnd w:id="3"/>
      <w:r>
        <w:t>Zhiyuan Xie: Conceptualization, Methodology, Software, Validation, Formal analysis, Investigation, Data curation, Visualization, Writing – original draft. Borui Yang: Methodology, Software, Validation, Writing – review &amp; editing. Jinsong Zhao: Conceptualization, Resources, Supervision, Project administration, Funding acquisition, Writing – review &amp; editing.</w:t>
      </w:r>
    </w:p>
    <w:p w14:paraId="78C7EC0C" w14:textId="77777777" w:rsidR="005732FA" w:rsidRPr="00210A67" w:rsidRDefault="005732FA" w:rsidP="00210A67">
      <w:pPr>
        <w:pStyle w:val="1"/>
        <w:ind w:firstLine="0"/>
        <w:rPr>
          <w:rFonts w:eastAsiaTheme="minorEastAsia"/>
        </w:rPr>
      </w:pPr>
      <w:bookmarkStart w:id="4" w:name="_Toc220180363"/>
      <w:bookmarkEnd w:id="4"/>
      <w:r>
        <w:t>Declaration of competing interest</w:t>
      </w:r>
    </w:p>
    <w:p w14:paraId="78C7EC0C" w14:textId="77777777" w:rsidR="005732FA" w:rsidRPr="00210A67" w:rsidRDefault="005732FA" w:rsidP="00210A67">
      <w:pPr>
        <w:ind w:firstLine="0"/>
        <w:rPr>
          <w:rFonts w:eastAsiaTheme="minorEastAsia"/>
        </w:rPr>
      </w:pPr>
      <w:bookmarkStart w:id="4" w:name="_Toc220180363"/>
      <w:bookmarkEnd w:id="4"/>
      <w:r>
        <w:t>The authors declare that they have no known competing financial interests or personal relationships that could have appeared to influence the work reported in this paper.</w:t>
      </w:r>
    </w:p>
    <w:p w14:paraId="4102F9C8" w14:textId="0B8C4301" w:rsidR="00721F59" w:rsidRDefault="004B45CF" w:rsidP="00283519">
      <w:pPr>
        <w:pStyle w:val="1"/>
        <w:rPr>
          <w:rFonts w:eastAsiaTheme="minorEastAsia"/>
        </w:rPr>
      </w:pPr>
      <w:r w:rsidRPr="00283519">
        <w:rPr>
          <w:rFonts w:eastAsiaTheme="minorEastAsia" w:hint="eastAsia"/>
        </w:rPr>
        <w:t>Acknowledgements</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[grant number 2024YFC3013601].</w:t>
      </w:r>
    </w:p>
    <w:p w14:paraId="78C7EC0C" w14:textId="77777777" w:rsidR="005732FA" w:rsidRPr="00210A67" w:rsidRDefault="005732FA" w:rsidP="00210A67">
      <w:pPr>
        <w:pStyle w:val="1"/>
        <w:ind w:firstLine="0"/>
        <w:rPr>
          <w:rFonts w:eastAsiaTheme="minorEastAsia"/>
        </w:rPr>
      </w:pPr>
      <w:bookmarkStart w:id="4" w:name="_Toc220180363"/>
      <w:bookmarkEnd w:id="4"/>
      <w:r>
        <w:t>Data availability</w:t>
      </w:r>
    </w:p>
    <w:p w14:paraId="78C7EC0C" w14:textId="77777777" w:rsidR="005732FA" w:rsidRPr="00210A67" w:rsidRDefault="005732FA" w:rsidP="00210A67">
      <w:pPr>
        <w:ind w:firstLine="0"/>
        <w:rPr>
          <w:rFonts w:eastAsiaTheme="minorEastAsia"/>
        </w:rPr>
      </w:pPr>
      <w:bookmarkStart w:id="4" w:name="_Toc220180363"/>
      <w:bookmarkEnd w:id="4"/>
      <w:r>
        <w:t>The Tennessee Eastman simulation data used in this study are generated from a publicly available process model. The data, the adaptation and evaluation code, and the scripts that regenerate every table and figure will be made available by the corresponding author on reasonable request.</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tab/>
        <w:t>Y. Liu, G. Qin, X. Huang, J. Wang, M. Long, Timer-XL: Long-context Transformers for unified time series forecasting, in: International Conference on Learning Representations (ICLR), 2025. https://arxiv.org/abs/2410.04803.</w:t>
      </w:r>
      <w:r w:rsidRPr="004376E3"/>
      <w:r w:rsidRPr="004376E3"/>
    </w:p>
    <w:p w14:paraId="2011972E" w14:textId="77777777" w:rsidR="004376E3" w:rsidRPr="004376E3" w:rsidRDefault="004376E3" w:rsidP="004376E3">
      <w:pPr>
        <w:pStyle w:val="af7"/>
        <w:ind w:firstLine="480"/>
      </w:pPr>
      <w:r w:rsidRPr="004376E3">
        <w:t>[39]</w:t>
        <w:tab/>
        <w:t>X. Shi, S. Wang, Y. Nie, D. Li, Z. Ye, Q. Wen, M. Jin, Time-MoE: Billion-scale time series foundation models with mixture of experts, in: International Conference on Learning Representations (ICLR), 2025. https://arxiv.org/abs/2409.16040.</w:t>
      </w:r>
      <w:r w:rsidRPr="004376E3"/>
    </w:p>
    <w:p w14:paraId="5DE1841E" w14:textId="77777777" w:rsidR="004376E3" w:rsidRPr="004376E3" w:rsidRDefault="004376E3" w:rsidP="004376E3">
      <w:pPr>
        <w:pStyle w:val="af7"/>
        <w:ind w:firstLine="480"/>
      </w:pPr>
      <w:r w:rsidRPr="004376E3">
        <w:t>[40]</w:t>
        <w:tab/>
        <w:t>Y. Liu, G. Qin, Z. Shi, Z. Chen, C. Yang, X. Huang, J. Wang, M. Long, Sundial: A family of highly capable time series foundation models, in: International Conference on Machine Learning (ICML), 2025. https://arxiv.org/abs/2502.00816.</w:t>
      </w:r>
      <w:r w:rsidRPr="004376E3"/>
    </w:p>
    <w:p w14:paraId="5DE1841E" w14:textId="77777777" w:rsidR="004376E3" w:rsidRPr="004376E3" w:rsidRDefault="004376E3" w:rsidP="004376E3">
      <w:pPr>
        <w:pStyle w:val="af7"/>
        <w:ind w:firstLine="0"/>
      </w:pPr>
      <w:r>
        <w:t>[41]</w:t>
        <w:tab/>
        <w:t>EEMUA, Alarm Systems: A Guide to Design, Management and Procurement, 4th ed., Engineering Equipment and Materials Users Association, London, UK, 2024.</w:t>
      </w:r>
    </w:p>
    <w:p w14:paraId="5DE1841E" w14:textId="77777777" w:rsidR="004376E3" w:rsidRPr="004376E3" w:rsidRDefault="004376E3" w:rsidP="004376E3">
      <w:pPr>
        <w:pStyle w:val="af7"/>
        <w:ind w:firstLine="0"/>
      </w:pPr>
      <w:r>
        <w:t>[42]</w:t>
        <w:tab/>
        <w:t>A. Vaswani, N. Shazeer, N. Parmar, J. Uszkoreit, L. Jones, A.N. Gomez, Ł. Kaiser, I. Polosukhin, Attention is all you need, in: Advances in Neural Information Processing Systems 30, 2017, pp. 5998–6008.</w:t>
      </w:r>
    </w:p>
    <w:p w14:paraId="5DE1841E" w14:textId="77777777" w:rsidR="004376E3" w:rsidRPr="004376E3" w:rsidRDefault="004376E3" w:rsidP="004376E3">
      <w:pPr>
        <w:pStyle w:val="af7"/>
        <w:ind w:firstLine="0"/>
      </w:pPr>
      <w:r>
        <w:t>[43]</w:t>
        <w:tab/>
        <w:t>Y. Nie, N.H. Nguyen, P. Sinthong, J. Kalagnanam, A time series is worth 64 words: Long-term forecasting with Transformers, in: International Conference on Learning Representations (ICLR), 2023.</w:t>
      </w:r>
    </w:p>
    <w:p w14:paraId="5DE1841E" w14:textId="77777777" w:rsidR="004376E3" w:rsidRPr="004376E3" w:rsidRDefault="004376E3" w:rsidP="004376E3">
      <w:pPr>
        <w:pStyle w:val="af7"/>
        <w:ind w:firstLine="0"/>
      </w:pPr>
      <w:r>
        <w:t>[44]</w:t>
        <w:tab/>
        <w:t>J.J. Downs, E.F. Vogel, A plant-wide industrial process control problem, Comput. Chem. Eng. 17 (1993) 245–255. https://doi.org/10.1016/0098-1354(93)80018-I.</w:t>
      </w:r>
    </w:p>
    <w:p w14:paraId="5DE1841E" w14:textId="77777777" w:rsidR="004376E3" w:rsidRPr="004376E3" w:rsidRDefault="004376E3" w:rsidP="004376E3">
      <w:pPr>
        <w:pStyle w:val="af7"/>
        <w:ind w:firstLine="0"/>
      </w:pPr>
      <w:r>
        <w:t>[45]</w:t>
        <w:tab/>
        <w:t>A. Bathelt, N.L. Ricker, M. Jelali, Revision of the Tennessee Eastman process model, IFAC-PapersOnLine 48 (2015) 309–314. https://doi.org/10.1016/j.ifacol.2015.08.199.</w:t>
      </w:r>
    </w:p>
    <w:p w14:paraId="5DE1841E" w14:textId="77777777" w:rsidR="004376E3" w:rsidRPr="004376E3" w:rsidRDefault="004376E3" w:rsidP="004376E3">
      <w:pPr>
        <w:pStyle w:val="af7"/>
        <w:ind w:firstLine="0"/>
      </w:pPr>
      <w:r>
        <w:t>[46]</w:t>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0"/>
      </w:pPr>
      <w:r>
        <w:t>[47]</w:t>
        <w:tab/>
        <w:t>Y. Dong, S.J. Qin, A novel dynamic PCA algorithm for dynamic data modeling and process monitoring, J. Process Control 67 (2018) 1–11. https://doi.org/10.1016/j.jprocont.2017.05.002.</w:t>
      </w:r>
    </w:p>
    <w:p w14:paraId="5DE1841E" w14:textId="77777777" w:rsidR="004376E3" w:rsidRPr="004376E3" w:rsidRDefault="004376E3" w:rsidP="004376E3">
      <w:pPr>
        <w:pStyle w:val="af7"/>
        <w:ind w:firstLine="0"/>
      </w:pPr>
      <w:r>
        <w:t>[48]</w:t>
        <w:tab/>
        <w:t>J. Zhou, X. Li, D. Liu, F. Wang, T. Zhang, M. Ye, Z. Liu, A hybrid spatial-temporal deep learning prediction model of industrial methanol-to-olefins process, Front. Chem. Sci. Eng. 18 (2024) 42. https://doi.org/10.1007/s11705-024-2403-7.</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