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000000"/>
          <w:sz w:val="72"/>
          <w:szCs w:val="72"/>
        </w:rPr>
      </w:pPr>
      <w:r>
        <w:rPr>
          <w:rFonts w:ascii="Helvetica Neue Light" w:cs="Helvetica Neue Light" w:eastAsia="Helvetica Neue Light" w:hAnsi="Helvetica Neue Light"/>
          <w:b w:val="0"/>
          <w:bCs w:val="0"/>
          <w:color w:val="000000"/>
          <w:sz w:val="72"/>
          <w:szCs w:val="72"/>
          <w:rtl w:val="0"/>
        </w:rPr>
        <w:t>Dotneet</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Product and learning guide</w:t>
      </w:r>
    </w:p>
    <w:p>
      <w:pPr>
        <w:spacing w:after="110" w:line="300" w:lineRule="auto"/>
        <w:jc w:val="both"/>
        <w:widowControl w:val="1"/>
        <w:keepNext w:val="0"/>
        <w:keepLines w:val="0"/>
      </w:pPr>
      <w:r>
        <w:rPr>
          <w:rFonts w:ascii="Helvetica Neue" w:hAnsi="Helvetica Neue" w:cs="Helvetica Neue" w:eastAsia="Helvetica Neue"/>
          <w:sz w:val="22"/>
        </w:rPr>
        <w:t xml:space="preserve">A practical explanation of the contribution-payment product, the evidence behind it, the architecture and its tradeoffs, and a study plan for understanding and improving the work.</w:t>
      </w:r>
    </w:p>
    <w:p>
      <w:pPr>
        <w:spacing w:after="110" w:line="300" w:lineRule="auto"/>
        <w:jc w:val="both"/>
        <w:widowControl w:val="1"/>
        <w:keepNext w:val="0"/>
        <w:keepLines w:val="0"/>
      </w:pPr>
      <w:r>
        <w:rPr>
          <w:rFonts w:ascii="Helvetica Neue" w:hAnsi="Helvetica Neue" w:cs="Helvetica Neue" w:eastAsia="Helvetica Neue"/>
          <w:sz w:val="22"/>
        </w:rPr>
        <w:t xml:space="preserve">Begin with the human story. Progress to the technical flow. Use the exercises to check what you can explain and apply.</w:t>
      </w:r>
    </w:p>
    <w:p w14:paraId="0000000B">
      <w:pPr>
        <w:rPr>
          <w:rFonts w:ascii="Helvetica Neue" w:cs="Helvetica Neue" w:eastAsia="Helvetica Neue" w:hAnsi="Helvetica Neue"/>
        </w:rPr>
      </w:pPr>
      <w:r>
        <w:rPr>
          <w:rtl w:val="0"/>
        </w:rPr>
      </w:r>
    </w:p>
    <w:p w14:paraId="0000000B">
      <w:pPr>
        <w:rPr>
          <w:rFonts w:ascii="Helvetica Neue" w:cs="Helvetica Neue" w:eastAsia="Helvetica Neue" w:hAnsi="Helvetica Neue"/>
        </w:rPr>
      </w:pPr>
      <w:r>
        <w:rPr>
          <w:rtl w:val="0"/>
        </w:rPr>
      </w:r>
    </w:p>
    <w:p w14:paraId="0000000B">
      <w:pPr>
        <w:rPr>
          <w:rFonts w:ascii="Helvetica Neue" w:cs="Helvetica Neue" w:eastAsia="Helvetica Neue" w:hAnsi="Helvetica Neue"/>
        </w:rPr>
      </w:pPr>
      <w:r>
        <w:rPr>
          <w:rtl w:val="0"/>
        </w:rPr>
      </w:r>
    </w:p>
    <w:p w14:paraId="0000000B">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r>
              <w:rPr>
                <w:rFonts w:ascii="Helvetica Neue" w:hAnsi="Helvetica Neue" w:cs="Helvetica Neue" w:eastAsia="Helvetica Neue"/>
                <w:b/>
                <w:color w:val="000000"/>
                <w:sz w:val="21"/>
              </w:rPr>
              <w:t xml:space="preserve">STATUS</w:t>
            </w:r>
          </w:p>
          <w:p w14:paraId="00000016">
            <w:pPr>
              <w:spacing w:after="110" w:line="300" w:lineRule="auto"/>
              <w:rPr>
                <w:rFonts w:ascii="Helvetica Neue" w:cs="Helvetica Neue" w:eastAsia="Helvetica Neue" w:hAnsi="Helvetica Neue"/>
              </w:rPr>
            </w:pPr>
            <w:r>
              <w:rPr>
                <w:rFonts w:ascii="Helvetica Neue" w:hAnsi="Helvetica Neue" w:cs="Helvetica Neue" w:eastAsia="Helvetica Neue"/>
                <w:color w:val="233447"/>
                <w:sz w:val="21"/>
              </w:rPr>
              <w:t xml:space="preserve">Learning guide</w:t>
            </w:r>
          </w:p>
        </w:tc>
        <w:tc>
          <w:tcPr/>
          <w:p w14:paraId="00000017">
            <w:pPr>
              <w:rPr>
                <w:rFonts w:ascii="Helvetica Neue" w:cs="Helvetica Neue" w:eastAsia="Helvetica Neue" w:hAnsi="Helvetica Neue"/>
              </w:rPr>
            </w:pPr>
            <w:r>
              <w:rPr>
                <w:rFonts w:ascii="Helvetica Neue" w:hAnsi="Helvetica Neue" w:cs="Helvetica Neue" w:eastAsia="Helvetica Neue"/>
                <w:b/>
                <w:color w:val="000000"/>
                <w:sz w:val="21"/>
              </w:rPr>
              <w:t xml:space="preserve"/>
            </w:r>
          </w:p>
        </w:tc>
        <w:tc>
          <w:tcPr/>
          <w:p w14:paraId="00000018">
            <w:pPr>
              <w:pStyle w:val="Heading3"/>
              <w:rPr/>
            </w:pPr>
            <w:r>
              <w:rPr>
                <w:rFonts w:ascii="Helvetica Neue" w:hAnsi="Helvetica Neue" w:cs="Helvetica Neue" w:eastAsia="Helvetica Neue"/>
                <w:b/>
                <w:color w:val="000000"/>
                <w:sz w:val="21"/>
              </w:rPr>
              <w:t xml:space="preserve">PROJECT</w:t>
            </w:r>
          </w:p>
          <w:p w14:paraId="00000019">
            <w:pPr>
              <w:spacing w:after="110" w:line="300" w:lineRule="auto"/>
              <w:rPr>
                <w:rFonts w:ascii="Helvetica Neue" w:cs="Helvetica Neue" w:eastAsia="Helvetica Neue" w:hAnsi="Helvetica Neue"/>
              </w:rPr>
            </w:pPr>
            <w:r>
              <w:rPr>
                <w:rFonts w:ascii="Helvetica Neue" w:hAnsi="Helvetica Neue" w:cs="Helvetica Neue" w:eastAsia="Helvetica Neue"/>
                <w:color w:val="233447"/>
                <w:sz w:val="21"/>
              </w:rPr>
              <w:t xml:space="preserve">Dotneet</w:t>
            </w:r>
          </w:p>
        </w:tc>
        <w:tc>
          <w:tcPr/>
          <w:p w14:paraId="0000001A">
            <w:pPr>
              <w:rPr>
                <w:rFonts w:ascii="Helvetica Neue" w:cs="Helvetica Neue" w:eastAsia="Helvetica Neue" w:hAnsi="Helvetica Neue"/>
              </w:rPr>
            </w:pPr>
            <w:r>
              <w:rPr>
                <w:rFonts w:ascii="Helvetica Neue" w:hAnsi="Helvetica Neue" w:cs="Helvetica Neue" w:eastAsia="Helvetica Neue"/>
                <w:b/>
                <w:color w:val="000000"/>
                <w:sz w:val="21"/>
              </w:rPr>
              <w:t xml:space="preserve"/>
            </w:r>
          </w:p>
        </w:tc>
        <w:tc>
          <w:tcPr/>
          <w:p w14:paraId="0000001B">
            <w:pPr>
              <w:pStyle w:val="Heading3"/>
              <w:rPr/>
            </w:pPr>
            <w:r>
              <w:rPr>
                <w:rFonts w:ascii="Helvetica Neue" w:hAnsi="Helvetica Neue" w:cs="Helvetica Neue" w:eastAsia="Helvetica Neue"/>
                <w:b/>
                <w:color w:val="000000"/>
                <w:sz w:val="21"/>
              </w:rPr>
              <w:t xml:space="preserve">UPDATED</w:t>
            </w:r>
          </w:p>
          <w:p w14:paraId="0000001C">
            <w:pPr>
              <w:spacing w:after="110" w:line="300" w:lineRule="auto"/>
              <w:rPr>
                <w:rFonts w:ascii="Helvetica Neue" w:cs="Helvetica Neue" w:eastAsia="Helvetica Neue" w:hAnsi="Helvetica Neue"/>
              </w:rPr>
            </w:pPr>
            <w:r>
              <w:rPr>
                <w:rFonts w:ascii="Helvetica Neue" w:hAnsi="Helvetica Neue" w:cs="Helvetica Neue" w:eastAsia="Helvetica Neue"/>
                <w:color w:val="233447"/>
                <w:sz w:val="21"/>
              </w:rPr>
              <w:t xml:space="preserve">11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 w:type="dxa"/>
              <w:left w:w="120" w:type="dxa"/>
              <w:bottom w:w="110" w:type="dxa"/>
              <w:right w:w="120" w:type="dxa"/>
            </w:tcMar>
            <w:vAlign w:val="center"/>
            <w:tcBorders>
              <w:top w:color="D9D9D9" w:val="single" w:sz="4"/>
              <w:left w:color="D9D9D9" w:val="single" w:sz="4"/>
              <w:bottom w:color="D9D9D9" w:val="single" w:sz="4"/>
              <w:right w:color="D9D9D9" w:val="single" w:sz="4"/>
            </w:tcBorders>
          </w:tcPr>
          <w:p>
            <w:pPr>
              <w:spacing w:after="0" w:line="270" w:lineRule="auto"/>
              <w:jc w:val="left"/>
              <w:widowControl w:val="1"/>
              <w:keepNext w:val="0"/>
              <w:keepLines w:val="0"/>
            </w:pPr>
            <w:r>
              <w:rPr>
                <w:rFonts w:ascii="Helvetica Neue" w:hAnsi="Helvetica Neue" w:cs="Helvetica Neue" w:eastAsia="Helvetica Neue"/>
                <w:color w:val="233447"/>
                <w:sz w:val="21"/>
                <w:b/>
              </w:rPr>
              <w:t xml:space="preserve">Prepared with</w:t>
            </w:r>
          </w:p>
        </w:tc>
        <w:tc>
          <w:tcPr>
            <w:tcBorders>
              <w:top w:color="D9D9D9" w:space="0" w:sz="4" w:val="single"/>
              <w:bottom w:color="D9D9D9" w:space="0" w:sz="4" w:val="single"/>
              <w:right w:color="D9D9D9" w:space="0" w:sz="4" w:val="single"/>
              <w:left w:color="D9D9D9" w:val="single" w:sz="4"/>
            </w:tcBorders>
            <w:shd w:fill="F5F8FA" w:val="clear"/>
            <w:tcMar>
              <w:top w:w="110" w:type="dxa"/>
              <w:left w:w="120" w:type="dxa"/>
              <w:bottom w:w="110" w:type="dxa"/>
              <w:right w:w="120" w:type="dxa"/>
            </w:tcMar>
            <w:vAlign w:val="center"/>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Codex</w:t>
            </w:r>
          </w:p>
        </w:tc>
      </w:tr>
      <w:tr>
        <w:trPr>
          <w:cantSplit w:val="1"/>
          <w:trHeight w:val="404.3103027343749" w:hRule="atLeast"/>
          <w:tblHeader w:val="0"/>
        </w:trPr>
        <w:tc>
          <w:tcPr>
            <w:shd w:fill="CFE2F3" w:val="clear"/>
            <w:tcMar>
              <w:top w:w="110" w:type="dxa"/>
              <w:left w:w="120" w:type="dxa"/>
              <w:bottom w:w="110" w:type="dxa"/>
              <w:right w:w="120" w:type="dxa"/>
            </w:tcMar>
            <w:vAlign w:val="center"/>
            <w:tcBorders>
              <w:top w:color="D9D9D9" w:val="single" w:sz="4"/>
              <w:left w:color="D9D9D9" w:val="single" w:sz="4"/>
              <w:bottom w:color="D9D9D9" w:val="single" w:sz="4"/>
              <w:right w:color="D9D9D9" w:val="single" w:sz="4"/>
            </w:tcBorders>
          </w:tcPr>
          <w:p>
            <w:pPr>
              <w:spacing w:after="0" w:line="270" w:lineRule="auto"/>
              <w:jc w:val="left"/>
              <w:widowControl w:val="1"/>
              <w:keepNext w:val="0"/>
              <w:keepLines w:val="0"/>
            </w:pPr>
            <w:r>
              <w:rPr>
                <w:rFonts w:ascii="Helvetica Neue" w:hAnsi="Helvetica Neue" w:cs="Helvetica Neue" w:eastAsia="Helvetica Neue"/>
                <w:color w:val="233447"/>
                <w:sz w:val="21"/>
                <w:b/>
              </w:rPr>
              <w:t xml:space="preserve">Audience</w:t>
            </w:r>
          </w:p>
        </w:tc>
        <w:tc>
          <w:tcPr>
            <w:tcBorders>
              <w:top w:color="D9D9D9" w:space="0" w:sz="4" w:val="single"/>
              <w:bottom w:color="D9D9D9" w:space="0" w:sz="4" w:val="single"/>
              <w:right w:color="D9D9D9" w:space="0" w:sz="4" w:val="single"/>
              <w:left w:color="D9D9D9" w:val="single" w:sz="4"/>
            </w:tcBorders>
            <w:shd w:fill="F5F8FA" w:val="clear"/>
            <w:tcMar>
              <w:top w:w="110" w:type="dxa"/>
              <w:left w:w="120" w:type="dxa"/>
              <w:bottom w:w="110" w:type="dxa"/>
              <w:right w:w="120" w:type="dxa"/>
            </w:tcMar>
            <w:vAlign w:val="center"/>
          </w:tcPr>
          <w:p>
            <w:pPr>
              <w:spacing w:after="0" w:line="270" w:lineRule="auto"/>
              <w:jc w:val="left"/>
              <w:widowControl w:val="1"/>
              <w:keepNext w:val="0"/>
              <w:keepLines w:val="0"/>
            </w:pPr>
            <w:r>
              <w:rPr>
                <w:rFonts w:ascii="Helvetica Neue" w:hAnsi="Helvetica Neue" w:cs="Helvetica Neue" w:eastAsia="Helvetica Neue"/>
                <w:color w:val="233447"/>
                <w:sz w:val="21"/>
              </w:rPr>
              <w:t xml:space="preserve">Dotneet founder and collaborators</w:t>
            </w:r>
          </w:p>
        </w:tc>
      </w:tr>
      <w:tr>
        <w:trPr>
          <w:cantSplit w:val="1"/>
          <w:tblHeader w:val="0"/>
        </w:trPr>
        <w:tc>
          <w:tcPr>
            <w:shd w:fill="CFE2F3" w:val="clear"/>
            <w:tcMar>
              <w:top w:w="110" w:type="dxa"/>
              <w:left w:w="120" w:type="dxa"/>
              <w:bottom w:w="110" w:type="dxa"/>
              <w:right w:w="120" w:type="dxa"/>
            </w:tcMar>
            <w:vAlign w:val="center"/>
            <w:tcBorders>
              <w:top w:color="D9D9D9" w:val="single" w:sz="4"/>
              <w:left w:color="D9D9D9" w:val="single" w:sz="4"/>
              <w:bottom w:color="D9D9D9" w:val="single" w:sz="4"/>
              <w:right w:color="D9D9D9" w:val="single" w:sz="4"/>
            </w:tcBorders>
          </w:tcPr>
          <w:p>
            <w:pPr>
              <w:spacing w:after="0" w:line="270" w:lineRule="auto"/>
              <w:jc w:val="left"/>
              <w:widowControl w:val="1"/>
              <w:keepNext w:val="0"/>
              <w:keepLines w:val="0"/>
            </w:pPr>
            <w:r>
              <w:rPr>
                <w:rFonts w:ascii="Helvetica Neue" w:hAnsi="Helvetica Neue" w:cs="Helvetica Neue" w:eastAsia="Helvetica Neue"/>
                <w:color w:val="233447"/>
                <w:sz w:val="21"/>
                <w:b/>
              </w:rPr>
              <w:t xml:space="preserve">Companion files</w:t>
            </w:r>
          </w:p>
        </w:tc>
        <w:tc>
          <w:tcPr>
            <w:tcBorders>
              <w:top w:color="D9D9D9" w:space="0" w:sz="4" w:val="single"/>
              <w:bottom w:color="D9D9D9" w:space="0" w:sz="4" w:val="single"/>
              <w:right w:color="D9D9D9" w:space="0" w:sz="4" w:val="single"/>
              <w:left w:color="D9D9D9" w:val="single" w:sz="4"/>
            </w:tcBorders>
            <w:shd w:fill="F5F8FA" w:val="clear"/>
            <w:tcMar>
              <w:top w:w="110" w:type="dxa"/>
              <w:left w:w="120" w:type="dxa"/>
              <w:bottom w:w="110" w:type="dxa"/>
              <w:right w:w="120" w:type="dxa"/>
            </w:tcMar>
            <w:vAlign w:val="center"/>
          </w:tcPr>
          <w:p>
            <w:pPr>
              <w:spacing w:after="0" w:line="270" w:lineRule="auto"/>
              <w:jc w:val="left"/>
              <w:widowControl w:val="1"/>
              <w:keepNext w:val="0"/>
              <w:keepLines w:val="0"/>
            </w:pPr>
            <w:r>
              <w:rPr>
                <w:rFonts w:ascii="Helvetica Neue" w:hAnsi="Helvetica Neue" w:cs="Helvetica Neue" w:eastAsia="Helvetica Neue"/>
                <w:color w:val="233447"/>
                <w:sz w:val="21"/>
              </w:rPr>
              <w:t xml:space="preserve">Dotneet source and agent handoff package</w:t>
            </w:r>
          </w:p>
        </w:tc>
      </w:tr>
      <w:tr>
        <w:trPr>
          <w:cantSplit w:val="1"/>
          <w:tblHeader w:val="0"/>
        </w:trPr>
        <w:tc>
          <w:tcPr>
            <w:shd w:fill="CFE2F3" w:val="clear"/>
            <w:tcMar>
              <w:top w:w="110" w:type="dxa"/>
              <w:left w:w="120" w:type="dxa"/>
              <w:bottom w:w="110" w:type="dxa"/>
              <w:right w:w="120" w:type="dxa"/>
            </w:tcMar>
            <w:vAlign w:val="center"/>
            <w:tcBorders>
              <w:top w:color="D9D9D9" w:val="single" w:sz="4"/>
              <w:left w:color="D9D9D9" w:val="single" w:sz="4"/>
              <w:bottom w:color="D9D9D9" w:val="single" w:sz="4"/>
              <w:right w:color="D9D9D9" w:val="single" w:sz="4"/>
            </w:tcBorders>
          </w:tcPr>
          <w:p>
            <w:pPr>
              <w:spacing w:after="0" w:line="270" w:lineRule="auto"/>
              <w:jc w:val="left"/>
              <w:widowControl w:val="1"/>
              <w:keepNext w:val="0"/>
              <w:keepLines w:val="0"/>
            </w:pPr>
            <w:r>
              <w:rPr>
                <w:rFonts w:ascii="Helvetica Neue" w:hAnsi="Helvetica Neue" w:cs="Helvetica Neue" w:eastAsia="Helvetica Neue"/>
                <w:color w:val="233447"/>
                <w:sz w:val="21"/>
                <w:b/>
              </w:rPr>
              <w:t xml:space="preserve">Scope</w:t>
            </w:r>
          </w:p>
        </w:tc>
        <w:tc>
          <w:tcPr>
            <w:tcBorders>
              <w:top w:color="D9D9D9" w:space="0" w:sz="4" w:val="single"/>
              <w:bottom w:color="D9D9D9" w:space="0" w:sz="4" w:val="single"/>
              <w:right w:color="D9D9D9" w:space="0" w:sz="4" w:val="single"/>
              <w:left w:color="D9D9D9" w:val="single" w:sz="4"/>
            </w:tcBorders>
            <w:shd w:fill="F5F8FA" w:val="clear"/>
            <w:tcMar>
              <w:top w:w="110" w:type="dxa"/>
              <w:left w:w="120" w:type="dxa"/>
              <w:bottom w:w="110" w:type="dxa"/>
              <w:right w:w="120" w:type="dxa"/>
            </w:tcMar>
            <w:vAlign w:val="center"/>
          </w:tcPr>
          <w:p>
            <w:pPr>
              <w:spacing w:after="0" w:line="270" w:lineRule="auto"/>
              <w:jc w:val="left"/>
              <w:widowControl w:val="1"/>
              <w:keepNext w:val="0"/>
              <w:keepLines w:val="0"/>
            </w:pPr>
            <w:r>
              <w:rPr>
                <w:rFonts w:ascii="Helvetica Neue" w:hAnsi="Helvetica Neue" w:cs="Helvetica Neue" w:eastAsia="Helvetica Neue"/>
                <w:color w:val="233447"/>
                <w:sz w:val="21"/>
              </w:rPr>
              <w:t xml:space="preserve">Product, architecture, evidence and personal learning</w:t>
            </w:r>
          </w:p>
        </w:tc>
      </w:tr>
    </w:tbl>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ageBreakBefore w:val="1"/>
      </w:pPr>
      <w:r>
        <w:rPr>
          <w:rFonts w:ascii="Helvetica Neue" w:hAnsi="Helvetica Neue" w:cs="Helvetica Neue" w:eastAsia="Helvetica Neue"/>
          <w:b/>
          <w:color w:val="000000"/>
          <w:sz w:val="27"/>
        </w:rPr>
        <w:t xml:space="preserve">Reading this guide</w:t>
      </w:r>
      <w:bookmarkStart w:id="101" w:name="chapter_0"/>
      <w:bookmarkEnd w:id="101"/>
    </w:p>
    <w:p>
      <w:pPr>
        <w:spacing w:after="110" w:line="300" w:lineRule="auto"/>
        <w:jc w:val="both"/>
        <w:widowControl w:val="1"/>
        <w:keepNext w:val="0"/>
        <w:keepLines w:val="0"/>
      </w:pPr>
      <w:r>
        <w:rPr>
          <w:rFonts w:ascii="Helvetica Neue" w:hAnsi="Helvetica Neue" w:cs="Helvetica Neue" w:eastAsia="Helvetica Neue"/>
          <w:sz w:val="22"/>
        </w:rPr>
        <w:t xml:space="preserve">Dotneet is a focused way for Nimiq builders to pay contributors and give them a record of acknowledged work. Its strongest opportunity is to make a useful contribution easier to recognize and reuse across projects. That opportunity is credible, but demand and real-device reliability still need to be demonstrated.</w:t>
      </w:r>
    </w:p>
    <w:p>
      <w:pPr>
        <w:spacing w:after="110" w:line="300" w:lineRule="auto"/>
        <w:jc w:val="both"/>
        <w:widowControl w:val="1"/>
        <w:keepNext w:val="0"/>
        <w:keepLines w:val="0"/>
      </w:pPr>
      <w:r>
        <w:rPr>
          <w:rFonts w:ascii="Helvetica Neue" w:hAnsi="Helvetica Neue" w:cs="Helvetica Neue" w:eastAsia="Helvetica Neue"/>
          <w:sz w:val="22"/>
        </w:rPr>
        <w:t xml:space="preserve">This guide is for you as the founder and hands-on learner. It explains the existing product and engineering package in ordinary language before introducing technical terms. By the end, you should be able to explain the idea, defend the main design decisions, inspect a receipt critically, supervise changes, and identify what still needs testing. You do not need to understand every line of code before starting.</w:t>
      </w:r>
    </w:p>
    <w:p>
      <w:pPr>
        <w:spacing w:after="110" w:line="300" w:lineRule="auto"/>
        <w:jc w:val="both"/>
        <w:widowControl w:val="1"/>
        <w:keepNext w:val="0"/>
        <w:keepLines w:val="0"/>
      </w:pPr>
      <w:r>
        <w:rPr>
          <w:rFonts w:ascii="Helvetica Neue" w:hAnsi="Helvetica Neue" w:cs="Helvetica Neue" w:eastAsia="Helvetica Neue"/>
          <w:sz w:val="22"/>
        </w:rPr>
        <w:t xml:space="preserve">Read chapters 1 to 4 first for the product story and evidence. Chapters 5 to 10 connect the documentation to the system and its implementation. Chapters 11 to 14 turn that knowledge into validation, personal study and practice. Chapter 15 is a glossary. The final reference section contains clickable sources and learning resources.</w:t>
      </w:r>
    </w:p>
    <w:p>
      <w:pPr>
        <w:spacing w:after="110" w:line="300" w:lineRule="auto"/>
        <w:jc w:val="both"/>
        <w:widowControl w:val="1"/>
        <w:keepNext w:val="0"/>
        <w:keepLines w:val="0"/>
      </w:pPr>
      <w:r>
        <w:rPr>
          <w:rFonts w:ascii="Helvetica Neue" w:hAnsi="Helvetica Neue" w:cs="Helvetica Neue" w:eastAsia="Helvetica Neue"/>
          <w:sz w:val="22"/>
        </w:rPr>
        <w:t xml:space="preserve">Statements about the implementation refer to the delivered source snapshot dated 11 September 2026, commit 081d862. Public websites may show a different version. The recorded checks include 41 passing unit tests, 13 passing PostgreSQL lifecycle scenarios, and a successful production build. They do not establish that the complete journey works inside Nimiq Pay with real blockchain transactions. </w:t>
      </w:r>
      <w:hyperlink w:anchor="ref_P1">
        <w:r>
          <w:rPr>
            <w:rFonts w:ascii="Helvetica Neue" w:hAnsi="Helvetica Neue" w:cs="Helvetica Neue" w:eastAsia="Helvetica Neue"/>
            <w:color w:val="235E8A"/>
          </w:rPr>
          <w:t xml:space="preserve">[P1]</w:t>
        </w:r>
      </w:hyperlink>
    </w:p>
    <w:p>
      <w:pPr>
        <w:spacing w:after="110" w:line="300" w:lineRule="auto"/>
        <w:jc w:val="both"/>
        <w:widowControl w:val="1"/>
        <w:keepNext w:val="0"/>
        <w:keepLines w:val="0"/>
      </w:pPr>
      <w:r>
        <w:rPr>
          <w:rFonts w:ascii="Helvetica Neue" w:hAnsi="Helvetica Neue" w:cs="Helvetica Neue" w:eastAsia="Helvetica Neue"/>
          <w:sz w:val="22"/>
        </w:rPr>
        <w:t xml:space="preserve">The word verified always needs an object: a wallet-control challenge, a signature, or a matching payment. Dotneet does not independently certify the person, their honesty, or the quality of their work. Keep that distinction in mind throughout the guide.</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Contents</w:t>
      </w:r>
    </w:p>
    <w:p>
      <w:pPr>
        <w:spacing w:after="60" w:line="300" w:lineRule="auto"/>
        <w:jc w:val="both"/>
        <w:widowControl w:val="1"/>
        <w:keepNext w:val="0"/>
        <w:keepLines w:val="0"/>
      </w:pPr>
      <w:hyperlink w:anchor="chapter_1">
        <w:r>
          <w:rPr>
            <w:rFonts w:ascii="Helvetica Neue" w:hAnsi="Helvetica Neue" w:cs="Helvetica Neue" w:eastAsia="Helvetica Neue"/>
            <w:color w:val="235E8A"/>
          </w:rPr>
          <w:t xml:space="preserve">1 Dotneet in everyday language</w:t>
        </w:r>
      </w:hyperlink>
    </w:p>
    <w:p>
      <w:pPr>
        <w:spacing w:after="60" w:line="300" w:lineRule="auto"/>
        <w:jc w:val="both"/>
        <w:widowControl w:val="1"/>
        <w:keepNext w:val="0"/>
        <w:keepLines w:val="0"/>
      </w:pPr>
      <w:hyperlink w:anchor="chapter_2">
        <w:r>
          <w:rPr>
            <w:rFonts w:ascii="Helvetica Neue" w:hAnsi="Helvetica Neue" w:cs="Helvetica Neue" w:eastAsia="Helvetica Neue"/>
            <w:color w:val="235E8A"/>
          </w:rPr>
          <w:t xml:space="preserve">2 How the idea developed and what came before it</w:t>
        </w:r>
      </w:hyperlink>
    </w:p>
    <w:p>
      <w:pPr>
        <w:spacing w:after="60" w:line="300" w:lineRule="auto"/>
        <w:jc w:val="both"/>
        <w:widowControl w:val="1"/>
        <w:keepNext w:val="0"/>
        <w:keepLines w:val="0"/>
      </w:pPr>
      <w:hyperlink w:anchor="chapter_3">
        <w:r>
          <w:rPr>
            <w:rFonts w:ascii="Helvetica Neue" w:hAnsi="Helvetica Neue" w:cs="Helvetica Neue" w:eastAsia="Helvetica Neue"/>
            <w:color w:val="235E8A"/>
          </w:rPr>
          <w:t xml:space="preserve">3 Why Dotneet is worth pursuing</w:t>
        </w:r>
      </w:hyperlink>
    </w:p>
    <w:p>
      <w:pPr>
        <w:spacing w:after="60" w:line="300" w:lineRule="auto"/>
        <w:jc w:val="both"/>
        <w:widowControl w:val="1"/>
        <w:keepNext w:val="0"/>
        <w:keepLines w:val="0"/>
      </w:pPr>
      <w:hyperlink w:anchor="chapter_4">
        <w:r>
          <w:rPr>
            <w:rFonts w:ascii="Helvetica Neue" w:hAnsi="Helvetica Neue" w:cs="Helvetica Neue" w:eastAsia="Helvetica Neue"/>
            <w:color w:val="235E8A"/>
          </w:rPr>
          <w:t xml:space="preserve">4 Understanding the product from screen to screen</w:t>
        </w:r>
      </w:hyperlink>
    </w:p>
    <w:p>
      <w:pPr>
        <w:spacing w:after="60" w:line="300" w:lineRule="auto"/>
        <w:jc w:val="both"/>
        <w:widowControl w:val="1"/>
        <w:keepNext w:val="0"/>
        <w:keepLines w:val="0"/>
      </w:pPr>
      <w:hyperlink w:anchor="chapter_5">
        <w:r>
          <w:rPr>
            <w:rFonts w:ascii="Helvetica Neue" w:hAnsi="Helvetica Neue" w:cs="Helvetica Neue" w:eastAsia="Helvetica Neue"/>
            <w:color w:val="235E8A"/>
          </w:rPr>
          <w:t xml:space="preserve">5 Understanding the documentation package</w:t>
        </w:r>
      </w:hyperlink>
    </w:p>
    <w:p>
      <w:pPr>
        <w:spacing w:after="60" w:line="300" w:lineRule="auto"/>
        <w:jc w:val="both"/>
        <w:widowControl w:val="1"/>
        <w:keepNext w:val="0"/>
        <w:keepLines w:val="0"/>
      </w:pPr>
      <w:hyperlink w:anchor="chapter_6">
        <w:r>
          <w:rPr>
            <w:rFonts w:ascii="Helvetica Neue" w:hAnsi="Helvetica Neue" w:cs="Helvetica Neue" w:eastAsia="Helvetica Neue"/>
            <w:color w:val="235E8A"/>
          </w:rPr>
          <w:t xml:space="preserve">6 The architecture explained from the outside in</w:t>
        </w:r>
      </w:hyperlink>
    </w:p>
    <w:p>
      <w:pPr>
        <w:spacing w:after="60" w:line="300" w:lineRule="auto"/>
        <w:jc w:val="both"/>
        <w:widowControl w:val="1"/>
        <w:keepNext w:val="0"/>
        <w:keepLines w:val="0"/>
      </w:pPr>
      <w:hyperlink w:anchor="chapter_7">
        <w:r>
          <w:rPr>
            <w:rFonts w:ascii="Helvetica Neue" w:hAnsi="Helvetica Neue" w:cs="Helvetica Neue" w:eastAsia="Helvetica Neue"/>
            <w:color w:val="235E8A"/>
          </w:rPr>
          <w:t xml:space="preserve">7 Why the main architecture decisions were made</w:t>
        </w:r>
      </w:hyperlink>
    </w:p>
    <w:p>
      <w:pPr>
        <w:spacing w:after="60" w:line="300" w:lineRule="auto"/>
        <w:jc w:val="both"/>
        <w:widowControl w:val="1"/>
        <w:keepNext w:val="0"/>
        <w:keepLines w:val="0"/>
      </w:pPr>
      <w:hyperlink w:anchor="chapter_8">
        <w:r>
          <w:rPr>
            <w:rFonts w:ascii="Helvetica Neue" w:hAnsi="Helvetica Neue" w:cs="Helvetica Neue" w:eastAsia="Helvetica Neue"/>
            <w:color w:val="235E8A"/>
          </w:rPr>
          <w:t xml:space="preserve">8 The technical flow and its safety properties</w:t>
        </w:r>
      </w:hyperlink>
    </w:p>
    <w:p>
      <w:pPr>
        <w:spacing w:after="60" w:line="300" w:lineRule="auto"/>
        <w:jc w:val="both"/>
        <w:widowControl w:val="1"/>
        <w:keepNext w:val="0"/>
        <w:keepLines w:val="0"/>
      </w:pPr>
      <w:hyperlink w:anchor="chapter_9">
        <w:r>
          <w:rPr>
            <w:rFonts w:ascii="Helvetica Neue" w:hAnsi="Helvetica Neue" w:cs="Helvetica Neue" w:eastAsia="Helvetica Neue"/>
            <w:color w:val="235E8A"/>
          </w:rPr>
          <w:t xml:space="preserve">9 Data records APIs and the code map</w:t>
        </w:r>
      </w:hyperlink>
    </w:p>
    <w:p>
      <w:pPr>
        <w:spacing w:after="60" w:line="300" w:lineRule="auto"/>
        <w:jc w:val="both"/>
        <w:widowControl w:val="1"/>
        <w:keepNext w:val="0"/>
        <w:keepLines w:val="0"/>
      </w:pPr>
      <w:hyperlink w:anchor="chapter_10">
        <w:r>
          <w:rPr>
            <w:rFonts w:ascii="Helvetica Neue" w:hAnsi="Helvetica Neue" w:cs="Helvetica Neue" w:eastAsia="Helvetica Neue"/>
            <w:color w:val="235E8A"/>
          </w:rPr>
          <w:t xml:space="preserve">10 The design system and why it matters</w:t>
        </w:r>
      </w:hyperlink>
    </w:p>
    <w:p>
      <w:pPr>
        <w:spacing w:after="60" w:line="300" w:lineRule="auto"/>
        <w:jc w:val="both"/>
        <w:widowControl w:val="1"/>
        <w:keepNext w:val="0"/>
        <w:keepLines w:val="0"/>
      </w:pPr>
      <w:hyperlink w:anchor="chapter_11">
        <w:r>
          <w:rPr>
            <w:rFonts w:ascii="Helvetica Neue" w:hAnsi="Helvetica Neue" w:cs="Helvetica Neue" w:eastAsia="Helvetica Neue"/>
            <w:color w:val="235E8A"/>
          </w:rPr>
          <w:t xml:space="preserve">11 What the tests prove and what still needs work</w:t>
        </w:r>
      </w:hyperlink>
    </w:p>
    <w:p>
      <w:pPr>
        <w:spacing w:after="60" w:line="300" w:lineRule="auto"/>
        <w:jc w:val="both"/>
        <w:widowControl w:val="1"/>
        <w:keepNext w:val="0"/>
        <w:keepLines w:val="0"/>
      </w:pPr>
      <w:hyperlink w:anchor="chapter_12">
        <w:r>
          <w:rPr>
            <w:rFonts w:ascii="Helvetica Neue" w:hAnsi="Helvetica Neue" w:cs="Helvetica Neue" w:eastAsia="Helvetica Neue"/>
            <w:color w:val="235E8A"/>
          </w:rPr>
          <w:t xml:space="preserve">12 A personal learning plan that fits the project</w:t>
        </w:r>
      </w:hyperlink>
    </w:p>
    <w:p>
      <w:pPr>
        <w:spacing w:after="60" w:line="300" w:lineRule="auto"/>
        <w:jc w:val="both"/>
        <w:widowControl w:val="1"/>
        <w:keepNext w:val="0"/>
        <w:keepLines w:val="0"/>
      </w:pPr>
      <w:hyperlink w:anchor="chapter_13">
        <w:r>
          <w:rPr>
            <w:rFonts w:ascii="Helvetica Neue" w:hAnsi="Helvetica Neue" w:cs="Helvetica Neue" w:eastAsia="Helvetica Neue"/>
            <w:color w:val="235E8A"/>
          </w:rPr>
          <w:t xml:space="preserve">13 An eight day study and preparation schedule</w:t>
        </w:r>
      </w:hyperlink>
    </w:p>
    <w:p>
      <w:pPr>
        <w:spacing w:after="60" w:line="300" w:lineRule="auto"/>
        <w:jc w:val="both"/>
        <w:widowControl w:val="1"/>
        <w:keepNext w:val="0"/>
        <w:keepLines w:val="0"/>
      </w:pPr>
      <w:hyperlink w:anchor="chapter_14">
        <w:r>
          <w:rPr>
            <w:rFonts w:ascii="Helvetica Neue" w:hAnsi="Helvetica Neue" w:cs="Helvetica Neue" w:eastAsia="Helvetica Neue"/>
            <w:color w:val="235E8A"/>
          </w:rPr>
          <w:t xml:space="preserve">14 Exercises and questions to test yourself</w:t>
        </w:r>
      </w:hyperlink>
    </w:p>
    <w:p>
      <w:pPr>
        <w:spacing w:after="60" w:line="300" w:lineRule="auto"/>
        <w:jc w:val="both"/>
        <w:widowControl w:val="1"/>
        <w:keepNext w:val="0"/>
        <w:keepLines w:val="0"/>
      </w:pPr>
      <w:hyperlink w:anchor="chapter_15">
        <w:r>
          <w:rPr>
            <w:rFonts w:ascii="Helvetica Neue" w:hAnsi="Helvetica Neue" w:cs="Helvetica Neue" w:eastAsia="Helvetica Neue"/>
            <w:color w:val="235E8A"/>
          </w:rPr>
          <w:t xml:space="preserve">15 Glossary</w:t>
        </w:r>
      </w:hyperlink>
    </w:p>
    <w:p>
      <w:pPr>
        <w:spacing w:after="60" w:line="300" w:lineRule="auto"/>
        <w:jc w:val="both"/>
        <w:widowControl w:val="1"/>
        <w:keepNext w:val="0"/>
        <w:keepLines w:val="0"/>
      </w:pPr>
      <w:hyperlink w:anchor="chapter_16">
        <w:r>
          <w:rPr>
            <w:rFonts w:ascii="Helvetica Neue" w:hAnsi="Helvetica Neue" w:cs="Helvetica Neue" w:eastAsia="Helvetica Neue"/>
            <w:color w:val="235E8A"/>
          </w:rPr>
          <w:t xml:space="preserve">Sources and further reading</w:t>
        </w:r>
      </w:hyperlink>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1 Dotneet in everyday language</w:t>
      </w:r>
      <w:bookmarkStart w:id="102" w:name="chapter_1"/>
      <w:bookmarkEnd w:id="102"/>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Start with a familiar situation</w:t>
      </w:r>
    </w:p>
    <w:p>
      <w:pPr>
        <w:spacing w:after="110" w:line="300" w:lineRule="auto"/>
        <w:jc w:val="both"/>
        <w:widowControl w:val="1"/>
        <w:keepNext w:val="0"/>
        <w:keepLines w:val="0"/>
      </w:pPr>
      <w:r>
        <w:rPr>
          <w:rFonts w:ascii="Helvetica Neue" w:hAnsi="Helvetica Neue" w:cs="Helvetica Neue" w:eastAsia="Helvetica Neue"/>
          <w:sz w:val="22"/>
        </w:rPr>
        <w:t xml:space="preserve">Imagine helping another builder test an app. You find a problem, explain how to reproduce it, and the builder fixes it. The builder thanks you in a chat and sends a payment. A week later, that useful exchange is buried among hundreds of messages. A different builder has no convenient way to inspect what you helped with or who acknowledged it.</w:t>
      </w:r>
    </w:p>
    <w:p>
      <w:pPr>
        <w:spacing w:after="110" w:line="300" w:lineRule="auto"/>
        <w:jc w:val="both"/>
        <w:widowControl w:val="1"/>
        <w:keepNext w:val="0"/>
        <w:keepLines w:val="0"/>
      </w:pPr>
      <w:r>
        <w:rPr>
          <w:rFonts w:ascii="Helvetica Neue" w:hAnsi="Helvetica Neue" w:cs="Helvetica Neue" w:eastAsia="Helvetica Neue"/>
          <w:sz w:val="22"/>
        </w:rPr>
        <w:t xml:space="preserve">Dotneet gives that exchange a more durable home. You have a memorable name such as ada.neet. The builder records what you contributed, pays your wallet, and signs an acknowledgment. You can then choose to publish the resulting receipt on your profile. Someone else can inspect the statement, the signing wallet, the associated payment and any supporting link.</w:t>
      </w:r>
    </w:p>
    <w:p>
      <w:pPr>
        <w:spacing w:after="110" w:line="300" w:lineRule="auto"/>
        <w:jc w:val="both"/>
        <w:widowControl w:val="1"/>
        <w:keepNext w:val="0"/>
        <w:keepLines w:val="0"/>
      </w:pPr>
      <w:r>
        <w:rPr>
          <w:rFonts w:ascii="Helvetica Neue" w:hAnsi="Helvetica Neue" w:cs="Helvetica Neue" w:eastAsia="Helvetica Neue"/>
          <w:sz w:val="22"/>
        </w:rPr>
        <w:t xml:space="preserve">Think of the product as a personal folder of contribution receipts. Your name makes the folder easy to find. The individual records explain what happened. This analogy is useful, but the receipt has precise limits: it records an attributable claim and a checked payment, rather than independently judging the contribution.</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A complete fictional example</w:t>
      </w:r>
    </w:p>
    <w:p>
      <w:pPr>
        <w:spacing w:after="110" w:line="300" w:lineRule="auto"/>
        <w:jc w:val="both"/>
        <w:widowControl w:val="1"/>
        <w:keepNext w:val="0"/>
        <w:keepLines w:val="0"/>
      </w:pPr>
      <w:r>
        <w:rPr>
          <w:rFonts w:ascii="Helvetica Neue" w:hAnsi="Helvetica Neue" w:cs="Helvetica Neue" w:eastAsia="Helvetica Neue"/>
          <w:sz w:val="22"/>
        </w:rPr>
        <w:t xml:space="preserve">Ada tests Mika's Mini App on a small phone and documents three navigation issues. They agree that Mika will pay 50 NIM for this help. These names, work details and amount are illustrative; they are not evidence of an actual user or transaction.</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1. Ada proves control of her wallet and claims ada.neet.</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2. Mika opens Ada's profile, enters the contribution description, an optional public issue link and the agreed amount.</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3. Mika reviews the recipient, wallet address, network and payment details, then approves the transfer inside Nimiq Pay.</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4. Dotneet checks that the observed transaction matches the intended contribution payment.</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5. Mika approves a separate message describing the contribution. Dotneet checks the signature and its signing wallet.</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6. Ada inspects the private receipt and decides whether to publish it. Another builder can then inspect the published record.</w:t>
      </w:r>
    </w:p>
    <w:p>
      <w:pPr>
        <w:spacing w:after="110" w:line="300" w:lineRule="auto"/>
        <w:jc w:val="both"/>
        <w:widowControl w:val="1"/>
        <w:keepNext w:val="0"/>
        <w:keepLines w:val="0"/>
      </w:pPr>
      <w:r>
        <w:rPr>
          <w:rFonts w:ascii="Helvetica Neue" w:hAnsi="Helvetica Neue" w:cs="Helvetica Neue" w:eastAsia="Helvetica Neue"/>
          <w:sz w:val="22"/>
        </w:rPr>
        <w:t xml:space="preserve">There can also be an earlier sign-in signature and an account-access approval. The payment and acknowledgment are two separate substantive approvals; this does not mean the whole first visit contains exactly two wallet prompts.</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Four claims that must stay separate</w:t>
      </w:r>
    </w:p>
    <w:tbl>
      <w:tblPr>
        <w:tblStyle w:val="Table8"/>
        <w:tblW w:w="10224"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Ind w:w="0" w:type="dxa"/>
      </w:tblPr>
      <w:tblGrid>
        <w:gridCol w:w="2454"/>
        <w:gridCol w:w="3783"/>
        <w:gridCol w:w="3987"/>
      </w:tblGrid>
      <w:tr>
        <w:trPr>
          <w:cantSplit w:val="1"/>
          <w:tblHeader/>
        </w:trPr>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Claim</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What the check supports</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What it does not establish</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Wallet control</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The expected wallet signed a valid ownership challenge</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legal name, unique person or permanent control</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Signed acknowledgment</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The issuer's wallet signed the exact recorded statement</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That every sentence is true or the work was good</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Confirmed payment</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matching transfer met the configured check policy at the recorded time</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Why the payment occurred or irreversible finality</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Contribution quality</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The issuer's stated assessment, with any linked context</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Independent certification by Dotneet</w:t>
            </w:r>
          </w:p>
        </w:tc>
      </w:tr>
    </w:tbl>
    <w:p>
      <w:pPr>
        <w:spacing w:after="110" w:line="300" w:lineRule="auto"/>
        <w:jc w:val="both"/>
        <w:widowControl w:val="1"/>
        <w:keepNext w:val="0"/>
        <w:keepLines w:val="0"/>
      </w:pPr>
    </w:p>
    <w:p>
      <w:pPr>
        <w:spacing w:after="110" w:line="300" w:lineRule="auto"/>
        <w:jc w:val="both"/>
        <w:widowControl w:val="1"/>
        <w:keepNext w:val="0"/>
        <w:keepLines w:val="0"/>
      </w:pPr>
      <w:r>
        <w:rPr>
          <w:rFonts w:ascii="Helvetica Neue" w:hAnsi="Helvetica Neue" w:cs="Helvetica Neue" w:eastAsia="Helvetica Neue"/>
          <w:sz w:val="22"/>
        </w:rPr>
        <w:t xml:space="preserve">Two wallets can belong to one person. Several people can coordinate misleading acknowledgments. A genuine transfer can accompany low-quality work. These facts are why the product should show inspectable evidence rather than a universal trust score.</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What you are building first</w:t>
      </w:r>
    </w:p>
    <w:p>
      <w:pPr>
        <w:spacing w:after="110" w:line="300" w:lineRule="auto"/>
        <w:jc w:val="both"/>
        <w:widowControl w:val="1"/>
        <w:keepNext w:val="0"/>
        <w:keepLines w:val="0"/>
      </w:pPr>
      <w:r>
        <w:rPr>
          <w:rFonts w:ascii="Helvetica Neue" w:hAnsi="Helvetica Neue" w:cs="Helvetica Neue" w:eastAsia="Helvetica Neue"/>
          <w:sz w:val="22"/>
        </w:rPr>
        <w:t xml:space="preserve">The first version serves people already helping Nimiq builders with testing, translation, documentation, design feedback and similar work. Finding the work and agreeing the terms can happen in existing community channels. Dotneet handles the name, payment-linked acknowledgment and record.</w:t>
      </w:r>
    </w:p>
    <w:p>
      <w:pPr>
        <w:spacing w:after="110" w:line="300" w:lineRule="auto"/>
        <w:jc w:val="both"/>
        <w:widowControl w:val="1"/>
        <w:keepNext w:val="0"/>
        <w:keepLines w:val="0"/>
      </w:pPr>
      <w:r>
        <w:rPr>
          <w:rFonts w:ascii="Helvetica Neue" w:hAnsi="Helvetica Neue" w:cs="Helvetica Neue" w:eastAsia="Helvetica Neue"/>
          <w:sz w:val="22"/>
        </w:rPr>
        <w:t xml:space="preserve">It does not promise to find jobs, hold funds in escrow, resolve disputes, refund payments or verify every contributor's identity. A contributor should not mistake a draft for a promise that payment is guaranteed. Keeping these boundaries clear makes the product easier to understand and more realistic for one developer working within an eight-day sprint.</w:t>
      </w:r>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2 How the idea developed and what came before it</w:t>
      </w:r>
      <w:bookmarkStart w:id="103" w:name="chapter_2"/>
      <w:bookmarkEnd w:id="103"/>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The original idea and the reason for changing it</w:t>
      </w:r>
    </w:p>
    <w:p>
      <w:pPr>
        <w:spacing w:after="110" w:line="300" w:lineRule="auto"/>
        <w:jc w:val="both"/>
        <w:widowControl w:val="1"/>
        <w:keepNext w:val="0"/>
        <w:keepLines w:val="0"/>
      </w:pPr>
      <w:r>
        <w:rPr>
          <w:rFonts w:ascii="Helvetica Neue" w:hAnsi="Helvetica Neue" w:cs="Helvetica Neue" w:eastAsia="Helvetica Neue"/>
          <w:sz w:val="22"/>
        </w:rPr>
        <w:t xml:space="preserve">The original Dotneet concept combined short .neet names, public profiles, reputation information and an API for other apps. A readable name is useful, but it does not by itself explain why someone should return. A score creates another problem: readers need to know what it measures, how it can be manipulated and whether it predicts anything meaningful.</w:t>
      </w:r>
    </w:p>
    <w:p>
      <w:pPr>
        <w:spacing w:after="110" w:line="300" w:lineRule="auto"/>
        <w:jc w:val="both"/>
        <w:widowControl w:val="1"/>
        <w:keepNext w:val="0"/>
        <w:keepLines w:val="0"/>
      </w:pPr>
      <w:r>
        <w:rPr>
          <w:rFonts w:ascii="Helvetica Neue" w:hAnsi="Helvetica Neue" w:cs="Helvetica Neue" w:eastAsia="Helvetica Neue"/>
          <w:sz w:val="22"/>
        </w:rPr>
        <w:t xml:space="preserve">The earlier repository review also found gaps between the original verification language and its implementation. Handle claiming and some mutations did not establish sufficient ownership, and endorsement logic relied on supplied payment information. These were source-review findings, not evidence of a live exploit. The delivered MVP introduced signed ownership challenges, protected writes and independently checked receipt facts. Historical records remain separate. </w:t>
      </w:r>
      <w:hyperlink w:anchor="ref_P2">
        <w:r>
          <w:rPr>
            <w:rFonts w:ascii="Helvetica Neue" w:hAnsi="Helvetica Neue" w:cs="Helvetica Neue" w:eastAsia="Helvetica Neue"/>
            <w:color w:val="235E8A"/>
          </w:rPr>
          <w:t xml:space="preserve">[P2]</w:t>
        </w:r>
      </w:hyperlink>
    </w:p>
    <w:p>
      <w:pPr>
        <w:spacing w:after="110" w:line="300" w:lineRule="auto"/>
        <w:jc w:val="both"/>
        <w:widowControl w:val="1"/>
        <w:keepNext w:val="0"/>
        <w:keepLines w:val="0"/>
      </w:pPr>
      <w:r>
        <w:rPr>
          <w:rFonts w:ascii="Helvetica Neue" w:hAnsi="Helvetica Neue" w:cs="Helvetica Neue" w:eastAsia="Helvetica Neue"/>
          <w:sz w:val="22"/>
        </w:rPr>
        <w:t xml:space="preserve">The revised direction keeps the name as an identity anchor and gives it a specific purpose: carrying records of paid, acknowledged contributions. The question changes from how impressive a profile looks to what a reader can actually inspect.</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Naming systems are useful precedents</w:t>
      </w:r>
    </w:p>
    <w:p>
      <w:pPr>
        <w:spacing w:after="110" w:line="300" w:lineRule="auto"/>
        <w:jc w:val="both"/>
        <w:widowControl w:val="1"/>
        <w:keepNext w:val="0"/>
        <w:keepLines w:val="0"/>
      </w:pPr>
      <w:r>
        <w:rPr>
          <w:rFonts w:ascii="Helvetica Neue" w:hAnsi="Helvetica Neue" w:cs="Helvetica Neue" w:eastAsia="Helvetica Neue"/>
          <w:sz w:val="22"/>
        </w:rPr>
        <w:t xml:space="preserve">ENS documents address lookup, text records, avatars and primary names. SNS describes naming as part of pseudonymous identity and reputation. These products support the general usefulness of recognizable names, but their existence also makes names plus profiles an established category. Dotneet's hosted name registry is not equivalent to their blockchain naming infrastructure. </w:t>
      </w:r>
      <w:hyperlink w:anchor="ref_S5">
        <w:r>
          <w:rPr>
            <w:rFonts w:ascii="Helvetica Neue" w:hAnsi="Helvetica Neue" w:cs="Helvetica Neue" w:eastAsia="Helvetica Neue"/>
            <w:color w:val="235E8A"/>
          </w:rPr>
          <w:t xml:space="preserve">[S5]</w:t>
        </w:r>
      </w:hyperlink>
      <w:r>
        <w:rPr>
          <w:rFonts w:ascii="Helvetica Neue" w:hAnsi="Helvetica Neue" w:cs="Helvetica Neue" w:eastAsia="Helvetica Neue"/>
          <w:sz w:val="22"/>
        </w:rPr>
        <w:t xml:space="preserve"> </w:t>
      </w:r>
      <w:hyperlink w:anchor="ref_S6">
        <w:r>
          <w:rPr>
            <w:rFonts w:ascii="Helvetica Neue" w:hAnsi="Helvetica Neue" w:cs="Helvetica Neue" w:eastAsia="Helvetica Neue"/>
            <w:color w:val="235E8A"/>
          </w:rPr>
          <w:t xml:space="preserve">[S6]</w:t>
        </w:r>
      </w:hyperlink>
    </w:p>
    <w:p>
      <w:pPr>
        <w:spacing w:after="110" w:line="300" w:lineRule="auto"/>
        <w:jc w:val="both"/>
        <w:widowControl w:val="1"/>
        <w:keepNext w:val="0"/>
        <w:keepLines w:val="0"/>
      </w:pPr>
      <w:r>
        <w:rPr>
          <w:rFonts w:ascii="Helvetica Neue" w:hAnsi="Helvetica Neue" w:cs="Helvetica Neue" w:eastAsia="Helvetica Neue"/>
          <w:sz w:val="22"/>
        </w:rPr>
        <w:t xml:space="preserve">Within Nimiq, NimConnect's public repository describes handles, profiles, payments and a small public-profile client. Therefore, the claim that Nimiq has no naming or identity solution is too strong. Repository descriptions establish relevant overlap; they do not prove present adoption or that every advertised behavior works. </w:t>
      </w:r>
      <w:hyperlink w:anchor="ref_S7">
        <w:r>
          <w:rPr>
            <w:rFonts w:ascii="Helvetica Neue" w:hAnsi="Helvetica Neue" w:cs="Helvetica Neue" w:eastAsia="Helvetica Neue"/>
            <w:color w:val="235E8A"/>
          </w:rPr>
          <w:t xml:space="preserve">[S7]</w:t>
        </w:r>
      </w:hyperlink>
    </w:p>
    <w:p>
      <w:pPr>
        <w:spacing w:after="110" w:line="300" w:lineRule="auto"/>
        <w:jc w:val="both"/>
        <w:widowControl w:val="1"/>
        <w:keepNext w:val="0"/>
        <w:keepLines w:val="0"/>
      </w:pPr>
      <w:r>
        <w:rPr>
          <w:rFonts w:ascii="Helvetica Neue" w:hAnsi="Helvetica Neue" w:cs="Helvetica Neue" w:eastAsia="Helvetica Neue"/>
          <w:sz w:val="22"/>
        </w:rPr>
        <w:t xml:space="preserve">For Dotneet, the implication is practical: demonstrate a contribution workflow that is easier to complete, inspect and reuse. Avoid positioning the project solely as a replacement for long wallet addresses.</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Attestations and payment records are a second precedent</w:t>
      </w:r>
    </w:p>
    <w:p>
      <w:pPr>
        <w:spacing w:after="110" w:line="300" w:lineRule="auto"/>
        <w:jc w:val="both"/>
        <w:widowControl w:val="1"/>
        <w:keepNext w:val="0"/>
        <w:keepLines w:val="0"/>
      </w:pPr>
      <w:r>
        <w:rPr>
          <w:rFonts w:ascii="Helvetica Neue" w:hAnsi="Helvetica Neue" w:cs="Helvetica Neue" w:eastAsia="Helvetica Neue"/>
          <w:sz w:val="22"/>
        </w:rPr>
        <w:t xml:space="preserve">An attestation is a statement made by an identifiable issuer about something. Ethereum Attestation Service documents both on-chain and off-chain attestations. The useful lesson is to preserve the statement, its issuer and its verification context. Dotneet borrows that general pattern; this MVP does not integrate EAS or become compatible with it automatically. </w:t>
      </w:r>
      <w:hyperlink w:anchor="ref_S8">
        <w:r>
          <w:rPr>
            <w:rFonts w:ascii="Helvetica Neue" w:hAnsi="Helvetica Neue" w:cs="Helvetica Neue" w:eastAsia="Helvetica Neue"/>
            <w:color w:val="235E8A"/>
          </w:rPr>
          <w:t xml:space="preserve">[S8]</w:t>
        </w:r>
      </w:hyperlink>
    </w:p>
    <w:p>
      <w:pPr>
        <w:spacing w:after="110" w:line="300" w:lineRule="auto"/>
        <w:jc w:val="both"/>
        <w:widowControl w:val="1"/>
        <w:keepNext w:val="0"/>
        <w:keepLines w:val="0"/>
      </w:pPr>
      <w:r>
        <w:rPr>
          <w:rFonts w:ascii="Helvetica Neue" w:hAnsi="Helvetica Neue" w:cs="Helvetica Neue" w:eastAsia="Helvetica Neue"/>
          <w:sz w:val="22"/>
        </w:rPr>
        <w:t xml:space="preserve">A payment record adds a different kind of evidence. It can support the claim that value moved between the relevant wallets. Combining that observation with an issuer's acknowledgment gives a reader more context than either a bare transfer or an unsupported testimonial. The reader still decides how persuasive the combination is.</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Relevant competition antecedents</w:t>
      </w:r>
    </w:p>
    <w:p>
      <w:pPr>
        <w:spacing w:after="110" w:line="300" w:lineRule="auto"/>
        <w:jc w:val="both"/>
        <w:widowControl w:val="1"/>
        <w:keepNext w:val="0"/>
        <w:keepLines w:val="0"/>
      </w:pPr>
      <w:r>
        <w:rPr>
          <w:rFonts w:ascii="Helvetica Neue" w:hAnsi="Helvetica Neue" w:cs="Helvetica Neue" w:eastAsia="Helvetica Neue"/>
          <w:sz w:val="22"/>
        </w:rPr>
        <w:t xml:space="preserve">Nimiq's official Cycle I announcement identifies Nimiq Space, NimJump and NimQuest as the three winners. Nimiq Space connects wallet-linked participation to a shared world. NimJump emphasizes server-side replay verification. NimQuest connects server-graded learning to a time-limited wallet signature. These are observed characteristics in the announcement, not published explanations of individual judges' decisions. </w:t>
      </w:r>
      <w:hyperlink w:anchor="ref_S3">
        <w:r>
          <w:rPr>
            <w:rFonts w:ascii="Helvetica Neue" w:hAnsi="Helvetica Neue" w:cs="Helvetica Neue" w:eastAsia="Helvetica Neue"/>
            <w:color w:val="235E8A"/>
          </w:rPr>
          <w:t xml:space="preserve">[S3]</w:t>
        </w:r>
      </w:hyperlink>
    </w:p>
    <w:p>
      <w:pPr>
        <w:spacing w:after="110" w:line="300" w:lineRule="auto"/>
        <w:jc w:val="both"/>
        <w:widowControl w:val="1"/>
        <w:keepNext w:val="0"/>
        <w:keepLines w:val="0"/>
      </w:pPr>
      <w:r>
        <w:rPr>
          <w:rFonts w:ascii="Helvetica Neue" w:hAnsi="Helvetica Neue" w:cs="Helvetica Neue" w:eastAsia="Helvetica Neue"/>
          <w:sz w:val="22"/>
        </w:rPr>
        <w:t xml:space="preserve">The transferable lesson is to make the main activity understandable and enforce the mechanism behind the result. For Dotneet, that means showing actual contribution context, checking the transfer and checking the acknowledgment. A decorative verified badge would not demonstrate those mechanisms.</w:t>
      </w:r>
    </w:p>
    <w:p>
      <w:pPr>
        <w:spacing w:after="110" w:line="300" w:lineRule="auto"/>
        <w:jc w:val="both"/>
        <w:widowControl w:val="1"/>
        <w:keepNext w:val="0"/>
        <w:keepLines w:val="0"/>
      </w:pPr>
      <w:r>
        <w:rPr>
          <w:rFonts w:ascii="Helvetica Neue" w:hAnsi="Helvetica Neue" w:cs="Helvetica Neue" w:eastAsia="Helvetica Neue"/>
          <w:sz w:val="22"/>
        </w:rPr>
        <w:t xml:space="preserve">Clarity offers a related external example. Its ETHGlobal Singapore 2024 showcase describes merchant naming, payments, payment-linked reviews and an SDK. The page identifies it as a finalist and a winner of Sign Protocol's Best Overall Application and Best Consumer Application awards. This is evidence that similar ideas have been presented successfully in another event, not evidence that Dotneet will win this competition or that Clarity achieved lasting product demand. </w:t>
      </w:r>
      <w:hyperlink w:anchor="ref_S9">
        <w:r>
          <w:rPr>
            <w:rFonts w:ascii="Helvetica Neue" w:hAnsi="Helvetica Neue" w:cs="Helvetica Neue" w:eastAsia="Helvetica Neue"/>
            <w:color w:val="235E8A"/>
          </w:rPr>
          <w:t xml:space="preserve">[S9]</w:t>
        </w:r>
      </w:hyperlink>
    </w:p>
    <w:p>
      <w:pPr>
        <w:spacing w:after="110" w:line="300" w:lineRule="auto"/>
        <w:jc w:val="both"/>
        <w:widowControl w:val="1"/>
        <w:keepNext w:val="0"/>
        <w:keepLines w:val="0"/>
      </w:pPr>
      <w:r>
        <w:rPr>
          <w:rFonts w:ascii="Helvetica Neue" w:hAnsi="Helvetica Neue" w:cs="Helvetica Neue" w:eastAsia="Helvetica Neue"/>
          <w:sz w:val="22"/>
        </w:rPr>
        <w:t xml:space="preserve">Short demo videos are useful because they let a reviewer see a coherent flow quickly. The competition rules encourage a walkthrough, but do not make one mandatory. A two-minute video is a presentation recommendation, not a discovered formula for winning. </w:t>
      </w:r>
      <w:hyperlink w:anchor="ref_S2">
        <w:r>
          <w:rPr>
            <w:rFonts w:ascii="Helvetica Neue" w:hAnsi="Helvetica Neue" w:cs="Helvetica Neue" w:eastAsia="Helvetica Neue"/>
            <w:color w:val="235E8A"/>
          </w:rPr>
          <w:t xml:space="preserve">[S2]</w:t>
        </w:r>
      </w:hyperlink>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3 Why Dotneet is worth pursuing</w:t>
      </w:r>
      <w:bookmarkStart w:id="104" w:name="chapter_3"/>
      <w:bookmarkEnd w:id="104"/>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There is a credible fit with Nimiq</w:t>
      </w:r>
    </w:p>
    <w:p>
      <w:pPr>
        <w:spacing w:after="110" w:line="300" w:lineRule="auto"/>
        <w:jc w:val="both"/>
        <w:widowControl w:val="1"/>
        <w:keepNext w:val="0"/>
        <w:keepLines w:val="0"/>
      </w:pPr>
      <w:r>
        <w:rPr>
          <w:rFonts w:ascii="Helvetica Neue" w:hAnsi="Helvetica Neue" w:cs="Helvetica Neue" w:eastAsia="Helvetica Neue"/>
          <w:sz w:val="22"/>
        </w:rPr>
        <w:t xml:space="preserve">Nimiq describes its mission in terms of accessible payments, self-custody and global collaboration. Its Mini App framework supports wallet access, message signing and payments through the host application. Dotneet uses those capabilities in the core experience: contributors receive NIM, issuers sign acknowledgments, and wallet keys remain outside Dotneet's backend. That is a concrete fit between product behavior and platform capability. </w:t>
      </w:r>
      <w:hyperlink w:anchor="ref_S1">
        <w:r>
          <w:rPr>
            <w:rFonts w:ascii="Helvetica Neue" w:hAnsi="Helvetica Neue" w:cs="Helvetica Neue" w:eastAsia="Helvetica Neue"/>
            <w:color w:val="235E8A"/>
          </w:rPr>
          <w:t xml:space="preserve">[S1]</w:t>
        </w:r>
      </w:hyperlink>
      <w:r>
        <w:rPr>
          <w:rFonts w:ascii="Helvetica Neue" w:hAnsi="Helvetica Neue" w:cs="Helvetica Neue" w:eastAsia="Helvetica Neue"/>
          <w:sz w:val="22"/>
        </w:rPr>
        <w:t xml:space="preserve"> </w:t>
      </w:r>
      <w:hyperlink w:anchor="ref_S4">
        <w:r>
          <w:rPr>
            <w:rFonts w:ascii="Helvetica Neue" w:hAnsi="Helvetica Neue" w:cs="Helvetica Neue" w:eastAsia="Helvetica Neue"/>
            <w:color w:val="235E8A"/>
          </w:rPr>
          <w:t xml:space="preserve">[S4]</w:t>
        </w:r>
      </w:hyperlink>
    </w:p>
    <w:p>
      <w:pPr>
        <w:spacing w:after="110" w:line="300" w:lineRule="auto"/>
        <w:jc w:val="both"/>
        <w:widowControl w:val="1"/>
        <w:keepNext w:val="0"/>
        <w:keepLines w:val="0"/>
      </w:pPr>
      <w:r>
        <w:rPr>
          <w:rFonts w:ascii="Helvetica Neue" w:hAnsi="Helvetica Neue" w:cs="Helvetica Neue" w:eastAsia="Helvetica Neue"/>
          <w:sz w:val="22"/>
        </w:rPr>
        <w:t xml:space="preserve">Nimiq has also documented historical ties to Costa Rica. This is useful institutional background, but geography does not reveal the private preferences of judges. The most defensible local relevance for this sprint is the community you can actually reach: Nimiq builders and contributors. If you involve a Nigerian or another regional community, describe the participants and observed work rather than assuming nationality predicts demand. </w:t>
      </w:r>
      <w:hyperlink w:anchor="ref_S10">
        <w:r>
          <w:rPr>
            <w:rFonts w:ascii="Helvetica Neue" w:hAnsi="Helvetica Neue" w:cs="Helvetica Neue" w:eastAsia="Helvetica Neue"/>
            <w:color w:val="235E8A"/>
          </w:rPr>
          <w:t xml:space="preserve">[S10]</w:t>
        </w:r>
      </w:hyperlink>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The product has a clear human benefit</w:t>
      </w:r>
    </w:p>
    <w:p>
      <w:pPr>
        <w:spacing w:after="110" w:line="300" w:lineRule="auto"/>
        <w:jc w:val="both"/>
        <w:widowControl w:val="1"/>
        <w:keepNext w:val="0"/>
        <w:keepLines w:val="0"/>
      </w:pPr>
      <w:r>
        <w:rPr>
          <w:rFonts w:ascii="Helvetica Neue" w:hAnsi="Helvetica Neue" w:cs="Helvetica Neue" w:eastAsia="Helvetica Neue"/>
          <w:sz w:val="22"/>
        </w:rPr>
        <w:t xml:space="preserve">The contributor gets payment plus a reusable record. The builder gets a structured way to acknowledge useful help. A future collaborator gets context to inspect. These are product hypotheses grounded in the proposed workflow, rather than measured outcomes from a pilot.</w:t>
      </w:r>
    </w:p>
    <w:p>
      <w:pPr>
        <w:spacing w:after="110" w:line="300" w:lineRule="auto"/>
        <w:jc w:val="both"/>
        <w:widowControl w:val="1"/>
        <w:keepNext w:val="0"/>
        <w:keepLines w:val="0"/>
      </w:pPr>
      <w:r>
        <w:rPr>
          <w:rFonts w:ascii="Helvetica Neue" w:hAnsi="Helvetica Neue" w:cs="Helvetica Neue" w:eastAsia="Helvetica Neue"/>
          <w:sz w:val="22"/>
        </w:rPr>
        <w:t xml:space="preserve">The emotional design opportunity is recognition with control. A contributor may want their work to remain visible, while also wanting to choose which wallet associations and work details become public. A builder may appreciate the ability to reward help without writing a long recommendation. These are reasonable motivations to investigate in interviews; they should not be presented as established user research.</w:t>
      </w:r>
    </w:p>
    <w:p>
      <w:pPr>
        <w:spacing w:after="110" w:line="300" w:lineRule="auto"/>
        <w:jc w:val="both"/>
        <w:widowControl w:val="1"/>
        <w:keepNext w:val="0"/>
        <w:keepLines w:val="0"/>
      </w:pPr>
      <w:r>
        <w:rPr>
          <w:rFonts w:ascii="Helvetica Neue" w:hAnsi="Helvetica Neue" w:cs="Helvetica Neue" w:eastAsia="Helvetica Neue"/>
          <w:sz w:val="22"/>
        </w:rPr>
        <w:t xml:space="preserve">The value can also accumulate without adding unrelated features. If contributors repeatedly use the same profile across builder relationships, each new receipt can make the profile more useful. This depends on actual reuse. It is not an automatic network effect simply because an API exists.</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The competition rewards the proposed priorities</w:t>
      </w:r>
    </w:p>
    <w:p>
      <w:pPr>
        <w:spacing w:after="110" w:line="300" w:lineRule="auto"/>
        <w:jc w:val="both"/>
        <w:widowControl w:val="1"/>
        <w:keepNext w:val="0"/>
        <w:keepLines w:val="0"/>
      </w:pPr>
      <w:r>
        <w:rPr>
          <w:rFonts w:ascii="Helvetica Neue" w:hAnsi="Helvetica Neue" w:cs="Helvetica Neue" w:eastAsia="Helvetica Neue"/>
          <w:sz w:val="22"/>
        </w:rPr>
        <w:t xml:space="preserve">The current official rubric assigns the following maximum scores. The right-hand column is a recommended Dotneet response, not a prediction of points. </w:t>
      </w:r>
      <w:hyperlink w:anchor="ref_S11">
        <w:r>
          <w:rPr>
            <w:rFonts w:ascii="Helvetica Neue" w:hAnsi="Helvetica Neue" w:cs="Helvetica Neue" w:eastAsia="Helvetica Neue"/>
            <w:color w:val="235E8A"/>
          </w:rPr>
          <w:t xml:space="preserve">[S11]</w:t>
        </w:r>
      </w:hyperlink>
    </w:p>
    <w:tbl>
      <w:tblPr>
        <w:tblStyle w:val="Table8"/>
        <w:tblW w:w="10224"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Ind w:w="0" w:type="dxa"/>
      </w:tblPr>
      <w:tblGrid>
        <w:gridCol w:w="3374"/>
        <w:gridCol w:w="1227"/>
        <w:gridCol w:w="5623"/>
      </w:tblGrid>
      <w:tr>
        <w:trPr>
          <w:cantSplit w:val="1"/>
          <w:tblHeader/>
        </w:trPr>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3374"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Category</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1227"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Maximum</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5623"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What Dotneet should demonstrate</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37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Functionality and usefulness</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122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45</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562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reliable complete flow and a clear reason to return</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37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Nimiq Pay and ecosystem integration</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122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25</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562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Real native payment and signing behavior</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37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Real usage</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122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15</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562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Genuine participants completing meaningful actions</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37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Design and usability</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122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10</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562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Clear mobile entry, review and recovery states</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37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Builder promotion</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122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5</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562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Accurate public explanation and community participation</w:t>
            </w:r>
          </w:p>
        </w:tc>
      </w:tr>
    </w:tbl>
    <w:p>
      <w:pPr>
        <w:spacing w:after="110" w:line="300" w:lineRule="auto"/>
        <w:jc w:val="both"/>
        <w:widowControl w:val="1"/>
        <w:keepNext w:val="0"/>
        <w:keepLines w:val="0"/>
      </w:pPr>
    </w:p>
    <w:p>
      <w:pPr>
        <w:spacing w:after="110" w:line="300" w:lineRule="auto"/>
        <w:jc w:val="both"/>
        <w:widowControl w:val="1"/>
        <w:keepNext w:val="0"/>
        <w:keepLines w:val="0"/>
      </w:pPr>
      <w:r>
        <w:rPr>
          <w:rFonts w:ascii="Helvetica Neue" w:hAnsi="Helvetica Neue" w:cs="Helvetica Neue" w:eastAsia="Helvetica Neue"/>
          <w:sz w:val="22"/>
        </w:rPr>
        <w:t xml:space="preserve">Functionality and integration together account for 70 of 100 available points. The strategic implication is to protect the complete working flow before expanding the SDK or producing more promotional material. Good storytelling makes evidence easier to understand; it cannot substitute for that evidence.</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What would make the idea stronger or weaker</w:t>
      </w:r>
    </w:p>
    <w:p>
      <w:pPr>
        <w:spacing w:after="110" w:line="300" w:lineRule="auto"/>
        <w:jc w:val="both"/>
        <w:widowControl w:val="1"/>
        <w:keepNext w:val="0"/>
        <w:keepLines w:val="0"/>
      </w:pPr>
      <w:r>
        <w:rPr>
          <w:rFonts w:ascii="Helvetica Neue" w:hAnsi="Helvetica Neue" w:cs="Helvetica Neue" w:eastAsia="Helvetica Neue"/>
          <w:sz w:val="22"/>
        </w:rPr>
        <w:t xml:space="preserve">The most important unanswered question is whether builders and contributors prefer this process to their existing payment-and-chat routine. The additional signature and publication decision may feel worthwhile, or they may feel like unnecessary work. That cannot be settled by architecture alone.</w:t>
      </w:r>
    </w:p>
    <w:p>
      <w:pPr>
        <w:spacing w:after="110" w:line="300" w:lineRule="auto"/>
        <w:jc w:val="both"/>
        <w:widowControl w:val="1"/>
        <w:keepNext w:val="0"/>
        <w:keepLines w:val="0"/>
      </w:pPr>
      <w:r>
        <w:rPr>
          <w:rFonts w:ascii="Helvetica Neue" w:hAnsi="Helvetica Neue" w:cs="Helvetica Neue" w:eastAsia="Helvetica Neue"/>
          <w:sz w:val="22"/>
        </w:rPr>
        <w:t xml:space="preserve">A small pilot should test whether a builder completes a second contribution payment, whether a recipient voluntarily shares a receipt, and whether another builder finds it useful when deciding to collaborate. These actions are stronger evidence of recurring value than registrations or compliments about the landing page.</w:t>
      </w:r>
    </w:p>
    <w:p>
      <w:pPr>
        <w:spacing w:after="110" w:line="300" w:lineRule="auto"/>
        <w:jc w:val="both"/>
        <w:widowControl w:val="1"/>
        <w:keepNext w:val="0"/>
        <w:keepLines w:val="0"/>
      </w:pPr>
      <w:r>
        <w:rPr>
          <w:rFonts w:ascii="Helvetica Neue" w:hAnsi="Helvetica Neue" w:cs="Helvetica Neue" w:eastAsia="Helvetica Neue"/>
          <w:sz w:val="22"/>
        </w:rPr>
        <w:t xml:space="preserve">The idea would weaken if records are created only for prize-related rewards, users never return, or recipients do not want the payment linked to their public work. Founder-funded participation should be disclosed separately from independent demand. No market-size, revenue or retention claim has yet been established by the delivered implementation.</w:t>
      </w:r>
    </w:p>
    <w:p>
      <w:pPr>
        <w:spacing w:after="110" w:line="300" w:lineRule="auto"/>
        <w:jc w:val="both"/>
        <w:widowControl w:val="1"/>
        <w:keepNext w:val="0"/>
        <w:keepLines w:val="0"/>
      </w:pPr>
      <w:r>
        <w:rPr>
          <w:rFonts w:ascii="Helvetica Neue" w:hAnsi="Helvetica Neue" w:cs="Helvetica Neue" w:eastAsia="Helvetica Neue"/>
          <w:sz w:val="22"/>
        </w:rPr>
        <w:t xml:space="preserve">The product deserves focused validation because its audience is reachable, its workflow is specific and its central platform capabilities exist. Whether it becomes a great product depends on the quality of the finished experience and the behavior of real users.</w:t>
      </w:r>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4 Understanding the product from screen to screen</w:t>
      </w:r>
      <w:bookmarkStart w:id="105" w:name="chapter_4"/>
      <w:bookmarkEnd w:id="105"/>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Entry and identity</w:t>
      </w:r>
    </w:p>
    <w:p>
      <w:pPr>
        <w:spacing w:after="110" w:line="300" w:lineRule="auto"/>
        <w:jc w:val="both"/>
        <w:widowControl w:val="1"/>
        <w:keepNext w:val="0"/>
        <w:keepLines w:val="0"/>
      </w:pPr>
      <w:r>
        <w:rPr>
          <w:rFonts w:ascii="Helvetica Neue" w:hAnsi="Helvetica Neue" w:cs="Helvetica Neue" w:eastAsia="Helvetica Neue"/>
          <w:sz w:val="22"/>
        </w:rPr>
        <w:t xml:space="preserve">The public landing page explains the purpose before requiring a wallet. The preview lets a visitor explore fictional states. In Nimiq Pay, the real workspace connects the wallet, asks for a signed ownership challenge when needed, and recovers an existing profile or offers name claiming.</w:t>
      </w:r>
    </w:p>
    <w:p>
      <w:pPr>
        <w:spacing w:after="110" w:line="300" w:lineRule="auto"/>
        <w:jc w:val="both"/>
        <w:widowControl w:val="1"/>
        <w:keepNext w:val="0"/>
        <w:keepLines w:val="0"/>
      </w:pPr>
      <w:r>
        <w:rPr>
          <w:rFonts w:ascii="Helvetica Neue" w:hAnsi="Helvetica Neue" w:cs="Helvetica Neue" w:eastAsia="Helvetica Neue"/>
          <w:sz w:val="22"/>
        </w:rPr>
        <w:t xml:space="preserve">A name is normalized before storage, so differences in letter case and an optional .neet suffix do not create separate identities. The current rules allow 3 to 32 lowercase letters, digits and interior hyphens. Names reserved for routes or protected legacy owners cannot be taken through a simple availability check. Ownership comes from the authenticated wallet, not an address typed into a form.</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Contribution review and payment</w:t>
      </w:r>
    </w:p>
    <w:p>
      <w:pPr>
        <w:spacing w:after="110" w:line="300" w:lineRule="auto"/>
        <w:jc w:val="both"/>
        <w:widowControl w:val="1"/>
        <w:keepNext w:val="0"/>
        <w:keepLines w:val="0"/>
      </w:pPr>
      <w:r>
        <w:rPr>
          <w:rFonts w:ascii="Helvetica Neue" w:hAnsi="Helvetica Neue" w:cs="Helvetica Neue" w:eastAsia="Helvetica Neue"/>
          <w:sz w:val="22"/>
        </w:rPr>
        <w:t xml:space="preserve">The builder chooses an existing contributor and enters a plain-language statement, amount and optional HTTPS evidence link. The server stores a private draft before the wallet action begins. The review must make the recipient, network and exact amount visible. Nimiq Pay presents its own authorization step and fee context.</w:t>
      </w:r>
    </w:p>
    <w:p>
      <w:pPr>
        <w:spacing w:after="110" w:line="300" w:lineRule="auto"/>
        <w:jc w:val="both"/>
        <w:widowControl w:val="1"/>
        <w:keepNext w:val="0"/>
        <w:keepLines w:val="0"/>
      </w:pPr>
      <w:r>
        <w:rPr>
          <w:rFonts w:ascii="Helvetica Neue" w:hAnsi="Helvetica Neue" w:cs="Helvetica Neue" w:eastAsia="Helvetica Neue"/>
          <w:sz w:val="22"/>
        </w:rPr>
        <w:t xml:space="preserve">After the wallet returns, Dotneet keeps the transaction reference and checks the expected transfer. Pending means the answer is not yet established. Unavailable means a verification dependency could not provide a reliable answer. Neither state means the user should automatically send again.</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Acknowledgment and publication</w:t>
      </w:r>
    </w:p>
    <w:p>
      <w:pPr>
        <w:spacing w:after="110" w:line="300" w:lineRule="auto"/>
        <w:jc w:val="both"/>
        <w:widowControl w:val="1"/>
        <w:keepNext w:val="0"/>
        <w:keepLines w:val="0"/>
      </w:pPr>
      <w:r>
        <w:rPr>
          <w:rFonts w:ascii="Helvetica Neue" w:hAnsi="Helvetica Neue" w:cs="Helvetica Neue" w:eastAsia="Helvetica Neue"/>
          <w:sz w:val="22"/>
        </w:rPr>
        <w:t xml:space="preserve">When payment meets the configured check policy, the builder signs the acknowledgment. If signing is cancelled, the payment remains recorded and the builder can resume signing later. A completed receipt initially remains private to the issuer and recipient.</w:t>
      </w:r>
    </w:p>
    <w:p>
      <w:pPr>
        <w:spacing w:after="110" w:line="300" w:lineRule="auto"/>
        <w:jc w:val="both"/>
        <w:widowControl w:val="1"/>
        <w:keepNext w:val="0"/>
        <w:keepLines w:val="0"/>
      </w:pPr>
      <w:r>
        <w:rPr>
          <w:rFonts w:ascii="Helvetica Neue" w:hAnsi="Helvetica Neue" w:cs="Helvetica Neue" w:eastAsia="Helvetica Neue"/>
          <w:sz w:val="22"/>
        </w:rPr>
        <w:t xml:space="preserve">The recipient can publish after reading what will be exposed. Unpublishing stops new public access through Dotneet but cannot remove copies or blockchain data. An issuer can withdraw an acknowledgment without refunding the transfer or erasing the signed history. Previously published withdrawn records remain historical records until the recipient unpublishes them.</w:t>
      </w:r>
    </w:p>
    <w:tbl>
      <w:tblPr>
        <w:tblStyle w:val="Table8"/>
        <w:tblW w:w="10224"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Ind w:w="0" w:type="dxa"/>
      </w:tblPr>
      <w:tblGrid>
        <w:gridCol w:w="2454"/>
        <w:gridCol w:w="3783"/>
        <w:gridCol w:w="3987"/>
      </w:tblGrid>
      <w:tr>
        <w:trPr>
          <w:cantSplit w:val="1"/>
          <w:tblHeader/>
        </w:trPr>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Page</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Purpose</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Main action</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Landing</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Explain the product</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Explore a sample or enter the workspace</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Workspace</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Manage wallet-bound identity and own records</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Claim, edit or resume a contribution</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Public profile</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Show permitted contributor information</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Inspect records or acknowledge work</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Acknowledgment form</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Describe and review a contribution</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Create a private payment intent</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Receipt</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Inspect progress, proofs and visibility</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Continue the permitted next step</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Design reference</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Show reusable interface rules</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Compare components and states</w:t>
            </w:r>
          </w:p>
        </w:tc>
      </w:tr>
    </w:tbl>
    <w:p>
      <w:pPr>
        <w:spacing w:after="110" w:line="300" w:lineRule="auto"/>
        <w:jc w:val="both"/>
        <w:widowControl w:val="1"/>
        <w:keepNext w:val="0"/>
        <w:keepLines w:val="0"/>
      </w:pPr>
    </w:p>
    <w:p>
      <w:pPr>
        <w:spacing w:after="110" w:line="300" w:lineRule="auto"/>
        <w:jc w:val="both"/>
        <w:widowControl w:val="1"/>
        <w:keepNext w:val="0"/>
        <w:keepLines w:val="0"/>
      </w:pPr>
      <w:r>
        <w:rPr>
          <w:rFonts w:ascii="Helvetica Neue" w:hAnsi="Helvetica Neue" w:cs="Helvetica Neue" w:eastAsia="Helvetica Neue"/>
          <w:sz w:val="22"/>
        </w:rPr>
        <w:t xml:space="preserve">The preview is a teaching aid. Changing its selected state does not connect a wallet, send NIM or create a verified record. A screenshot of that sample should keep its illustrative label whenever it is used in a presentation.</w:t>
      </w:r>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5 Understanding the documentation package</w:t>
      </w:r>
      <w:bookmarkStart w:id="106" w:name="chapter_5"/>
      <w:bookmarkEnd w:id="106"/>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Each document answers a different question</w:t>
      </w:r>
    </w:p>
    <w:p>
      <w:pPr>
        <w:spacing w:after="110" w:line="300" w:lineRule="auto"/>
        <w:jc w:val="both"/>
        <w:widowControl w:val="1"/>
        <w:keepNext w:val="0"/>
        <w:keepLines w:val="0"/>
      </w:pPr>
      <w:r>
        <w:rPr>
          <w:rFonts w:ascii="Helvetica Neue" w:hAnsi="Helvetica Neue" w:cs="Helvetica Neue" w:eastAsia="Helvetica Neue"/>
          <w:sz w:val="22"/>
        </w:rPr>
        <w:t xml:space="preserve">The Product Requirements Document, or PRD, explains who the product serves and why a feature belongs in the product. The Functional Requirements Document, or FRD, turns that intention into exact behavior: permitted actions, validation rules, states and exceptions. The architecture explains which parts of the system perform that behavior and where the important boundaries lie.</w:t>
      </w:r>
    </w:p>
    <w:p>
      <w:pPr>
        <w:spacing w:after="110" w:line="300" w:lineRule="auto"/>
        <w:jc w:val="both"/>
        <w:widowControl w:val="1"/>
        <w:keepNext w:val="0"/>
        <w:keepLines w:val="0"/>
      </w:pPr>
      <w:r>
        <w:rPr>
          <w:rFonts w:ascii="Helvetica Neue" w:hAnsi="Helvetica Neue" w:cs="Helvetica Neue" w:eastAsia="Helvetica Neue"/>
          <w:sz w:val="22"/>
        </w:rPr>
        <w:t xml:space="preserve">The data and API specification describes the records stored and the messages exchanged. Security guidance explains what must be checked before accepting a request. The test plan describes how to challenge those requirements. The validation report records which checks actually happened. A plan and an execution result are different kinds of document.</w:t>
      </w:r>
    </w:p>
    <w:tbl>
      <w:tblPr>
        <w:tblStyle w:val="Table3"/>
        <w:tblW w:w="10224"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Ind w:w="0" w:type="dxa"/>
      </w:tblPr>
      <w:tblGrid>
        <w:gridCol w:w="3578"/>
        <w:gridCol w:w="6646"/>
      </w:tblGrid>
      <w:tr>
        <w:trPr>
          <w:cantSplit w:val="1"/>
          <w:tblHeader/>
        </w:trPr>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Document group</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Use it when you need to</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README and baseline assessment</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Orient yourself and understand what was reused or replaced</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PRD and FRD</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Decide whether a proposed change serves the user and preserves required behavior</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Architecture and data API specification</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Locate responsibilities, records and request contracts</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Security and privacy</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Understand ownership, verification and publication boundaries</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Implementation plan and traceability</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Identify a bounded task and its completion criteria</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Testing plan and validation report</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Separate intended checks from evidence already collected</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Linux operations</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Reproduce the environment and plan migrations or recovery</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Design system and page specifications</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Keep components, copy and interaction states consistent</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Cross-format templates</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Reuse the visual foundations in presentations and assets</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OpenCode and Claude handoffs</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Continue engineering or design work without prior conversation context</w:t>
            </w:r>
          </w:p>
        </w:tc>
      </w:tr>
    </w:tbl>
    <w:p>
      <w:pPr>
        <w:spacing w:after="110" w:line="300" w:lineRule="auto"/>
        <w:jc w:val="both"/>
        <w:widowControl w:val="1"/>
        <w:keepNext w:val="0"/>
        <w:keepLines w:val="0"/>
      </w:pP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Follow one requirement through the package</w:t>
      </w:r>
    </w:p>
    <w:p>
      <w:pPr>
        <w:spacing w:after="110" w:line="300" w:lineRule="auto"/>
        <w:jc w:val="both"/>
        <w:widowControl w:val="1"/>
        <w:keepNext w:val="0"/>
        <w:keepLines w:val="0"/>
      </w:pPr>
      <w:r>
        <w:rPr>
          <w:rFonts w:ascii="Helvetica Neue" w:hAnsi="Helvetica Neue" w:cs="Helvetica Neue" w:eastAsia="Helvetica Neue"/>
          <w:sz w:val="22"/>
        </w:rPr>
        <w:t xml:space="preserve">Consider the rule that only the recipient may publish a receipt. The PRD explains the reason: the contributor controls their public association with the work. The FRD names the required behavior as RECEIPT-02. The architecture places enforcement on the server. The API specification defines the publication operation. The interface explains the disclosure before the action. The test sends an unauthorized publication request and expects rejection.</w:t>
      </w:r>
    </w:p>
    <w:p>
      <w:pPr>
        <w:spacing w:after="110" w:line="300" w:lineRule="auto"/>
        <w:jc w:val="both"/>
        <w:widowControl w:val="1"/>
        <w:keepNext w:val="0"/>
        <w:keepLines w:val="0"/>
      </w:pPr>
      <w:r>
        <w:rPr>
          <w:rFonts w:ascii="Helvetica Neue" w:hAnsi="Helvetica Neue" w:cs="Helvetica Neue" w:eastAsia="Helvetica Neue"/>
          <w:sz w:val="22"/>
        </w:rPr>
        <w:t xml:space="preserve">This chain is called traceability. It lets you ask more useful questions than whether a feature is finished. You can ask which requirement it satisfies, where it is enforced, how the user experiences it, and what evidence supports it.</w:t>
      </w:r>
    </w:p>
    <w:p>
      <w:pPr>
        <w:spacing w:after="110" w:line="300" w:lineRule="auto"/>
        <w:jc w:val="both"/>
        <w:widowControl w:val="1"/>
        <w:keepNext w:val="0"/>
        <w:keepLines w:val="0"/>
      </w:pPr>
      <w:r>
        <w:rPr>
          <w:rFonts w:ascii="Helvetica Neue" w:hAnsi="Helvetica Neue" w:cs="Helvetica Neue" w:eastAsia="Helvetica Neue"/>
          <w:sz w:val="22"/>
        </w:rPr>
        <w:t xml:space="preserve">Read the current files under docs before the historical PRD.md and FRD.md in the repository root. Those historical documents are marked superseded and retain the earlier reputation concept. The source manifest identifies the delivered snapshot; a public GitHub branch or deployed website may differ. </w:t>
      </w:r>
      <w:hyperlink w:anchor="ref_P1">
        <w:r>
          <w:rPr>
            <w:rFonts w:ascii="Helvetica Neue" w:hAnsi="Helvetica Neue" w:cs="Helvetica Neue" w:eastAsia="Helvetica Neue"/>
            <w:color w:val="235E8A"/>
          </w:rPr>
          <w:t xml:space="preserve">[P1]</w:t>
        </w:r>
      </w:hyperlink>
      <w:r>
        <w:rPr>
          <w:rFonts w:ascii="Helvetica Neue" w:hAnsi="Helvetica Neue" w:cs="Helvetica Neue" w:eastAsia="Helvetica Neue"/>
          <w:sz w:val="22"/>
        </w:rPr>
        <w:t xml:space="preserve"> </w:t>
      </w:r>
      <w:hyperlink w:anchor="ref_P2">
        <w:r>
          <w:rPr>
            <w:rFonts w:ascii="Helvetica Neue" w:hAnsi="Helvetica Neue" w:cs="Helvetica Neue" w:eastAsia="Helvetica Neue"/>
            <w:color w:val="235E8A"/>
          </w:rPr>
          <w:t xml:space="preserve">[P2]</w:t>
        </w:r>
      </w:hyperlink>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6 The architecture explained from the outside in</w:t>
      </w:r>
      <w:bookmarkStart w:id="107" w:name="chapter_6"/>
      <w:bookmarkEnd w:id="107"/>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Begin with responsibilities</w:t>
      </w:r>
    </w:p>
    <w:p>
      <w:pPr>
        <w:spacing w:after="110" w:line="300" w:lineRule="auto"/>
        <w:jc w:val="both"/>
        <w:widowControl w:val="1"/>
        <w:keepNext w:val="0"/>
        <w:keepLines w:val="0"/>
      </w:pPr>
      <w:r>
        <w:rPr>
          <w:rFonts w:ascii="Helvetica Neue" w:hAnsi="Helvetica Neue" w:cs="Helvetica Neue" w:eastAsia="Helvetica Neue"/>
          <w:sz w:val="22"/>
        </w:rPr>
        <w:t xml:space="preserve">The interface is the part the user sees. The server is the part that checks requests and coordinates records. The database remembers profiles, challenges and receipts. Nimiq Pay holds the wallet keys and asks the user to approve sensitive actions. The Nimiq network records transfers. An RPC endpoint is the connection Dotneet uses to ask about network data.</w:t>
      </w:r>
    </w:p>
    <w:p>
      <w:pPr>
        <w:spacing w:after="110" w:line="300" w:lineRule="auto"/>
        <w:jc w:val="both"/>
        <w:widowControl w:val="1"/>
        <w:keepNext w:val="0"/>
        <w:keepLines w:val="0"/>
      </w:pPr>
      <w:r>
        <w:rPr>
          <w:rFonts w:ascii="Helvetica Neue" w:hAnsi="Helvetica Neue" w:cs="Helvetica Neue" w:eastAsia="Helvetica Neue"/>
          <w:sz w:val="22"/>
        </w:rPr>
        <w:t xml:space="preserve">Next.js supplies both the website and the server routes in this implementation. Node.js runs the server code. These are complementary roles: Node is the runtime, while Next.js organizes pages and request handling. A separate backend application is not required simply because frontend and backend responsibilities are different.</w:t>
      </w:r>
    </w:p>
    <w:p w14:paraId="0000003B">
      <w:pPr>
        <w:rPr>
          <w:rFonts w:ascii="Helvetica Neue" w:cs="Helvetica Neue" w:eastAsia="Helvetica Neue" w:hAnsi="Helvetica Neue"/>
        </w:rPr>
        <w:keepNext w:val="1"/>
      </w:pPr>
      <w:r>
        <w:rPr>
          <w:rFonts w:ascii="Helvetica Neue" w:cs="Helvetica Neue" w:eastAsia="Helvetica Neue" w:hAnsi="Helvetica Neue"/>
        </w:rPr>
        <w:drawing>
          <wp:inline distB="0" distT="0" distL="0" distR="0">
            <wp:extent cx="6492240" cy="2921508"/>
            <wp:effectExtent b="0" l="0" r="0" t="0"/>
            <wp:docPr id="1" name="Dotneet architecture" descr="Architecture diagram separating the interface, wallet approvals, server, database, RPC verification and blockchain transfers. The following text explains every component."/>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92240" cy="2921508"/>
                    </a:xfrm>
                    <a:prstGeom prst="rect"/>
                    <a:ln/>
                  </pic:spPr>
                </pic:pic>
              </a:graphicData>
            </a:graphic>
          </wp:inline>
        </w:drawing>
      </w:r>
      <w:r>
        <w:rPr>
          <w:rtl w:val="0"/>
        </w:rPr>
      </w:r>
    </w:p>
    <w:p>
      <w:pPr>
        <w:keepNext w:val="0"/>
        <w:keepLines w:val="0"/>
        <w:widowControl w:val="1"/>
        <w:pBdr>
          <w:top w:space="0" w:sz="0" w:val="nil"/>
          <w:left w:space="0" w:sz="0" w:val="nil"/>
          <w:bottom w:space="0" w:sz="0" w:val="nil"/>
          <w:right w:space="0" w:sz="0" w:val="nil"/>
          <w:between w:space="0" w:sz="0" w:val="nil"/>
        </w:pBdr>
        <w:shd w:fill="auto" w:val="clear"/>
        <w:spacing w:after="110" w:before="0" w:line="270" w:lineRule="auto"/>
        <w:ind w:left="0" w:right="0" w:firstLine="0"/>
        <w:jc w:val="left"/>
      </w:pPr>
      <w:r>
        <w:rPr>
          <w:rFonts w:ascii="Helvetica Neue" w:hAnsi="Helvetica Neue" w:cs="Helvetica Neue" w:eastAsia="Helvetica Neue"/>
          <w:sz w:val="20"/>
        </w:rPr>
        <w:t xml:space="preserve">Figure 1. Responsibilities and request paths in the delivered architecture. Arrows indicate requests or transfers; responses return through the corresponding connection.</w:t>
      </w:r>
    </w:p>
    <w:p>
      <w:pPr>
        <w:spacing w:after="110" w:line="300" w:lineRule="auto"/>
        <w:jc w:val="both"/>
        <w:widowControl w:val="1"/>
        <w:keepNext w:val="0"/>
        <w:keepLines w:val="0"/>
      </w:pPr>
      <w:r>
        <w:rPr>
          <w:rFonts w:ascii="Helvetica Neue" w:hAnsi="Helvetica Neue" w:cs="Helvetica Neue" w:eastAsia="Helvetica Neue"/>
          <w:sz w:val="22"/>
        </w:rPr>
        <w:t xml:space="preserve">The diagram separates two paths. Wallet authorization and the transfer occur through Nimiq Pay. Verification, receipt storage and publication decisions occur through Dotneet's server. The backend does not need the user's spending key to check a signature or inspect a transaction.</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The application boundary</w:t>
      </w:r>
    </w:p>
    <w:p>
      <w:pPr>
        <w:spacing w:after="110" w:line="300" w:lineRule="auto"/>
        <w:jc w:val="both"/>
        <w:widowControl w:val="1"/>
        <w:keepNext w:val="0"/>
        <w:keepLines w:val="0"/>
      </w:pPr>
      <w:r>
        <w:rPr>
          <w:rFonts w:ascii="Helvetica Neue" w:hAnsi="Helvetica Neue" w:cs="Helvetica Neue" w:eastAsia="Helvetica Neue"/>
          <w:sz w:val="22"/>
        </w:rPr>
        <w:t xml:space="preserve">Dotneet controls the name registry, profile text, draft records, signed acknowledgment storage and publication index. PostgreSQL stores this application data. Prisma provides a typed way for the server to read and update it. If this database is unavailable, live record operations cannot safely continue.</w:t>
      </w:r>
    </w:p>
    <w:p>
      <w:pPr>
        <w:spacing w:after="110" w:line="300" w:lineRule="auto"/>
        <w:jc w:val="both"/>
        <w:widowControl w:val="1"/>
        <w:keepNext w:val="0"/>
        <w:keepLines w:val="0"/>
      </w:pPr>
      <w:r>
        <w:rPr>
          <w:rFonts w:ascii="Helvetica Neue" w:hAnsi="Helvetica Neue" w:cs="Helvetica Neue" w:eastAsia="Helvetica Neue"/>
          <w:sz w:val="22"/>
        </w:rPr>
        <w:t xml:space="preserve">Nimiq Pay controls native wallet approval. Dotneet requests an action and receives a result. It should never ask the user to paste a recovery phrase or private key. The official Mini App documentation describes this separation between the WebView, provider and native wallet. </w:t>
      </w:r>
      <w:hyperlink w:anchor="ref_S4">
        <w:r>
          <w:rPr>
            <w:rFonts w:ascii="Helvetica Neue" w:hAnsi="Helvetica Neue" w:cs="Helvetica Neue" w:eastAsia="Helvetica Neue"/>
            <w:color w:val="235E8A"/>
          </w:rPr>
          <w:t xml:space="preserve">[S4]</w:t>
        </w:r>
      </w:hyperlink>
    </w:p>
    <w:p>
      <w:pPr>
        <w:spacing w:after="110" w:line="300" w:lineRule="auto"/>
        <w:jc w:val="both"/>
        <w:widowControl w:val="1"/>
        <w:keepNext w:val="0"/>
        <w:keepLines w:val="0"/>
      </w:pPr>
      <w:r>
        <w:rPr>
          <w:rFonts w:ascii="Helvetica Neue" w:hAnsi="Helvetica Neue" w:cs="Helvetica Neue" w:eastAsia="Helvetica Neue"/>
          <w:sz w:val="22"/>
        </w:rPr>
        <w:t xml:space="preserve">The blockchain records transfers; it does not know whether Ada's testing was useful. Dotneet links the transfer to a receipt using an opaque reference. The contribution description and evidence URL remain application data. This reduces on-chain disclosure, although a published receipt can make the opaque reference linkable.</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The verification boundary</w:t>
      </w:r>
    </w:p>
    <w:p>
      <w:pPr>
        <w:spacing w:after="110" w:line="300" w:lineRule="auto"/>
        <w:jc w:val="both"/>
        <w:widowControl w:val="1"/>
        <w:keepNext w:val="0"/>
        <w:keepLines w:val="0"/>
      </w:pPr>
      <w:r>
        <w:rPr>
          <w:rFonts w:ascii="Helvetica Neue" w:hAnsi="Helvetica Neue" w:cs="Helvetica Neue" w:eastAsia="Helvetica Neue"/>
          <w:sz w:val="22"/>
        </w:rPr>
        <w:t xml:space="preserve">A browser is not a trusted authority for payment success or account ownership. A modified client could claim anything. The server therefore verifies ownership signatures, checks permissions against stored relationships and requests transaction data independently of the browser.</w:t>
      </w:r>
    </w:p>
    <w:p>
      <w:pPr>
        <w:spacing w:after="110" w:line="300" w:lineRule="auto"/>
        <w:jc w:val="both"/>
        <w:widowControl w:val="1"/>
        <w:keepNext w:val="0"/>
        <w:keepLines w:val="0"/>
      </w:pPr>
      <w:r>
        <w:rPr>
          <w:rFonts w:ascii="Helvetica Neue" w:hAnsi="Helvetica Neue" w:cs="Helvetica Neue" w:eastAsia="Helvetica Neue"/>
          <w:sz w:val="22"/>
        </w:rPr>
        <w:t xml:space="preserve">Independent of the browser does not mean independent of every external service. If the deployment uses a third-party RPC, that service remains a dependency and trust assumption. Operating a correctly configured node could change that assumption later; it is not an implemented requirement of this small MVP.</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The public boundary</w:t>
      </w:r>
    </w:p>
    <w:p>
      <w:pPr>
        <w:spacing w:after="110" w:line="300" w:lineRule="auto"/>
        <w:jc w:val="both"/>
        <w:widowControl w:val="1"/>
        <w:keepNext w:val="0"/>
        <w:keepLines w:val="0"/>
      </w:pPr>
      <w:r>
        <w:rPr>
          <w:rFonts w:ascii="Helvetica Neue" w:hAnsi="Helvetica Neue" w:cs="Helvetica Neue" w:eastAsia="Helvetica Neue"/>
          <w:sz w:val="22"/>
        </w:rPr>
        <w:t xml:space="preserve">Public readers receive a deliberately filtered view. A private receipt must not become discoverable simply because someone guesses its URL or queries another route. Publication rules apply at the server and API layers, not only by hiding a button or card in the interface.</w:t>
      </w:r>
    </w:p>
    <w:p>
      <w:pPr>
        <w:spacing w:after="110" w:line="300" w:lineRule="auto"/>
        <w:jc w:val="both"/>
        <w:widowControl w:val="1"/>
        <w:keepNext w:val="0"/>
        <w:keepLines w:val="0"/>
      </w:pPr>
      <w:r>
        <w:rPr>
          <w:rFonts w:ascii="Helvetica Neue" w:hAnsi="Helvetica Neue" w:cs="Helvetica Neue" w:eastAsia="Helvetica Neue"/>
          <w:sz w:val="22"/>
        </w:rPr>
        <w:t xml:space="preserve">The application is therefore a hosted service using blockchain payments and cryptographic signatures. Describing the whole product as decentralized would hide its real database, hosting and publication dependencies. </w:t>
      </w:r>
      <w:hyperlink w:anchor="ref_P3">
        <w:r>
          <w:rPr>
            <w:rFonts w:ascii="Helvetica Neue" w:hAnsi="Helvetica Neue" w:cs="Helvetica Neue" w:eastAsia="Helvetica Neue"/>
            <w:color w:val="235E8A"/>
          </w:rPr>
          <w:t xml:space="preserve">[P3]</w:t>
        </w:r>
      </w:hyperlink>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7 Why the main architecture decisions were made</w:t>
      </w:r>
      <w:bookmarkStart w:id="108" w:name="chapter_7"/>
      <w:bookmarkEnd w:id="108"/>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Keep one application and one database</w:t>
      </w:r>
    </w:p>
    <w:p>
      <w:pPr>
        <w:spacing w:after="110" w:line="300" w:lineRule="auto"/>
        <w:jc w:val="both"/>
        <w:widowControl w:val="1"/>
        <w:keepNext w:val="0"/>
        <w:keepLines w:val="0"/>
      </w:pPr>
      <w:r>
        <w:rPr>
          <w:rFonts w:ascii="Helvetica Neue" w:hAnsi="Helvetica Neue" w:cs="Helvetica Neue" w:eastAsia="Helvetica Neue"/>
          <w:sz w:val="22"/>
        </w:rPr>
        <w:t xml:space="preserve">The repository already used Next.js, Node-compatible routes and Prisma with PostgreSQL. Reusing those foundations reduces the number of moving parts a solo developer must operate. Pages and protected APIs can share the same origin and authentication model. A separate Express service would create another deployment, configuration surface and boundary to maintain without solving a present requirement.</w:t>
      </w:r>
    </w:p>
    <w:p>
      <w:pPr>
        <w:spacing w:after="110" w:line="300" w:lineRule="auto"/>
        <w:jc w:val="both"/>
        <w:widowControl w:val="1"/>
        <w:keepNext w:val="0"/>
        <w:keepLines w:val="0"/>
      </w:pPr>
      <w:r>
        <w:rPr>
          <w:rFonts w:ascii="Helvetica Neue" w:hAnsi="Helvetica Neue" w:cs="Helvetica Neue" w:eastAsia="Helvetica Neue"/>
          <w:sz w:val="22"/>
        </w:rPr>
        <w:t xml:space="preserve">The tradeoff is that long-running work must fit bounded requests or be moved later. A queue or worker could become useful for sustained background verification, notifications or reorganization monitoring. Add one when a measured need appears, not as a symbol of architectural sophistication.</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Use database constraints for durable rules</w:t>
      </w:r>
    </w:p>
    <w:p>
      <w:pPr>
        <w:spacing w:after="110" w:line="300" w:lineRule="auto"/>
        <w:jc w:val="both"/>
        <w:widowControl w:val="1"/>
        <w:keepNext w:val="0"/>
        <w:keepLines w:val="0"/>
      </w:pPr>
      <w:r>
        <w:rPr>
          <w:rFonts w:ascii="Helvetica Neue" w:hAnsi="Helvetica Neue" w:cs="Helvetica Neue" w:eastAsia="Helvetica Neue"/>
          <w:sz w:val="22"/>
        </w:rPr>
        <w:t xml:space="preserve">A disabled submit button cannot stop two browser tabs or two simultaneous requests. PostgreSQL uniqueness constraints protect network-and-handle ownership, network-and-wallet profiles and reuse of the same transaction reference. Conditional updates ensure that an operation changes the record only if the expected prior state still holds.</w:t>
      </w:r>
    </w:p>
    <w:p>
      <w:pPr>
        <w:spacing w:after="110" w:line="300" w:lineRule="auto"/>
        <w:jc w:val="both"/>
        <w:widowControl w:val="1"/>
        <w:keepNext w:val="0"/>
        <w:keepLines w:val="0"/>
      </w:pPr>
      <w:r>
        <w:rPr>
          <w:rFonts w:ascii="Helvetica Neue" w:hAnsi="Helvetica Neue" w:cs="Helvetica Neue" w:eastAsia="Helvetica Neue"/>
          <w:sz w:val="22"/>
        </w:rPr>
        <w:t xml:space="preserve">This choice moves essential correctness into the durable data layer. It also means integration tests need actual PostgreSQL behavior. A lightweight database substitute used during development failed concurrent-client checks and was removed from the supported setup. The final lifecycle tests ran against native PostgreSQL. </w:t>
      </w:r>
      <w:hyperlink w:anchor="ref_P1">
        <w:r>
          <w:rPr>
            <w:rFonts w:ascii="Helvetica Neue" w:hAnsi="Helvetica Neue" w:cs="Helvetica Neue" w:eastAsia="Helvetica Neue"/>
            <w:color w:val="235E8A"/>
          </w:rPr>
          <w:t xml:space="preserve">[P1]</w:t>
        </w:r>
      </w:hyperlink>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Separate payment from acknowledgment</w:t>
      </w:r>
    </w:p>
    <w:p>
      <w:pPr>
        <w:spacing w:after="110" w:line="300" w:lineRule="auto"/>
        <w:jc w:val="both"/>
        <w:widowControl w:val="1"/>
        <w:keepNext w:val="0"/>
        <w:keepLines w:val="0"/>
      </w:pPr>
      <w:r>
        <w:rPr>
          <w:rFonts w:ascii="Helvetica Neue" w:hAnsi="Helvetica Neue" w:cs="Helvetica Neue" w:eastAsia="Helvetica Neue"/>
          <w:sz w:val="22"/>
        </w:rPr>
        <w:t xml:space="preserve">A transfer says that value moved. An acknowledgment says what the issuer is asserting. Dotneet verifies payment first, then requests a signature over the stored contribution and payment facts. A complete receipt requires both.</w:t>
      </w:r>
    </w:p>
    <w:p>
      <w:pPr>
        <w:spacing w:after="110" w:line="300" w:lineRule="auto"/>
        <w:jc w:val="both"/>
        <w:widowControl w:val="1"/>
        <w:keepNext w:val="0"/>
        <w:keepLines w:val="0"/>
      </w:pPr>
      <w:r>
        <w:rPr>
          <w:rFonts w:ascii="Helvetica Neue" w:hAnsi="Helvetica Neue" w:cs="Helvetica Neue" w:eastAsia="Helvetica Neue"/>
          <w:sz w:val="22"/>
        </w:rPr>
        <w:t xml:space="preserve">This sequence introduces an extra approval and a possible paid-but-unsigned state. That is a real usability cost. It is preferable to silently pretending that a transfer alone certifies a contribution. The interface must preserve progress and allow signing to resume without paying again.</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Store signed statements off chain</w:t>
      </w:r>
    </w:p>
    <w:p>
      <w:pPr>
        <w:spacing w:after="110" w:line="300" w:lineRule="auto"/>
        <w:jc w:val="both"/>
        <w:widowControl w:val="1"/>
        <w:keepNext w:val="0"/>
        <w:keepLines w:val="0"/>
      </w:pPr>
      <w:r>
        <w:rPr>
          <w:rFonts w:ascii="Helvetica Neue" w:hAnsi="Helvetica Neue" w:cs="Helvetica Neue" w:eastAsia="Helvetica Neue"/>
          <w:sz w:val="22"/>
        </w:rPr>
        <w:t xml:space="preserve">The MVP stores the exact signed message, public key and signature in the application database. This supports inspection and export while keeping sensitive work descriptions out of transaction data. It also avoids building a separate on-chain receipt protocol during the sprint.</w:t>
      </w:r>
    </w:p>
    <w:p>
      <w:pPr>
        <w:spacing w:after="110" w:line="300" w:lineRule="auto"/>
        <w:jc w:val="both"/>
        <w:widowControl w:val="1"/>
        <w:keepNext w:val="0"/>
        <w:keepLines w:val="0"/>
      </w:pPr>
      <w:r>
        <w:rPr>
          <w:rFonts w:ascii="Helvetica Neue" w:hAnsi="Helvetica Neue" w:cs="Helvetica Neue" w:eastAsia="Helvetica Neue"/>
          <w:sz w:val="22"/>
        </w:rPr>
        <w:t xml:space="preserve">The tradeoff is availability: a hosted receipt can become inaccessible if the service fails. Exporting its signed content helps preserve the statement, but an offline copy cannot reveal later withdrawal or publication changes by itself. Portability of data is not the same as universal recognition by other apps.</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Make publication the recipient's choice</w:t>
      </w:r>
    </w:p>
    <w:p>
      <w:pPr>
        <w:spacing w:after="110" w:line="300" w:lineRule="auto"/>
        <w:jc w:val="both"/>
        <w:widowControl w:val="1"/>
        <w:keepNext w:val="0"/>
        <w:keepLines w:val="0"/>
      </w:pPr>
      <w:r>
        <w:rPr>
          <w:rFonts w:ascii="Helvetica Neue" w:hAnsi="Helvetica Neue" w:cs="Helvetica Neue" w:eastAsia="Helvetica Neue"/>
          <w:sz w:val="22"/>
        </w:rPr>
        <w:t xml:space="preserve">The person receiving the acknowledgment decides whether to associate it with a public profile. This respects the possibility that payment amounts, wallet addresses or contribution details are sensitive. The builder cannot publish on the recipient's behalf.</w:t>
      </w:r>
    </w:p>
    <w:p>
      <w:pPr>
        <w:spacing w:after="110" w:line="300" w:lineRule="auto"/>
        <w:jc w:val="both"/>
        <w:widowControl w:val="1"/>
        <w:keepNext w:val="0"/>
        <w:keepLines w:val="0"/>
      </w:pPr>
      <w:r>
        <w:rPr>
          <w:rFonts w:ascii="Helvetica Neue" w:hAnsi="Helvetica Neue" w:cs="Helvetica Neue" w:eastAsia="Helvetica Neue"/>
          <w:sz w:val="22"/>
        </w:rPr>
        <w:t xml:space="preserve">This decision can reduce the number of visible receipts, so raw public counts may understate actual use. That is an acceptable product tradeoff. Measure private core activity only through appropriate aggregate methods and consent; do not expose private records to make a growth chart look stronger.</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Prefer records to a reputation score</w:t>
      </w:r>
    </w:p>
    <w:p>
      <w:pPr>
        <w:spacing w:after="110" w:line="300" w:lineRule="auto"/>
        <w:jc w:val="both"/>
        <w:widowControl w:val="1"/>
        <w:keepNext w:val="0"/>
        <w:keepLines w:val="0"/>
      </w:pPr>
      <w:r>
        <w:rPr>
          <w:rFonts w:ascii="Helvetica Neue" w:hAnsi="Helvetica Neue" w:cs="Helvetica Neue" w:eastAsia="Helvetica Neue"/>
          <w:sz w:val="22"/>
        </w:rPr>
        <w:t xml:space="preserve">A score would require a defined outcome, a model, calibration and defenses against manipulation. More payments or more wallets do not automatically imply better work. The MVP instead gives readers the underlying facts and a genuine empty state for newcomers.</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Keep integrations small</w:t>
      </w:r>
    </w:p>
    <w:p>
      <w:pPr>
        <w:spacing w:after="110" w:line="300" w:lineRule="auto"/>
        <w:jc w:val="both"/>
        <w:widowControl w:val="1"/>
        <w:keepNext w:val="0"/>
        <w:keepLines w:val="0"/>
      </w:pPr>
      <w:r>
        <w:rPr>
          <w:rFonts w:ascii="Helvetica Neue" w:hAnsi="Helvetica Neue" w:cs="Helvetica Neue" w:eastAsia="Helvetica Neue"/>
          <w:sz w:val="22"/>
        </w:rPr>
        <w:t xml:space="preserve">The public read API and a thin example can demonstrate that another application can display permitted information. A large write SDK, partner program, marketplace or cross-chain layer would increase coordination and testing demands. First prove that someone wants the record; then learn which integration they need. </w:t>
      </w:r>
      <w:hyperlink w:anchor="ref_P3">
        <w:r>
          <w:rPr>
            <w:rFonts w:ascii="Helvetica Neue" w:hAnsi="Helvetica Neue" w:cs="Helvetica Neue" w:eastAsia="Helvetica Neue"/>
            <w:color w:val="235E8A"/>
          </w:rPr>
          <w:t xml:space="preserve">[P3]</w:t>
        </w:r>
      </w:hyperlink>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8 The technical flow and its safety properties</w:t>
      </w:r>
      <w:bookmarkStart w:id="109" w:name="chapter_8"/>
      <w:bookmarkEnd w:id="109"/>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Proving wallet control</w:t>
      </w:r>
    </w:p>
    <w:p>
      <w:pPr>
        <w:spacing w:after="110" w:line="300" w:lineRule="auto"/>
        <w:jc w:val="both"/>
        <w:widowControl w:val="1"/>
        <w:keepNext w:val="0"/>
        <w:keepLines w:val="0"/>
      </w:pPr>
      <w:r>
        <w:rPr>
          <w:rFonts w:ascii="Helvetica Neue" w:hAnsi="Helvetica Neue" w:cs="Helvetica Neue" w:eastAsia="Helvetica Neue"/>
          <w:sz w:val="22"/>
        </w:rPr>
        <w:t xml:space="preserve">Authentication answers which wallet has demonstrated control. Authorization answers what that authenticated wallet may do. Signing in should not grant permission to edit another profile or publish someone else's receipt.</w:t>
      </w:r>
    </w:p>
    <w:p>
      <w:pPr>
        <w:spacing w:after="110" w:line="300" w:lineRule="auto"/>
        <w:jc w:val="both"/>
        <w:widowControl w:val="1"/>
        <w:keepNext w:val="0"/>
        <w:keepLines w:val="0"/>
      </w:pPr>
      <w:r>
        <w:rPr>
          <w:rFonts w:ascii="Helvetica Neue" w:hAnsi="Helvetica Neue" w:cs="Helvetica Neue" w:eastAsia="Helvetica Neue"/>
          <w:sz w:val="22"/>
        </w:rPr>
        <w:t xml:space="preserve">The server generates a challenge containing the expected wallet, application origin, network, time and random nonce. A nonce is a one-use unpredictable value. The current challenge expires after five minutes and is also bound to the initiating browser. Nimiq Pay signs the exact message after approval. The server checks the signature, derives the wallet from the public key and compares it with the expected wallet.</w:t>
      </w:r>
    </w:p>
    <w:p>
      <w:pPr>
        <w:spacing w:after="110" w:line="300" w:lineRule="auto"/>
        <w:jc w:val="both"/>
        <w:widowControl w:val="1"/>
        <w:keepNext w:val="0"/>
        <w:keepLines w:val="0"/>
      </w:pPr>
      <w:r>
        <w:rPr>
          <w:rFonts w:ascii="Helvetica Neue" w:hAnsi="Helvetica Neue" w:cs="Helvetica Neue" w:eastAsia="Helvetica Neue"/>
          <w:sz w:val="22"/>
        </w:rPr>
        <w:t xml:space="preserve">On success, the challenge is consumed atomically and a session is established. Atomically means competing requests cannot both successfully consume the same unused challenge. The browser receives an HttpOnly session cookie; the database stores a hash of its random token. Sessions currently expire after 24 hours. Same-origin checks and HTTPS cookie settings protect the surrounding web flow. </w:t>
      </w:r>
      <w:hyperlink w:anchor="ref_P3">
        <w:r>
          <w:rPr>
            <w:rFonts w:ascii="Helvetica Neue" w:hAnsi="Helvetica Neue" w:cs="Helvetica Neue" w:eastAsia="Helvetica Neue"/>
            <w:color w:val="235E8A"/>
          </w:rPr>
          <w:t xml:space="preserve">[P3]</w:t>
        </w:r>
      </w:hyperlink>
    </w:p>
    <w:p>
      <w:pPr>
        <w:spacing w:after="110" w:line="300" w:lineRule="auto"/>
        <w:jc w:val="both"/>
        <w:widowControl w:val="1"/>
        <w:keepNext w:val="0"/>
        <w:keepLines w:val="0"/>
      </w:pPr>
      <w:r>
        <w:rPr>
          <w:rFonts w:ascii="Helvetica Neue" w:hAnsi="Helvetica Neue" w:cs="Helvetica Neue" w:eastAsia="Helvetica Neue"/>
          <w:sz w:val="22"/>
        </w:rPr>
        <w:t xml:space="preserve">The signature algorithm validates exact bytes, not the visual similarity of two messages. The implementation uses the Nimiq signed-message framing and tested Ed25519 verification. Acknowledgment messages use stable field ordering and ASCII-escaped JSON. Avoid manually changing punctuation, spacing or encoding in these contracts without compatible tests and versioning.</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Creating and approving a payment intent</w:t>
      </w:r>
    </w:p>
    <w:p>
      <w:pPr>
        <w:spacing w:after="110" w:line="300" w:lineRule="auto"/>
        <w:jc w:val="both"/>
        <w:widowControl w:val="1"/>
        <w:keepNext w:val="0"/>
        <w:keepLines w:val="0"/>
      </w:pPr>
      <w:r>
        <w:rPr>
          <w:rFonts w:ascii="Helvetica Neue" w:hAnsi="Helvetica Neue" w:cs="Helvetica Neue" w:eastAsia="Helvetica Neue"/>
          <w:sz w:val="22"/>
        </w:rPr>
        <w:t xml:space="preserve">The server creates the draft before asking the wallet to send. It receives an idempotency key: an identifier that lets an identical retry refer to the same intended draft. Reusing the key with different content should not silently change the original intent.</w:t>
      </w:r>
    </w:p>
    <w:p>
      <w:pPr>
        <w:spacing w:after="110" w:line="300" w:lineRule="auto"/>
        <w:jc w:val="both"/>
        <w:widowControl w:val="1"/>
        <w:keepNext w:val="0"/>
        <w:keepLines w:val="0"/>
      </w:pPr>
      <w:r>
        <w:rPr>
          <w:rFonts w:ascii="Helvetica Neue" w:hAnsi="Helvetica Neue" w:cs="Helvetica Neue" w:eastAsia="Helvetica Neue"/>
          <w:sz w:val="22"/>
        </w:rPr>
        <w:t xml:space="preserve">Amounts are represented as integer Luna. One NIM equals 100,000 Luna, so the fictional 50 NIM example is 5,000,000 Luna. The form accepts a decimal string; the server parses it exactly instead of relying on floating-point rounding. Large integer values are returned in JSON as strings. </w:t>
      </w:r>
      <w:hyperlink w:anchor="ref_S12">
        <w:r>
          <w:rPr>
            <w:rFonts w:ascii="Helvetica Neue" w:hAnsi="Helvetica Neue" w:cs="Helvetica Neue" w:eastAsia="Helvetica Neue"/>
            <w:color w:val="235E8A"/>
          </w:rPr>
          <w:t xml:space="preserve">[S12]</w:t>
        </w:r>
      </w:hyperlink>
      <w:r>
        <w:rPr>
          <w:rFonts w:ascii="Helvetica Neue" w:hAnsi="Helvetica Neue" w:cs="Helvetica Neue" w:eastAsia="Helvetica Neue"/>
          <w:sz w:val="22"/>
        </w:rPr>
        <w:t xml:space="preserve"> </w:t>
      </w:r>
      <w:hyperlink w:anchor="ref_P4">
        <w:r>
          <w:rPr>
            <w:rFonts w:ascii="Helvetica Neue" w:hAnsi="Helvetica Neue" w:cs="Helvetica Neue" w:eastAsia="Helvetica Neue"/>
            <w:color w:val="235E8A"/>
          </w:rPr>
          <w:t xml:space="preserve">[P4]</w:t>
        </w:r>
      </w:hyperlink>
    </w:p>
    <w:p>
      <w:pPr>
        <w:spacing w:after="110" w:line="300" w:lineRule="auto"/>
        <w:jc w:val="both"/>
        <w:widowControl w:val="1"/>
        <w:keepNext w:val="0"/>
        <w:keepLines w:val="0"/>
      </w:pPr>
      <w:r>
        <w:rPr>
          <w:rFonts w:ascii="Helvetica Neue" w:hAnsi="Helvetica Neue" w:cs="Helvetica Neue" w:eastAsia="Helvetica Neue"/>
          <w:sz w:val="22"/>
        </w:rPr>
        <w:t xml:space="preserve">Before native payment approval, the server checks that the configured RPC is available on the expected network and records an attempt token. This does not guarantee the RPC will stay available. It avoids starting with a verifier already known to be unusable. The attempt token distinguishes this wallet request from an older or simultaneous attempt.</w:t>
      </w:r>
    </w:p>
    <w:p>
      <w:pPr>
        <w:spacing w:after="110" w:line="300" w:lineRule="auto"/>
        <w:jc w:val="both"/>
        <w:widowControl w:val="1"/>
        <w:keepNext w:val="0"/>
        <w:keepLines w:val="0"/>
      </w:pPr>
      <w:r>
        <w:rPr>
          <w:rFonts w:ascii="Helvetica Neue" w:hAnsi="Helvetica Neue" w:cs="Helvetica Neue" w:eastAsia="Helvetica Neue"/>
          <w:sz w:val="22"/>
        </w:rPr>
        <w:t xml:space="preserve">The wallet sends a basic NIM transaction containing the reference dotneet followed by the receipt identifier. A returned hash identifies a transaction; it is not proof of confirmation. The implementation also handles a strictly parsed serialized transaction result because native return compatibility remains a device-validation concern. Neither result bypasses the independent checks. </w:t>
      </w:r>
      <w:hyperlink w:anchor="ref_P4">
        <w:r>
          <w:rPr>
            <w:rFonts w:ascii="Helvetica Neue" w:hAnsi="Helvetica Neue" w:cs="Helvetica Neue" w:eastAsia="Helvetica Neue"/>
            <w:color w:val="235E8A"/>
          </w:rPr>
          <w:t xml:space="preserve">[P4]</w:t>
        </w:r>
      </w:hyperlink>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Independently checking the transaction</w:t>
      </w:r>
    </w:p>
    <w:p>
      <w:pPr>
        <w:spacing w:after="110" w:line="300" w:lineRule="auto"/>
        <w:jc w:val="both"/>
        <w:widowControl w:val="1"/>
        <w:keepNext w:val="0"/>
        <w:keepLines w:val="0"/>
      </w:pPr>
      <w:r>
        <w:rPr>
          <w:rFonts w:ascii="Helvetica Neue" w:hAnsi="Helvetica Neue" w:cs="Helvetica Neue" w:eastAsia="Helvetica Neue"/>
          <w:sz w:val="22"/>
        </w:rPr>
        <w:t xml:space="preserve">The server checks the configured network, transaction identity, sender, recipient, exact value and required receipt reference. It also checks supported account types, flags, successful execution and inclusion/confirmation information. Missing or malformed evidence leaves verification unavailable; it does not justify a success badge.</w:t>
      </w:r>
    </w:p>
    <w:p>
      <w:pPr>
        <w:spacing w:after="110" w:line="300" w:lineRule="auto"/>
        <w:jc w:val="both"/>
        <w:widowControl w:val="1"/>
        <w:keepNext w:val="0"/>
        <w:keepLines w:val="0"/>
      </w:pPr>
      <w:r>
        <w:rPr>
          <w:rFonts w:ascii="Helvetica Neue" w:hAnsi="Helvetica Neue" w:cs="Helvetica Neue" w:eastAsia="Helvetica Neue"/>
          <w:sz w:val="22"/>
        </w:rPr>
        <w:t xml:space="preserve">The current policy requires ten observed inclusion confirmations by default and stores the policy and check time. CONFIRMED means that this threshold was met when checked. It is not a claim that Dotneet has independently proved irreversible finality. There is no background reorganization monitor in this MVP. </w:t>
      </w:r>
      <w:hyperlink w:anchor="ref_P3">
        <w:r>
          <w:rPr>
            <w:rFonts w:ascii="Helvetica Neue" w:hAnsi="Helvetica Neue" w:cs="Helvetica Neue" w:eastAsia="Helvetica Neue"/>
            <w:color w:val="235E8A"/>
          </w:rPr>
          <w:t xml:space="preserve">[P3]</w:t>
        </w:r>
      </w:hyperlink>
      <w:r>
        <w:rPr>
          <w:rFonts w:ascii="Helvetica Neue" w:hAnsi="Helvetica Neue" w:cs="Helvetica Neue" w:eastAsia="Helvetica Neue"/>
          <w:sz w:val="22"/>
        </w:rPr>
        <w:t xml:space="preserve"> </w:t>
      </w:r>
      <w:hyperlink w:anchor="ref_P4">
        <w:r>
          <w:rPr>
            <w:rFonts w:ascii="Helvetica Neue" w:hAnsi="Helvetica Neue" w:cs="Helvetica Neue" w:eastAsia="Helvetica Neue"/>
            <w:color w:val="235E8A"/>
          </w:rPr>
          <w:t xml:space="preserve">[P4]</w:t>
        </w:r>
      </w:hyperlink>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Signing the acknowledgment</w:t>
      </w:r>
    </w:p>
    <w:p>
      <w:pPr>
        <w:spacing w:after="110" w:line="300" w:lineRule="auto"/>
        <w:jc w:val="both"/>
        <w:widowControl w:val="1"/>
        <w:keepNext w:val="0"/>
        <w:keepLines w:val="0"/>
      </w:pPr>
      <w:r>
        <w:rPr>
          <w:rFonts w:ascii="Helvetica Neue" w:hAnsi="Helvetica Neue" w:cs="Helvetica Neue" w:eastAsia="Helvetica Neue"/>
          <w:sz w:val="22"/>
        </w:rPr>
        <w:t xml:space="preserve">After the payment check succeeds, the server prepares a short-lived challenge over the stored receipt facts. The signed material binds the issuer, recipient, network, amount, statement, evidence URL, transaction hash and receipt identity. The server accepts a signature only from the expected issuer and only for the current valid challenge.</w:t>
      </w:r>
    </w:p>
    <w:p>
      <w:pPr>
        <w:spacing w:after="110" w:line="300" w:lineRule="auto"/>
        <w:jc w:val="both"/>
        <w:widowControl w:val="1"/>
        <w:keepNext w:val="0"/>
        <w:keepLines w:val="0"/>
      </w:pPr>
      <w:r>
        <w:rPr>
          <w:rFonts w:ascii="Helvetica Neue" w:hAnsi="Helvetica Neue" w:cs="Helvetica Neue" w:eastAsia="Helvetica Neue"/>
          <w:sz w:val="22"/>
        </w:rPr>
        <w:t xml:space="preserve">Changing the statement after signing would change what was signed. The implementation therefore protects the covered facts and uses conditional updates to avoid racing challenge replacement and signature submission. Publication changes visibility; it does not rewrite the original message.</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Recovering without accidentally paying twice</w:t>
      </w:r>
    </w:p>
    <w:tbl>
      <w:tblPr>
        <w:tblStyle w:val="Table8"/>
        <w:tblW w:w="10224"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Ind w:w="0" w:type="dxa"/>
      </w:tblPr>
      <w:tblGrid>
        <w:gridCol w:w="2454"/>
        <w:gridCol w:w="3783"/>
        <w:gridCol w:w="3987"/>
      </w:tblGrid>
      <w:tr>
        <w:trPr>
          <w:cantSplit w:val="1"/>
          <w:tblHeader/>
        </w:trPr>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Stored payment state</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Meaning</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Safe next action</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DRAFT</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Intent saved and no active wallet attempt</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Review, begin payment or cancel the unpaid draft</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AWAITING_WALLET</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Attempt recorded and result unresolved</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Await the result or reconcile the existing transfer</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SUBMITTED</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transaction reference has been attached</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Check that reference without sending again</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CONFIRMED</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Matching payment met the recorded check policy</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Complete the separate acknowledgment if needed</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CANCELLED</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An unpaid draft was explicitly cancelled</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Treat the draft as closed</w:t>
            </w:r>
          </w:p>
        </w:tc>
      </w:tr>
    </w:tbl>
    <w:p>
      <w:pPr>
        <w:spacing w:after="110" w:line="300" w:lineRule="auto"/>
        <w:jc w:val="both"/>
        <w:widowControl w:val="1"/>
        <w:keepNext w:val="0"/>
        <w:keepLines w:val="0"/>
      </w:pPr>
    </w:p>
    <w:p>
      <w:pPr>
        <w:spacing w:after="110" w:line="300" w:lineRule="auto"/>
        <w:jc w:val="both"/>
        <w:widowControl w:val="1"/>
        <w:keepNext w:val="0"/>
        <w:keepLines w:val="0"/>
      </w:pPr>
      <w:r>
        <w:rPr>
          <w:rFonts w:ascii="Helvetica Neue" w:hAnsi="Helvetica Neue" w:cs="Helvetica Neue" w:eastAsia="Helvetica Neue"/>
          <w:sz w:val="22"/>
        </w:rPr>
        <w:t xml:space="preserve">Pending and unavailable are verification outcomes, not additional stored payment states. Signature verification, publication and withdrawal are tracked separately. That separation allows a receipt to be paid but unsigned, complete but private, or public but withdrawn.</w:t>
      </w:r>
    </w:p>
    <w:p>
      <w:pPr>
        <w:spacing w:after="110" w:line="300" w:lineRule="auto"/>
        <w:jc w:val="both"/>
        <w:widowControl w:val="1"/>
        <w:keepNext w:val="0"/>
        <w:keepLines w:val="0"/>
      </w:pPr>
      <w:r>
        <w:rPr>
          <w:rFonts w:ascii="Helvetica Neue" w:hAnsi="Helvetica Neue" w:cs="Helvetica Neue" w:eastAsia="Helvetica Neue"/>
          <w:sz w:val="22"/>
        </w:rPr>
        <w:t xml:space="preserve">A timeout is ambiguous: the wallet may have sent the transfer before the response was lost. The system must not infer that no money moved. Only the exact supported native rejection case can reset the same attempt. Reconciliation validates a supplied transaction hash against the original intent and can recover an unsigned unfinished receipt without another transfer. Device testing must confirm the actual native error shapes. </w:t>
      </w:r>
      <w:hyperlink w:anchor="ref_P4">
        <w:r>
          <w:rPr>
            <w:rFonts w:ascii="Helvetica Neue" w:hAnsi="Helvetica Neue" w:cs="Helvetica Neue" w:eastAsia="Helvetica Neue"/>
            <w:color w:val="235E8A"/>
          </w:rPr>
          <w:t xml:space="preserve">[P4]</w:t>
        </w:r>
      </w:hyperlink>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9 Data records APIs and the code map</w:t>
      </w:r>
      <w:bookmarkStart w:id="110" w:name="chapter_9"/>
      <w:bookmarkEnd w:id="110"/>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Five new record types</w:t>
      </w:r>
    </w:p>
    <w:tbl>
      <w:tblPr>
        <w:tblStyle w:val="Table8"/>
        <w:tblW w:w="10224"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Ind w:w="0" w:type="dxa"/>
      </w:tblPr>
      <w:tblGrid>
        <w:gridCol w:w="2454"/>
        <w:gridCol w:w="3783"/>
        <w:gridCol w:w="3987"/>
      </w:tblGrid>
      <w:tr>
        <w:trPr>
          <w:cantSplit w:val="1"/>
          <w:tblHeader/>
        </w:trPr>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Record</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Plain-language role</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Important relationship or rule</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WalletProfile</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Wallet-bound name and public profile</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One wallet and one handle per configured network</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AuthChallenge</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Temporary proof request</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Expires and can be consumed only once</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WalletSession</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Remembered authenticated wallet</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Random token hash and expiry</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ContributionReceipt</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Contribution, payment progress and signature facts</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Immutable parties and protected proof/visibility transitions</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RateLimitBucket</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Short-lived request counter</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Limits selected actions and public reads</w:t>
            </w:r>
          </w:p>
        </w:tc>
      </w:tr>
    </w:tbl>
    <w:p>
      <w:pPr>
        <w:spacing w:after="110" w:line="300" w:lineRule="auto"/>
        <w:jc w:val="both"/>
        <w:widowControl w:val="1"/>
        <w:keepNext w:val="0"/>
        <w:keepLines w:val="0"/>
      </w:pPr>
    </w:p>
    <w:p>
      <w:pPr>
        <w:spacing w:after="110" w:line="300" w:lineRule="auto"/>
        <w:jc w:val="both"/>
        <w:widowControl w:val="1"/>
        <w:keepNext w:val="0"/>
        <w:keepLines w:val="0"/>
      </w:pPr>
      <w:r>
        <w:rPr>
          <w:rFonts w:ascii="Helvetica Neue" w:hAnsi="Helvetica Neue" w:cs="Helvetica Neue" w:eastAsia="Helvetica Neue"/>
          <w:sz w:val="22"/>
        </w:rPr>
        <w:t xml:space="preserve">Legacy identity and endorsement tables remain separate. Their existence is not proof that they satisfy the new verification rules. A database migration is a controlled schema change; it must not silently relabel old endorsements as verified contribution receipts.</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An API is a contract between programs</w:t>
      </w:r>
    </w:p>
    <w:p>
      <w:pPr>
        <w:spacing w:after="110" w:line="300" w:lineRule="auto"/>
        <w:jc w:val="both"/>
        <w:widowControl w:val="1"/>
        <w:keepNext w:val="0"/>
        <w:keepLines w:val="0"/>
      </w:pPr>
      <w:r>
        <w:rPr>
          <w:rFonts w:ascii="Helvetica Neue" w:hAnsi="Helvetica Neue" w:cs="Helvetica Neue" w:eastAsia="Helvetica Neue"/>
          <w:sz w:val="22"/>
        </w:rPr>
        <w:t xml:space="preserve">The interface uses HTTP requests to communicate with the server. Another application can use the public API to retrieve permitted facts. JSON is the structured text format used for those responses. The contract includes the fields, their meaning, possible errors and visibility rules.</w:t>
      </w:r>
    </w:p>
    <w:p>
      <w:pPr>
        <w:spacing w:after="110" w:line="300" w:lineRule="auto"/>
        <w:jc w:val="both"/>
        <w:widowControl w:val="1"/>
        <w:keepNext w:val="0"/>
        <w:keepLines w:val="0"/>
      </w:pPr>
      <w:r>
        <w:rPr>
          <w:rFonts w:ascii="Helvetica Neue" w:hAnsi="Helvetica Neue" w:cs="Helvetica Neue" w:eastAsia="Helvetica Neue"/>
          <w:sz w:val="22"/>
        </w:rPr>
        <w:t xml:space="preserve">The public endpoints include GET /api/v1/profiles/{handle}, GET /api/v1/receipts/{id} and GET /api/v1/handles/{handle}. The last endpoint checks availability; it does not prove ownership of a person or brand. Public profiles include only eligible public records and cap the displayed history. Current displayed counts should not be described as lifetime totals.</w:t>
      </w:r>
    </w:p>
    <w:p>
      <w:pPr>
        <w:spacing w:after="110" w:line="300" w:lineRule="auto"/>
        <w:jc w:val="both"/>
        <w:widowControl w:val="1"/>
        <w:keepNext w:val="0"/>
        <w:keepLines w:val="0"/>
      </w:pPr>
      <w:r>
        <w:rPr>
          <w:rFonts w:ascii="Helvetica Neue" w:hAnsi="Helvetica Neue" w:cs="Helvetica Neue" w:eastAsia="Helvetica Neue"/>
          <w:sz w:val="22"/>
        </w:rPr>
        <w:t xml:space="preserve">Protected endpoints create challenges, claim names, edit the current profile and advance receipts. They require the correct authenticated relationship and same-origin writes. Public reads allow noncredentialed cross-origin access, commonly called CORS. This permits another website to read public data; it does not grant that website permission to make private changes.</w:t>
      </w:r>
    </w:p>
    <w:p>
      <w:pPr>
        <w:spacing w:after="110" w:line="300" w:lineRule="auto"/>
        <w:jc w:val="both"/>
        <w:widowControl w:val="1"/>
        <w:keepNext w:val="0"/>
        <w:keepLines w:val="0"/>
      </w:pPr>
      <w:r>
        <w:rPr>
          <w:rFonts w:ascii="Helvetica Neue" w:hAnsi="Helvetica Neue" w:cs="Helvetica Neue" w:eastAsia="Helvetica Neue"/>
          <w:sz w:val="22"/>
        </w:rPr>
        <w:t xml:space="preserve">Versioning, such as the v1 in the public path, makes a contract's generation explicit. It is still necessary to document changes and avoid breaking consumers unexpectedly. An SDK is a convenience wrapper around the contract. It does not create interoperability if the underlying meanings differ. </w:t>
      </w:r>
      <w:hyperlink w:anchor="ref_P4">
        <w:r>
          <w:rPr>
            <w:rFonts w:ascii="Helvetica Neue" w:hAnsi="Helvetica Neue" w:cs="Helvetica Neue" w:eastAsia="Helvetica Neue"/>
            <w:color w:val="235E8A"/>
          </w:rPr>
          <w:t xml:space="preserve">[P4]</w:t>
        </w:r>
      </w:hyperlink>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Where to read the implementation</w:t>
      </w:r>
    </w:p>
    <w:tbl>
      <w:tblPr>
        <w:tblStyle w:val="Table3"/>
        <w:tblW w:w="10224"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Ind w:w="0" w:type="dxa"/>
      </w:tblPr>
      <w:tblGrid>
        <w:gridCol w:w="3578"/>
        <w:gridCol w:w="6646"/>
      </w:tblGrid>
      <w:tr>
        <w:trPr>
          <w:cantSplit w:val="1"/>
          <w:tblHeader/>
        </w:trPr>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Path within the source archive</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What to study there</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src/app</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Page entry points and HTTP route handlers</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src/components/ReceiptView.tsx</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How the user sees and advances receipt states</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src/components/WalletDashboard.tsx</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Sign-in, identity and returning-user experience</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src/lib/domain.ts</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Names, amounts, evidence links and canonical message rules</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src/lib/server/auth.ts</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Challenges, sessions and authenticated wallet identity</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src/lib/server/receipts.ts</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Permissions and the receipt lifecycle</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src/lib/server/rpc.ts and crypto.ts</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Transaction and signature verification</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prisma/schema.prisma</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Records, relationships and constraints</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tests and examples</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Executable checks and a small public integration example</w:t>
            </w:r>
          </w:p>
        </w:tc>
      </w:tr>
    </w:tbl>
    <w:p>
      <w:pPr>
        <w:spacing w:after="110" w:line="300" w:lineRule="auto"/>
        <w:jc w:val="both"/>
        <w:widowControl w:val="1"/>
        <w:keepNext w:val="0"/>
        <w:keepLines w:val="0"/>
      </w:pPr>
    </w:p>
    <w:p>
      <w:pPr>
        <w:spacing w:after="110" w:line="300" w:lineRule="auto"/>
        <w:jc w:val="both"/>
        <w:widowControl w:val="1"/>
        <w:keepNext w:val="0"/>
        <w:keepLines w:val="0"/>
      </w:pPr>
      <w:r>
        <w:rPr>
          <w:rFonts w:ascii="Helvetica Neue" w:hAnsi="Helvetica Neue" w:cs="Helvetica Neue" w:eastAsia="Helvetica Neue"/>
          <w:sz w:val="22"/>
        </w:rPr>
        <w:t xml:space="preserve">Start with one user action and follow it through those files. For example, find the publish button, its request, the route handler, the ownership check and the database update. This is more useful for learning than trying to read the repository alphabetically.</w:t>
      </w:r>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10 The design system and why it matters</w:t>
      </w:r>
      <w:bookmarkStart w:id="111" w:name="chapter_10"/>
      <w:bookmarkEnd w:id="111"/>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A design system is a shared set of decisions</w:t>
      </w:r>
    </w:p>
    <w:p>
      <w:pPr>
        <w:spacing w:after="110" w:line="300" w:lineRule="auto"/>
        <w:jc w:val="both"/>
        <w:widowControl w:val="1"/>
        <w:keepNext w:val="0"/>
        <w:keepLines w:val="0"/>
      </w:pPr>
      <w:r>
        <w:rPr>
          <w:rFonts w:ascii="Helvetica Neue" w:hAnsi="Helvetica Neue" w:cs="Helvetica Neue" w:eastAsia="Helvetica Neue"/>
          <w:sz w:val="22"/>
        </w:rPr>
        <w:t xml:space="preserve">The design system defines how the product communicates and how repeated interface elements behave. It includes color roles, typography, spacing, controls, error states and writing rules. It is more than a color palette: a pending payment needs consistent meaning, wording and available actions everywhere it appears.</w:t>
      </w:r>
    </w:p>
    <w:p>
      <w:pPr>
        <w:spacing w:after="110" w:line="300" w:lineRule="auto"/>
        <w:jc w:val="both"/>
        <w:widowControl w:val="1"/>
        <w:keepNext w:val="0"/>
        <w:keepLines w:val="0"/>
      </w:pPr>
      <w:r>
        <w:rPr>
          <w:rFonts w:ascii="Helvetica Neue" w:hAnsi="Helvetica Neue" w:cs="Helvetica Neue" w:eastAsia="Helvetica Neue"/>
          <w:sz w:val="22"/>
        </w:rPr>
        <w:t xml:space="preserve">The delivered system uses a dark navy background, light paper-like receipt surfaces and a lime action color. These are design choices intended to make the record and the next action easy to distinguish. They are not evidence that users will trust the product more. The interface uses common fallback fonts and shared components to keep implementation manageable. </w:t>
      </w:r>
      <w:hyperlink w:anchor="ref_P5">
        <w:r>
          <w:rPr>
            <w:rFonts w:ascii="Helvetica Neue" w:hAnsi="Helvetica Neue" w:cs="Helvetica Neue" w:eastAsia="Helvetica Neue"/>
            <w:color w:val="235E8A"/>
          </w:rPr>
          <w:t xml:space="preserve">[P5]</w:t>
        </w:r>
      </w:hyperlink>
    </w:p>
    <w:p>
      <w:pPr>
        <w:spacing w:after="110" w:line="300" w:lineRule="auto"/>
        <w:jc w:val="both"/>
        <w:widowControl w:val="1"/>
        <w:keepNext w:val="0"/>
        <w:keepLines w:val="0"/>
      </w:pPr>
      <w:r>
        <w:rPr>
          <w:rFonts w:ascii="Helvetica Neue" w:hAnsi="Helvetica Neue" w:cs="Helvetica Neue" w:eastAsia="Helvetica Neue"/>
          <w:sz w:val="22"/>
        </w:rPr>
        <w:t xml:space="preserve">The 41 semantic tokens include roles such as primary text, panel surface and primary action. A token is a named reusable value. If a color needs to change, updating its semantic role can propagate across components. Some larger layout and display-type choices remain in the global stylesheet, so the system is not yet completely tokenized.</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Meaning must survive visual refinement</w:t>
      </w:r>
    </w:p>
    <w:p>
      <w:pPr>
        <w:spacing w:after="110" w:line="300" w:lineRule="auto"/>
        <w:jc w:val="both"/>
        <w:widowControl w:val="1"/>
        <w:keepNext w:val="0"/>
        <w:keepLines w:val="0"/>
      </w:pPr>
      <w:r>
        <w:rPr>
          <w:rFonts w:ascii="Helvetica Neue" w:hAnsi="Helvetica Neue" w:cs="Helvetica Neue" w:eastAsia="Helvetica Neue"/>
          <w:sz w:val="22"/>
        </w:rPr>
        <w:t xml:space="preserve">Use precise labels: signature checked, payment pending, verification unavailable, private or withdrawn. A green badge should never transform a wallet into a verified human. A celebration should not appear before the underlying operation has succeeded. Loading and failure states deserve the same attention as the successful receipt.</w:t>
      </w:r>
    </w:p>
    <w:p>
      <w:pPr>
        <w:spacing w:after="110" w:line="300" w:lineRule="auto"/>
        <w:jc w:val="both"/>
        <w:widowControl w:val="1"/>
        <w:keepNext w:val="0"/>
        <w:keepLines w:val="0"/>
      </w:pPr>
      <w:r>
        <w:rPr>
          <w:rFonts w:ascii="Helvetica Neue" w:hAnsi="Helvetica Neue" w:cs="Helvetica Neue" w:eastAsia="Helvetica Neue"/>
          <w:sz w:val="22"/>
        </w:rPr>
        <w:t xml:space="preserve">The shared gallery is a practical inspection tool. Look at buttons, fields, notices and receipt states together, then check their use on the real pages. The local review covered limited focus, labeling and narrow-width behavior; it was not a complete accessibility audit. Further work should include keyboard navigation, readable contrast, screen readers, long text and native mobile states.</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Reusing the system beyond the website</w:t>
      </w:r>
    </w:p>
    <w:p>
      <w:pPr>
        <w:spacing w:after="110" w:line="300" w:lineRule="auto"/>
        <w:jc w:val="both"/>
        <w:widowControl w:val="1"/>
        <w:keepNext w:val="0"/>
        <w:keepLines w:val="0"/>
      </w:pPr>
      <w:r>
        <w:rPr>
          <w:rFonts w:ascii="Helvetica Neue" w:hAnsi="Helvetica Neue" w:cs="Helvetica Neue" w:eastAsia="Helvetica Neue"/>
          <w:sz w:val="22"/>
        </w:rPr>
        <w:t xml:space="preserve">The package contains an editable wordmark and ten SVG layouts for slides, social graphics and demo-video frames. An SVG is a scalable graphic format. These are representative templates, not a finished presentation or native PowerPoint master set. The same colors, terminology and hierarchy should carry across formats, while font sizes and composition change for the medium.</w:t>
      </w:r>
    </w:p>
    <w:p>
      <w:pPr>
        <w:spacing w:after="110" w:line="300" w:lineRule="auto"/>
        <w:jc w:val="both"/>
        <w:widowControl w:val="1"/>
        <w:keepNext w:val="0"/>
        <w:keepLines w:val="0"/>
      </w:pPr>
      <w:r>
        <w:rPr>
          <w:rFonts w:ascii="Helvetica Neue" w:hAnsi="Helvetica Neue" w:cs="Helvetica Neue" w:eastAsia="Helvetica Neue"/>
          <w:sz w:val="22"/>
        </w:rPr>
        <w:t xml:space="preserve">Claude's refinement handoff asks for shared improvements to tokens, components, pages and documentation. A prettier landing page is not enough if the payment screen becomes harder to understand. OpenCode's handoff focuses on engineering continuation in Linux. Neither agent should be assumed to have the other agent's files, credentials or browser session; provide the package explicitly. </w:t>
      </w:r>
      <w:hyperlink w:anchor="ref_P5">
        <w:r>
          <w:rPr>
            <w:rFonts w:ascii="Helvetica Neue" w:hAnsi="Helvetica Neue" w:cs="Helvetica Neue" w:eastAsia="Helvetica Neue"/>
            <w:color w:val="235E8A"/>
          </w:rPr>
          <w:t xml:space="preserve">[P5]</w:t>
        </w:r>
      </w:hyperlink>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11 What the tests prove and what still needs work</w:t>
      </w:r>
      <w:bookmarkStart w:id="112" w:name="chapter_11"/>
      <w:bookmarkEnd w:id="112"/>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Read test evidence at the right level</w:t>
      </w:r>
    </w:p>
    <w:p>
      <w:pPr>
        <w:spacing w:after="110" w:line="300" w:lineRule="auto"/>
        <w:jc w:val="both"/>
        <w:widowControl w:val="1"/>
        <w:keepNext w:val="0"/>
        <w:keepLines w:val="0"/>
      </w:pPr>
      <w:r>
        <w:rPr>
          <w:rFonts w:ascii="Helvetica Neue" w:hAnsi="Helvetica Neue" w:cs="Helvetica Neue" w:eastAsia="Helvetica Neue"/>
          <w:sz w:val="22"/>
        </w:rPr>
        <w:t xml:space="preserve">Unit tests check small rules in isolation, such as rejecting an invalid amount or a mismatched signature. Integration tests exercise connected parts, such as an HTTP request passing through authentication and PostgreSQL updates. A production build checks that the application compiles and generates its routes. A device test checks the actual host wallet and user interaction.</w:t>
      </w:r>
    </w:p>
    <w:p>
      <w:pPr>
        <w:spacing w:after="110" w:line="300" w:lineRule="auto"/>
        <w:jc w:val="both"/>
        <w:widowControl w:val="1"/>
        <w:keepNext w:val="0"/>
        <w:keepLines w:val="0"/>
      </w:pPr>
      <w:r>
        <w:rPr>
          <w:rFonts w:ascii="Helvetica Neue" w:hAnsi="Helvetica Neue" w:cs="Helvetica Neue" w:eastAsia="Helvetica Neue"/>
          <w:sz w:val="22"/>
        </w:rPr>
        <w:t xml:space="preserve">The delivered report records 41 passing unit tests and 13 passing HTTP/PostgreSQL lifecycle scenarios. The test runner reports 14 tests when it includes the parent suite. The integration tests used real PostgreSQL but synthetic wallets and a simulated RPC. Lint, type checking and the production build also passed. No real NIM was sent during those checks. </w:t>
      </w:r>
      <w:hyperlink w:anchor="ref_P1">
        <w:r>
          <w:rPr>
            <w:rFonts w:ascii="Helvetica Neue" w:hAnsi="Helvetica Neue" w:cs="Helvetica Neue" w:eastAsia="Helvetica Neue"/>
            <w:color w:val="235E8A"/>
          </w:rPr>
          <w:t xml:space="preserve">[P1]</w:t>
        </w:r>
      </w:hyperlink>
    </w:p>
    <w:p>
      <w:pPr>
        <w:spacing w:after="110" w:line="300" w:lineRule="auto"/>
        <w:jc w:val="both"/>
        <w:widowControl w:val="1"/>
        <w:keepNext w:val="0"/>
        <w:keepLines w:val="0"/>
      </w:pPr>
      <w:r>
        <w:rPr>
          <w:rFonts w:ascii="Helvetica Neue" w:hAnsi="Helvetica Neue" w:cs="Helvetica Neue" w:eastAsia="Helvetica Neue"/>
          <w:sz w:val="22"/>
        </w:rPr>
        <w:t xml:space="preserve">Those are valuable results: they exercise wrong signers, replay, permissions, duplicate requests, payment mismatches, consent and recovery contracts. They do not establish real native return shapes, real transaction indexing, device cookie behavior or the complete mobile payment journey.</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The next technical priorities</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1. Reproduce the environment in Linux with the supplied setup guide and a fresh development database. Install dependencies there rather than copying a macOS installation.</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2. Configure a matching indexed testnet RPC and use actual Nimiq Pay devices. Record device/app versions and exercise two test wallets through the complete flow.</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3. Test cancellation, timeouts, reloads, wallet changes, paid-but-unsigned recovery, publication and unpublication. A happy-path demonstration alone is insufficient.</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4. Rehearse migration against a copy of the intended existing database, with backup and restore checks. Both supplied migrations passed on an empty database; that is a different situation.</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5. Review HTTPS, cookies, secrets, retention, rate-limit behavior and operational monitoring before an authorized public release.</w:t>
      </w:r>
    </w:p>
    <w:p>
      <w:pPr>
        <w:spacing w:after="110" w:line="300" w:lineRule="auto"/>
        <w:jc w:val="both"/>
        <w:widowControl w:val="1"/>
        <w:keepNext w:val="0"/>
        <w:keepLines w:val="0"/>
      </w:pPr>
      <w:r>
        <w:rPr>
          <w:rFonts w:ascii="Helvetica Neue" w:hAnsi="Helvetica Neue" w:cs="Helvetica Neue" w:eastAsia="Helvetica Neue"/>
          <w:sz w:val="22"/>
        </w:rPr>
        <w:t xml:space="preserve">The source archive is a local handoff, not an update already pushed to GitHub or deployed to the public site. The official rules require public MIT-licensed source and a functioning Mini App. The delivered archive has no root LICENSE file, so review licensing and attribution and add the appropriate license before submission. That is a submission-preparation recommendation; this guide does not change the repository. </w:t>
      </w:r>
      <w:hyperlink w:anchor="ref_S2">
        <w:r>
          <w:rPr>
            <w:rFonts w:ascii="Helvetica Neue" w:hAnsi="Helvetica Neue" w:cs="Helvetica Neue" w:eastAsia="Helvetica Neue"/>
            <w:color w:val="235E8A"/>
          </w:rPr>
          <w:t xml:space="preserve">[S2]</w:t>
        </w:r>
      </w:hyperlink>
      <w:r>
        <w:rPr>
          <w:rFonts w:ascii="Helvetica Neue" w:hAnsi="Helvetica Neue" w:cs="Helvetica Neue" w:eastAsia="Helvetica Neue"/>
          <w:sz w:val="22"/>
        </w:rPr>
        <w:t xml:space="preserve"> </w:t>
      </w:r>
      <w:hyperlink w:anchor="ref_P1">
        <w:r>
          <w:rPr>
            <w:rFonts w:ascii="Helvetica Neue" w:hAnsi="Helvetica Neue" w:cs="Helvetica Neue" w:eastAsia="Helvetica Neue"/>
            <w:color w:val="235E8A"/>
          </w:rPr>
          <w:t xml:space="preserve">[P1]</w:t>
        </w:r>
      </w:hyperlink>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Improve the product by testing a small real scenario</w:t>
      </w:r>
    </w:p>
    <w:p>
      <w:pPr>
        <w:spacing w:after="110" w:line="300" w:lineRule="auto"/>
        <w:jc w:val="both"/>
        <w:widowControl w:val="1"/>
        <w:keepNext w:val="0"/>
        <w:keepLines w:val="0"/>
      </w:pPr>
      <w:r>
        <w:rPr>
          <w:rFonts w:ascii="Helvetica Neue" w:hAnsi="Helvetica Neue" w:cs="Helvetica Neue" w:eastAsia="Helvetica Neue"/>
          <w:sz w:val="22"/>
        </w:rPr>
        <w:t xml:space="preserve">Recruit a few independent builders and contributors around genuinely useful work. Ask about the last time they paid for help, how they recorded it and whether they later needed to show that work. Specific past examples are more informative than asking whether they like the idea.</w:t>
      </w:r>
    </w:p>
    <w:p>
      <w:pPr>
        <w:spacing w:after="110" w:line="300" w:lineRule="auto"/>
        <w:jc w:val="both"/>
        <w:widowControl w:val="1"/>
        <w:keepNext w:val="0"/>
        <w:keepLines w:val="0"/>
      </w:pPr>
      <w:r>
        <w:rPr>
          <w:rFonts w:ascii="Helvetica Neue" w:hAnsi="Helvetica Neue" w:cs="Helvetica Neue" w:eastAsia="Helvetica Neue"/>
          <w:sz w:val="22"/>
        </w:rPr>
        <w:t xml:space="preserve">Observe first-time users without immediately coaching them. Record where they hesitate, what they think a signature means and whether they understand publication. Let them explain the receipt in their own words. A person who completes the clicks but misunderstands what was verified has exposed an important design problem.</w:t>
      </w:r>
    </w:p>
    <w:p>
      <w:pPr>
        <w:spacing w:after="110" w:line="300" w:lineRule="auto"/>
        <w:jc w:val="both"/>
        <w:widowControl w:val="1"/>
        <w:keepNext w:val="0"/>
        <w:keepLines w:val="0"/>
      </w:pPr>
      <w:r>
        <w:rPr>
          <w:rFonts w:ascii="Helvetica Neue" w:hAnsi="Helvetica Neue" w:cs="Helvetica Neue" w:eastAsia="Helvetica Neue"/>
          <w:sz w:val="22"/>
        </w:rPr>
        <w:t xml:space="preserve">Use a modest evidence sheet: participant role, intended task, completed core actions, error encountered, assistance required, voluntary sharing and later reuse. Distinguish people from wallets, testnet exercises from actual economic activity, and founder-funded rewards from independently funded contributions. Avoid collecting private receipt text or unnecessary wallet histories just to count usage.</w:t>
      </w:r>
    </w:p>
    <w:p>
      <w:pPr>
        <w:spacing w:after="110" w:line="300" w:lineRule="auto"/>
        <w:jc w:val="both"/>
        <w:widowControl w:val="1"/>
        <w:keepNext w:val="0"/>
        <w:keepLines w:val="0"/>
      </w:pPr>
      <w:r>
        <w:rPr>
          <w:rFonts w:ascii="Helvetica Neue" w:hAnsi="Helvetica Neue" w:cs="Helvetica Neue" w:eastAsia="Helvetica Neue"/>
          <w:sz w:val="22"/>
        </w:rPr>
        <w:t xml:space="preserve">For a competition demonstration, show the contribution context, native approval, independent check, acknowledgment and recipient choice. Label the network and all sample material. The official Cycle II announcement gives a closing time of 18 September 2026 at 23:59 UTC, which is 19 September at 00:59 in Lagos. Recheck the submission portal and leave a buffer. </w:t>
      </w:r>
      <w:hyperlink w:anchor="ref_S3">
        <w:r>
          <w:rPr>
            <w:rFonts w:ascii="Helvetica Neue" w:hAnsi="Helvetica Neue" w:cs="Helvetica Neue" w:eastAsia="Helvetica Neue"/>
            <w:color w:val="235E8A"/>
          </w:rPr>
          <w:t xml:space="preserve">[S3]</w:t>
        </w:r>
      </w:hyperlink>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12 A personal learning plan that fits the project</w:t>
      </w:r>
      <w:bookmarkStart w:id="113" w:name="chapter_12"/>
      <w:bookmarkEnd w:id="113"/>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Learn enough to make decisions and verify changes</w:t>
      </w:r>
    </w:p>
    <w:p>
      <w:pPr>
        <w:spacing w:after="110" w:line="300" w:lineRule="auto"/>
        <w:jc w:val="both"/>
        <w:widowControl w:val="1"/>
        <w:keepNext w:val="0"/>
        <w:keepLines w:val="0"/>
      </w:pPr>
      <w:r>
        <w:rPr>
          <w:rFonts w:ascii="Helvetica Neue" w:hAnsi="Helvetica Neue" w:cs="Helvetica Neue" w:eastAsia="Helvetica Neue"/>
          <w:sz w:val="22"/>
        </w:rPr>
        <w:t xml:space="preserve">Your first learning goal is not to memorize the whole stack. It is to explain the main user journey, recognize a broken trust boundary and know how to investigate one bounded change. More detailed knowledge can grow through repeated practice.</w:t>
      </w:r>
    </w:p>
    <w:p>
      <w:pPr>
        <w:spacing w:after="110" w:line="300" w:lineRule="auto"/>
        <w:jc w:val="both"/>
        <w:widowControl w:val="1"/>
        <w:keepNext w:val="0"/>
        <w:keepLines w:val="0"/>
      </w:pPr>
      <w:r>
        <w:rPr>
          <w:rFonts w:ascii="Helvetica Neue" w:hAnsi="Helvetica Neue" w:cs="Helvetica Neue" w:eastAsia="Helvetica Neue"/>
          <w:sz w:val="22"/>
        </w:rPr>
        <w:t xml:space="preserve">Use three learning settings. Inside Dotneet, use the preview, design gallery, source and tests. Inside the Nimiq ecosystem, use official tutorials, device exercises and builder feedback. Away from those platforms, use foundational courses and offline retrieval, diagrams and teach-back sessions.</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Use study methods that require recall</w:t>
      </w:r>
    </w:p>
    <w:p>
      <w:pPr>
        <w:spacing w:after="110" w:line="300" w:lineRule="auto"/>
        <w:jc w:val="both"/>
        <w:widowControl w:val="1"/>
        <w:keepNext w:val="0"/>
        <w:keepLines w:val="0"/>
      </w:pPr>
      <w:r>
        <w:rPr>
          <w:rFonts w:ascii="Helvetica Neue" w:hAnsi="Helvetica Neue" w:cs="Helvetica Neue" w:eastAsia="Helvetica Neue"/>
          <w:sz w:val="22"/>
        </w:rPr>
        <w:t xml:space="preserve">A 2013 review by Dunlosky and colleagues rated practice testing and distributed practice highly across the evidence it examined. A 2008 experiment by Karpicke and Roediger found that repeated retrieval improved delayed recall of vocabulary after initial learning. These findings support using recall and spaced review; they do not prove a particular eight-day coding schedule or guarantee expertise. </w:t>
      </w:r>
      <w:hyperlink w:anchor="ref_L10">
        <w:r>
          <w:rPr>
            <w:rFonts w:ascii="Helvetica Neue" w:hAnsi="Helvetica Neue" w:cs="Helvetica Neue" w:eastAsia="Helvetica Neue"/>
            <w:color w:val="235E8A"/>
          </w:rPr>
          <w:t xml:space="preserve">[L10]</w:t>
        </w:r>
      </w:hyperlink>
      <w:r>
        <w:rPr>
          <w:rFonts w:ascii="Helvetica Neue" w:hAnsi="Helvetica Neue" w:cs="Helvetica Neue" w:eastAsia="Helvetica Neue"/>
          <w:sz w:val="22"/>
        </w:rPr>
        <w:t xml:space="preserve"> </w:t>
      </w:r>
      <w:hyperlink w:anchor="ref_L11">
        <w:r>
          <w:rPr>
            <w:rFonts w:ascii="Helvetica Neue" w:hAnsi="Helvetica Neue" w:cs="Helvetica Neue" w:eastAsia="Helvetica Neue"/>
            <w:color w:val="235E8A"/>
          </w:rPr>
          <w:t xml:space="preserve">[L11]</w:t>
        </w:r>
      </w:hyperlink>
    </w:p>
    <w:p>
      <w:pPr>
        <w:spacing w:after="110" w:line="300" w:lineRule="auto"/>
        <w:jc w:val="both"/>
        <w:widowControl w:val="1"/>
        <w:keepNext w:val="0"/>
        <w:keepLines w:val="0"/>
      </w:pPr>
      <w:r>
        <w:rPr>
          <w:rFonts w:ascii="Helvetica Neue" w:hAnsi="Helvetica Neue" w:cs="Helvetica Neue" w:eastAsia="Helvetica Neue"/>
          <w:sz w:val="22"/>
        </w:rPr>
        <w:t xml:space="preserve">Apply the principle by closing the guide and explaining a concept from memory, then checking and correcting your explanation. Revisit difficult ideas on later days. Reading a correct explanation and feeling familiar with it is different from being able to use it when something breaks.</w:t>
      </w:r>
    </w:p>
    <w:p>
      <w:pPr>
        <w:spacing w:after="110" w:line="300" w:lineRule="auto"/>
        <w:jc w:val="both"/>
        <w:widowControl w:val="1"/>
        <w:keepNext w:val="0"/>
        <w:keepLines w:val="0"/>
      </w:pPr>
      <w:r>
        <w:rPr>
          <w:rFonts w:ascii="Helvetica Neue" w:hAnsi="Helvetica Neue" w:cs="Helvetica Neue" w:eastAsia="Helvetica Neue"/>
          <w:sz w:val="22"/>
        </w:rPr>
        <w:t xml:space="preserve">A practical daily session is 10 minutes of recall, 20 minutes of focused reading, 30 to 45 minutes of a small exercise, and 10 minutes explaining what changed and why. Treat these times as adjustable planning suggestions. During the competition sprint, connect the study block to the most urgent release task instead of creating a second unrelated project.</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Study inside Dotneet</w:t>
      </w:r>
    </w:p>
    <w:p>
      <w:pPr>
        <w:spacing w:after="110" w:line="300" w:lineRule="auto"/>
        <w:jc w:val="both"/>
        <w:widowControl w:val="1"/>
        <w:keepNext w:val="0"/>
        <w:keepLines w:val="0"/>
      </w:pPr>
      <w:r>
        <w:rPr>
          <w:rFonts w:ascii="Helvetica Neue" w:hAnsi="Helvetica Neue" w:cs="Helvetica Neue" w:eastAsia="Helvetica Neue"/>
          <w:sz w:val="22"/>
        </w:rPr>
        <w:t xml:space="preserve">Start in the sample preview. Before selecting pending, unavailable or withdrawn, predict what the person should be able to do next. Compare the interface with your prediction and write down any confusing wording. Do not treat sample state changes as actual wallet tests.</w:t>
      </w:r>
    </w:p>
    <w:p>
      <w:pPr>
        <w:spacing w:after="110" w:line="300" w:lineRule="auto"/>
        <w:jc w:val="both"/>
        <w:widowControl w:val="1"/>
        <w:keepNext w:val="0"/>
        <w:keepLines w:val="0"/>
      </w:pPr>
      <w:r>
        <w:rPr>
          <w:rFonts w:ascii="Helvetica Neue" w:hAnsi="Helvetica Neue" w:cs="Helvetica Neue" w:eastAsia="Helvetica Neue"/>
          <w:sz w:val="22"/>
        </w:rPr>
        <w:t xml:space="preserve">Next, open the design reference and compare repeated controls. Choose one low-risk improvement, such as a clearer field hint, and trace its component and shared styles. Explain which other pages might change. For security-sensitive rules, use a disposable development environment and the existing tests; do not experiment against public users.</w:t>
      </w:r>
    </w:p>
    <w:p>
      <w:pPr>
        <w:spacing w:after="110" w:line="300" w:lineRule="auto"/>
        <w:jc w:val="both"/>
        <w:widowControl w:val="1"/>
        <w:keepNext w:val="0"/>
        <w:keepLines w:val="0"/>
      </w:pPr>
      <w:r>
        <w:rPr>
          <w:rFonts w:ascii="Helvetica Neue" w:hAnsi="Helvetica Neue" w:cs="Helvetica Neue" w:eastAsia="Helvetica Neue"/>
          <w:sz w:val="22"/>
        </w:rPr>
        <w:t xml:space="preserve">Ask an AI assistant to tutor rather than immediately complete the exercise. A useful prompt is: Explain this function in plain language, ask me to predict three cases, and wait for my answers before showing the result. Another is: Trace this requirement from the page to the server and test, using only the supplied files. Always confirm important API behavior in official documentation and the installed version.</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Study with the Nimiq community</w:t>
      </w:r>
    </w:p>
    <w:p>
      <w:pPr>
        <w:spacing w:after="110" w:line="300" w:lineRule="auto"/>
        <w:jc w:val="both"/>
        <w:widowControl w:val="1"/>
        <w:keepNext w:val="0"/>
        <w:keepLines w:val="0"/>
      </w:pPr>
      <w:r>
        <w:rPr>
          <w:rFonts w:ascii="Helvetica Neue" w:hAnsi="Helvetica Neue" w:cs="Helvetica Neue" w:eastAsia="Helvetica Neue"/>
          <w:sz w:val="22"/>
        </w:rPr>
        <w:t xml:space="preserve">Use the official first-Mini-App tutorial to understand provider initialization and native requests. Then use the local-device guide to reproduce the host environment. Keep your exercise small: first distinguish an ordinary browser from a Nimiq Pay WebView, then observe one approved signature in a test context. </w:t>
      </w:r>
      <w:hyperlink w:anchor="ref_L1">
        <w:r>
          <w:rPr>
            <w:rFonts w:ascii="Helvetica Neue" w:hAnsi="Helvetica Neue" w:cs="Helvetica Neue" w:eastAsia="Helvetica Neue"/>
            <w:color w:val="235E8A"/>
          </w:rPr>
          <w:t xml:space="preserve">[L1]</w:t>
        </w:r>
      </w:hyperlink>
      <w:r>
        <w:rPr>
          <w:rFonts w:ascii="Helvetica Neue" w:hAnsi="Helvetica Neue" w:cs="Helvetica Neue" w:eastAsia="Helvetica Neue"/>
          <w:sz w:val="22"/>
        </w:rPr>
        <w:t xml:space="preserve"> </w:t>
      </w:r>
      <w:hyperlink w:anchor="ref_L2">
        <w:r>
          <w:rPr>
            <w:rFonts w:ascii="Helvetica Neue" w:hAnsi="Helvetica Neue" w:cs="Helvetica Neue" w:eastAsia="Helvetica Neue"/>
            <w:color w:val="235E8A"/>
          </w:rPr>
          <w:t xml:space="preserve">[L2]</w:t>
        </w:r>
      </w:hyperlink>
    </w:p>
    <w:p>
      <w:pPr>
        <w:spacing w:after="110" w:line="300" w:lineRule="auto"/>
        <w:jc w:val="both"/>
        <w:widowControl w:val="1"/>
        <w:keepNext w:val="0"/>
        <w:keepLines w:val="0"/>
      </w:pPr>
      <w:r>
        <w:rPr>
          <w:rFonts w:ascii="Helvetica Neue" w:hAnsi="Helvetica Neue" w:cs="Helvetica Neue" w:eastAsia="Helvetica Neue"/>
          <w:sz w:val="22"/>
        </w:rPr>
        <w:t xml:space="preserve">The competition site provides a builder community for feedback, while Nimiq's About page points to Discord for technical discussion. Prepare a minimal reproducible question: expected behavior, actual behavior, network, versions and a redacted error. Ask for a concrete observation rather than a general review of the whole product. Do not post keys, session cookies or private contribution details. </w:t>
      </w:r>
      <w:hyperlink w:anchor="ref_S1">
        <w:r>
          <w:rPr>
            <w:rFonts w:ascii="Helvetica Neue" w:hAnsi="Helvetica Neue" w:cs="Helvetica Neue" w:eastAsia="Helvetica Neue"/>
            <w:color w:val="235E8A"/>
          </w:rPr>
          <w:t xml:space="preserve">[S1]</w:t>
        </w:r>
      </w:hyperlink>
      <w:r>
        <w:rPr>
          <w:rFonts w:ascii="Helvetica Neue" w:hAnsi="Helvetica Neue" w:cs="Helvetica Neue" w:eastAsia="Helvetica Neue"/>
          <w:sz w:val="22"/>
        </w:rPr>
        <w:t xml:space="preserve"> </w:t>
      </w:r>
      <w:hyperlink w:anchor="ref_L12">
        <w:r>
          <w:rPr>
            <w:rFonts w:ascii="Helvetica Neue" w:hAnsi="Helvetica Neue" w:cs="Helvetica Neue" w:eastAsia="Helvetica Neue"/>
            <w:color w:val="235E8A"/>
          </w:rPr>
          <w:t xml:space="preserve">[L12]</w:t>
        </w:r>
      </w:hyperlink>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Build foundations outside the platform</w:t>
      </w:r>
    </w:p>
    <w:tbl>
      <w:tblPr>
        <w:tblStyle w:val="Table8"/>
        <w:tblW w:w="10224"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Ind w:w="0" w:type="dxa"/>
      </w:tblPr>
      <w:tblGrid>
        <w:gridCol w:w="2454"/>
        <w:gridCol w:w="3783"/>
        <w:gridCol w:w="3987"/>
      </w:tblGrid>
      <w:tr>
        <w:trPr>
          <w:cantSplit w:val="1"/>
          <w:tblHeader/>
        </w:trPr>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Resource</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What to study first</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Evidence that you understood it</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MDN Learn web development </w:t>
            </w:r>
            <w:hyperlink w:anchor="ref_L3">
              <w:r>
                <w:rPr>
                  <w:rFonts w:ascii="Helvetica Neue" w:hAnsi="Helvetica Neue" w:cs="Helvetica Neue" w:eastAsia="Helvetica Neue"/>
                  <w:color w:val="235E8A"/>
                </w:rPr>
                <w:t xml:space="preserve">[L3]</w:t>
              </w:r>
            </w:hyperlink>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HTML forms, CSS layout, JavaScript and HTTP basics</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Explain a form submission and build a small labeled form</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TypeScript Handbook </w:t>
            </w:r>
            <w:hyperlink w:anchor="ref_L4">
              <w:r>
                <w:rPr>
                  <w:rFonts w:ascii="Helvetica Neue" w:hAnsi="Helvetica Neue" w:cs="Helvetica Neue" w:eastAsia="Helvetica Neue"/>
                  <w:color w:val="235E8A"/>
                </w:rPr>
                <w:t xml:space="preserve">[L4]</w:t>
              </w:r>
            </w:hyperlink>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Types, unions and narrowing</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Represent payment states and handle each case deliberately</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React Learn </w:t>
            </w:r>
            <w:hyperlink w:anchor="ref_L5">
              <w:r>
                <w:rPr>
                  <w:rFonts w:ascii="Helvetica Neue" w:hAnsi="Helvetica Neue" w:cs="Helvetica Neue" w:eastAsia="Helvetica Neue"/>
                  <w:color w:val="235E8A"/>
                </w:rPr>
                <w:t xml:space="preserve">[L5]</w:t>
              </w:r>
            </w:hyperlink>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Components, state and state ownership</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Build a sample status selector without real wallet calls</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Next.js Learn </w:t>
            </w:r>
            <w:hyperlink w:anchor="ref_L6">
              <w:r>
                <w:rPr>
                  <w:rFonts w:ascii="Helvetica Neue" w:hAnsi="Helvetica Neue" w:cs="Helvetica Neue" w:eastAsia="Helvetica Neue"/>
                  <w:color w:val="235E8A"/>
                </w:rPr>
                <w:t xml:space="preserve">[L6]</w:t>
              </w:r>
            </w:hyperlink>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Routing, data boundaries and application structure</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Trace a page request to the code that serves it</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Node.js introduction </w:t>
            </w:r>
            <w:hyperlink w:anchor="ref_L7">
              <w:r>
                <w:rPr>
                  <w:rFonts w:ascii="Helvetica Neue" w:hAnsi="Helvetica Neue" w:cs="Helvetica Neue" w:eastAsia="Helvetica Neue"/>
                  <w:color w:val="235E8A"/>
                </w:rPr>
                <w:t xml:space="preserve">[L7]</w:t>
              </w:r>
            </w:hyperlink>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Server runtime and asynchronous work</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Explain why a slow network call must be awaited and bounded</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Prisma transaction guide </w:t>
            </w:r>
            <w:hyperlink w:anchor="ref_L8">
              <w:r>
                <w:rPr>
                  <w:rFonts w:ascii="Helvetica Neue" w:hAnsi="Helvetica Neue" w:cs="Helvetica Neue" w:eastAsia="Helvetica Neue"/>
                  <w:color w:val="235E8A"/>
                </w:rPr>
                <w:t xml:space="preserve">[L8]</w:t>
              </w:r>
            </w:hyperlink>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Transactions, concurrency and idempotency</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Explain how two requests can race and how a constraint helps</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OWASP authentication guidance </w:t>
            </w:r>
            <w:hyperlink w:anchor="ref_L9">
              <w:r>
                <w:rPr>
                  <w:rFonts w:ascii="Helvetica Neue" w:hAnsi="Helvetica Neue" w:cs="Helvetica Neue" w:eastAsia="Helvetica Neue"/>
                  <w:color w:val="235E8A"/>
                </w:rPr>
                <w:t xml:space="preserve">[L9]</w:t>
              </w:r>
            </w:hyperlink>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Authentication/session threats</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Explain why a submitted wallet address is insufficient</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W3C WAI tutorials </w:t>
            </w:r>
            <w:hyperlink w:anchor="ref_L13">
              <w:r>
                <w:rPr>
                  <w:rFonts w:ascii="Helvetica Neue" w:hAnsi="Helvetica Neue" w:cs="Helvetica Neue" w:eastAsia="Helvetica Neue"/>
                  <w:color w:val="235E8A"/>
                </w:rPr>
                <w:t xml:space="preserve">[L13]</w:t>
              </w:r>
            </w:hyperlink>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Forms, structure and accessible interactions</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Complete a keyboard and label review of one real page</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2454"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Pro Git </w:t>
            </w:r>
            <w:hyperlink w:anchor="ref_L14">
              <w:r>
                <w:rPr>
                  <w:rFonts w:ascii="Helvetica Neue" w:hAnsi="Helvetica Neue" w:cs="Helvetica Neue" w:eastAsia="Helvetica Neue"/>
                  <w:color w:val="235E8A"/>
                </w:rPr>
                <w:t xml:space="preserve">[L14]</w:t>
              </w:r>
            </w:hyperlink>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78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Commits, branches and inspecting changes</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987"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Make a small local change and explain its diff</w:t>
            </w:r>
          </w:p>
        </w:tc>
      </w:tr>
    </w:tbl>
    <w:p>
      <w:pPr>
        <w:spacing w:after="110" w:line="300" w:lineRule="auto"/>
        <w:jc w:val="both"/>
        <w:widowControl w:val="1"/>
        <w:keepNext w:val="0"/>
        <w:keepLines w:val="0"/>
      </w:pPr>
    </w:p>
    <w:p>
      <w:pPr>
        <w:spacing w:after="110" w:line="300" w:lineRule="auto"/>
        <w:jc w:val="both"/>
        <w:widowControl w:val="1"/>
        <w:keepNext w:val="0"/>
        <w:keepLines w:val="0"/>
      </w:pPr>
      <w:r>
        <w:rPr>
          <w:rFonts w:ascii="Helvetica Neue" w:hAnsi="Helvetica Neue" w:cs="Helvetica Neue" w:eastAsia="Helvetica Neue"/>
          <w:sz w:val="22"/>
        </w:rPr>
        <w:t xml:space="preserve">Use these as a sequence of references, not nine courses to complete during the sprint. If JavaScript is unfamiliar, start with MDN before advanced framework details. If you already build React apps, spend more time on state, authentication, database constraints and device integration. The installed project versions and repository instructions take precedence over generic examples when behavior differs.</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Practice away from the screen</w:t>
      </w:r>
    </w:p>
    <w:p>
      <w:pPr>
        <w:spacing w:after="110" w:line="300" w:lineRule="auto"/>
        <w:jc w:val="both"/>
        <w:widowControl w:val="1"/>
        <w:keepNext w:val="0"/>
        <w:keepLines w:val="0"/>
      </w:pPr>
      <w:r>
        <w:rPr>
          <w:rFonts w:ascii="Helvetica Neue" w:hAnsi="Helvetica Neue" w:cs="Helvetica Neue" w:eastAsia="Helvetica Neue"/>
          <w:sz w:val="22"/>
        </w:rPr>
        <w:t xml:space="preserve">Draw the architecture on paper with only six labels: interface, wallet, server, database, RPC and blockchain. Put a different mark beside the component that controls each fact. Then explain why the server cannot simply trust a success message from the interface.</w:t>
      </w:r>
    </w:p>
    <w:p>
      <w:pPr>
        <w:spacing w:after="110" w:line="300" w:lineRule="auto"/>
        <w:jc w:val="both"/>
        <w:widowControl w:val="1"/>
        <w:keepNext w:val="0"/>
        <w:keepLines w:val="0"/>
      </w:pPr>
      <w:r>
        <w:rPr>
          <w:rFonts w:ascii="Helvetica Neue" w:hAnsi="Helvetica Neue" w:cs="Helvetica Neue" w:eastAsia="Helvetica Neue"/>
          <w:sz w:val="22"/>
        </w:rPr>
        <w:t xml:space="preserve">Use index cards for terms such as nonce, signature, idempotency and publication. Put a concrete Dotneet question on the front and a short answer on the back. Revisit missed cards after a day and again later in the week. The exact intervals can change; the point is to retrieve after some forgetting, then correct errors.</w:t>
      </w:r>
    </w:p>
    <w:p>
      <w:pPr>
        <w:spacing w:after="110" w:line="300" w:lineRule="auto"/>
        <w:jc w:val="both"/>
        <w:widowControl w:val="1"/>
        <w:keepNext w:val="0"/>
        <w:keepLines w:val="0"/>
      </w:pPr>
      <w:r>
        <w:rPr>
          <w:rFonts w:ascii="Helvetica Neue" w:hAnsi="Helvetica Neue" w:cs="Helvetica Neue" w:eastAsia="Helvetica Neue"/>
          <w:sz w:val="22"/>
        </w:rPr>
        <w:t xml:space="preserve">Teach the product to a nontechnical friend in two minutes. Ask them what a receipt proves and whether a payment can still exist after unpublishing. Their answer reveals whether your explanation is clear. Keep a short learning log containing the prediction you made, the result you observed and the correction you will remember.</w:t>
      </w:r>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13 An eight day study and preparation schedule</w:t>
      </w:r>
      <w:bookmarkStart w:id="114" w:name="chapter_13"/>
      <w:bookmarkEnd w:id="114"/>
    </w:p>
    <w:p>
      <w:pPr>
        <w:spacing w:after="110" w:line="300" w:lineRule="auto"/>
        <w:jc w:val="both"/>
        <w:widowControl w:val="1"/>
        <w:keepNext w:val="0"/>
        <w:keepLines w:val="0"/>
      </w:pPr>
      <w:r>
        <w:rPr>
          <w:rFonts w:ascii="Helvetica Neue" w:hAnsi="Helvetica Neue" w:cs="Helvetica Neue" w:eastAsia="Helvetica Neue"/>
          <w:sz w:val="22"/>
        </w:rPr>
        <w:t xml:space="preserve">This is a learning schedule aligned with the remaining product work, not a claim that you can become an expert in eight days. Continue from your present understanding and the earliest unmet release check. Do not redo completed implementation merely to follow a calendar.</w:t>
      </w:r>
    </w:p>
    <w:tbl>
      <w:tblPr>
        <w:tblStyle w:val="Table8"/>
        <w:tblW w:w="10224"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Ind w:w="0" w:type="dxa"/>
      </w:tblPr>
      <w:tblGrid>
        <w:gridCol w:w="920"/>
        <w:gridCol w:w="3681"/>
        <w:gridCol w:w="5623"/>
      </w:tblGrid>
      <w:tr>
        <w:trPr>
          <w:cantSplit w:val="1"/>
          <w:tblHeader/>
        </w:trPr>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920"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Day</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3681"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Learning focus</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5623"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Practical output</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920"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1</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681"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Product story and the four verification claims</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562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two-minute explanation and a list of unsupported claims to avoid</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920"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2</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681"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Pages, requests and the documentation map</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562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One traced requirement from UI to server to test</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920"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3</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681"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Wallet control and sessions</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562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diagram of challenge, approval, verification and session recovery</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920"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4</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681"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Payment states and exact amounts</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562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walkthrough of pending, cancellation and ambiguous-result recovery</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920"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5</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681"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Signatures, receipts and publication</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562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An explanation of paid-but-unsigned and complete-but-private states</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920"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6</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681"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Design consistency and accessibility</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562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One small shared improvement with before-and-after observations</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920"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7</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681"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Real-device evidence and user observation</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562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redacted test log separating simulated, testnet and untested behavior</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920"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8</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681"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Demonstration and critical review</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5623"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rehearsed short demo, factual claims check and next-step list</w:t>
            </w:r>
          </w:p>
        </w:tc>
      </w:tr>
    </w:tbl>
    <w:p>
      <w:pPr>
        <w:spacing w:after="110" w:line="300" w:lineRule="auto"/>
        <w:jc w:val="both"/>
        <w:widowControl w:val="1"/>
        <w:keepNext w:val="0"/>
        <w:keepLines w:val="0"/>
      </w:pPr>
    </w:p>
    <w:p>
      <w:pPr>
        <w:spacing w:after="110" w:line="300" w:lineRule="auto"/>
        <w:jc w:val="both"/>
        <w:widowControl w:val="1"/>
        <w:keepNext w:val="0"/>
        <w:keepLines w:val="0"/>
      </w:pPr>
      <w:r>
        <w:rPr>
          <w:rFonts w:ascii="Helvetica Neue" w:hAnsi="Helvetica Neue" w:cs="Helvetica Neue" w:eastAsia="Helvetica Neue"/>
          <w:sz w:val="22"/>
        </w:rPr>
        <w:t xml:space="preserve">If device access or RPC configuration is missing, record the dependency and continue with safe local learning. Do not mark that day's native checks complete. Protect release-critical correctness and reduce optional visual or SDK work if time becomes tight.</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Continue beyond the competition</w:t>
      </w:r>
    </w:p>
    <w:p>
      <w:pPr>
        <w:spacing w:after="110" w:line="300" w:lineRule="auto"/>
        <w:jc w:val="both"/>
        <w:widowControl w:val="1"/>
        <w:keepNext w:val="0"/>
        <w:keepLines w:val="0"/>
      </w:pPr>
      <w:r>
        <w:rPr>
          <w:rFonts w:ascii="Helvetica Neue" w:hAnsi="Helvetica Neue" w:cs="Helvetica Neue" w:eastAsia="Helvetica Neue"/>
          <w:sz w:val="22"/>
        </w:rPr>
        <w:t xml:space="preserve">In the first following week, strengthen JavaScript, TypeScript and Git through small changes you can explain without assistance. In the second, focus on HTTP, sessions, SQL relationships and database constraints. In the third, build a tiny separate exercise that checks a signed statement and explore tampering cases. In the fourth, study usability and integration by observing actual contributors and building one read-only consumer of permitted profile data.</w:t>
      </w:r>
    </w:p>
    <w:p>
      <w:pPr>
        <w:spacing w:after="110" w:line="300" w:lineRule="auto"/>
        <w:jc w:val="both"/>
        <w:widowControl w:val="1"/>
        <w:keepNext w:val="0"/>
        <w:keepLines w:val="0"/>
      </w:pPr>
      <w:r>
        <w:rPr>
          <w:rFonts w:ascii="Helvetica Neue" w:hAnsi="Helvetica Neue" w:cs="Helvetica Neue" w:eastAsia="Helvetica Neue"/>
          <w:sz w:val="22"/>
        </w:rPr>
        <w:t xml:space="preserve">Use a simple mastery measure. Can you explain the idea, predict behavior in a new case, perform a bounded task and verify the result? Recheck the same capability several days later. Time spent studying, videos watched and messages sent to an AI assistant are activity measures, not direct evidence of understanding.</w:t>
      </w:r>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14 Exercises and questions to test yourself</w:t>
      </w:r>
      <w:bookmarkStart w:id="115" w:name="chapter_14"/>
      <w:bookmarkEnd w:id="115"/>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Six practical exercises</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1. Explain ada.neet to someone unfamiliar with wallets. Include the fact that the current name is an application record and that a wallet is not a verified person.</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2. Trace recipient publication from the page control to the server check. Identify what an unauthorized request must fail to change.</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3. In the fictional preview, compare pending, unavailable and withdrawn. Write one sentence explaining each without claiming that money was refunded or work was independently certified.</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4. In a disposable local test environment, inspect a case where the transaction amount is wrong. Predict the result before running the relevant test, then explain the mismatch.</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5. Change one harmless design token in a separate local branch, regenerate the token/asset outputs as documented, and inspect affected pages. Explain why shared changes need a wider visual check than isolated copy edits.</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6. Ask a contributor to inspect an illustrative receipt and describe what they would need before sharing one publicly. Record the answer as interview evidence, not as a request for endorsement.</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Questions to answer without looking</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1. Why is a wallet address typed into a form insufficient for sign-in?</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2. What extra information does an acknowledgment add to a payment?</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3. What should happen if the wallet times out after payment approval?</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4. Why does the backend need to know the network?</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5. Why can the issuer not publish for the recipient?</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6. What does the current CONFIRMED status mean?</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7. Why is an API response different from an independently verified claim?</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8. What is the difference between the test plan and the validation report?</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9. Why can a new contributor correctly have an empty profile?</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10. What user behavior would strengthen the case for Dotneet?</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Suggested answers</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1. An address is public information. The server needs a valid challenge signature checked against the expected wallet and browser context.</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2. It binds an issuer to a specific statement about the contribution. The payment alone does not explain the work or certify its quality.</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3. Preserve the unresolved attempt and investigate the existing transfer. An ambiguous timeout must not automatically trigger a second payment.</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4. Similar-looking references and addresses do not establish the intended chain context. The transfer must match the configured network as well as the other receipt facts.</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5. Publication exposes the recipient's wallet association, amount and work context. The recipient must choose that disclosure.</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6. The matching transfer met the configured inclusion threshold at the stored check time. It is not an independently proven irreversible-finality claim.</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7. A response is a statement supplied by a service. Independent verification checks its supporting data and assumptions; public API access alone does not make those assumptions disappear.</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8. The plan defines checks to perform. The report records actual results, environments and remaining limitations.</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9. A name claim does not create contribution evidence. Borrowing sample receipts or giving an invented trust score would mislead readers.</w:t>
      </w:r>
    </w:p>
    <w:p>
      <w:pPr>
        <w:keepNext w:val="0"/>
        <w:keepLines w:val="0"/>
        <w:widowControl w:val="1"/>
        <w:pBdr>
          <w:top w:space="0" w:sz="0" w:val="nil"/>
          <w:left w:space="0" w:sz="0" w:val="nil"/>
          <w:bottom w:space="0" w:sz="0" w:val="nil"/>
          <w:right w:space="0" w:sz="0" w:val="nil"/>
          <w:between w:space="0" w:sz="0" w:val="nil"/>
        </w:pBdr>
        <w:shd w:fill="auto" w:val="clear"/>
        <w:spacing w:after="110" w:before="0" w:line="290" w:lineRule="auto"/>
        <w:ind w:left="240" w:right="0" w:hanging="240"/>
        <w:jc w:val="left"/>
      </w:pPr>
      <w:r>
        <w:rPr>
          <w:rFonts w:ascii="Helvetica Neue" w:hAnsi="Helvetica Neue" w:cs="Helvetica Neue" w:eastAsia="Helvetica Neue"/>
          <w:sz w:val="22"/>
        </w:rPr>
        <w:t xml:space="preserve">10. Independent builders returning to acknowledge useful work, recipients voluntarily sharing records, and another builder finding those records useful in a later collaboration.</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Questions worth rehearsing before a demo</w:t>
      </w:r>
    </w:p>
    <w:p>
      <w:pPr>
        <w:spacing w:after="110" w:line="300" w:lineRule="auto"/>
        <w:jc w:val="both"/>
        <w:widowControl w:val="1"/>
        <w:keepNext w:val="0"/>
        <w:keepLines w:val="0"/>
      </w:pPr>
      <w:r>
        <w:rPr>
          <w:rFonts w:ascii="Helvetica Neue" w:hAnsi="Helvetica Neue" w:cs="Helvetica Neue" w:eastAsia="Helvetica Neue"/>
          <w:sz w:val="22"/>
        </w:rPr>
        <w:t xml:space="preserve">Be ready to explain why this needs more than a payment link, how it differs from naming tools, who controls publication, what happens after a lost wallet response, and which checks have actually run. If you cannot answer a question, locate its source and practice explaining it again. A precise answer with a clear limitation is more persuasive than an exaggerated guarantee.</w:t>
      </w:r>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15 Glossary</w:t>
      </w:r>
      <w:bookmarkStart w:id="116" w:name="chapter_15"/>
      <w:bookmarkEnd w:id="116"/>
    </w:p>
    <w:tbl>
      <w:tblPr>
        <w:tblStyle w:val="Table3"/>
        <w:tblW w:w="10224"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Ind w:w="0" w:type="dxa"/>
      </w:tblPr>
      <w:tblGrid>
        <w:gridCol w:w="3578"/>
        <w:gridCol w:w="6646"/>
      </w:tblGrid>
      <w:tr>
        <w:trPr>
          <w:cantSplit w:val="1"/>
          <w:tblHeader/>
        </w:trPr>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Term</w:t>
            </w:r>
          </w:p>
        </w:tc>
        <w:tc>
          <w:tcPr>
            <w:tcBorders>
              <w:top w:color="D9D9D9" w:space="0" w:sz="4" w:val="single"/>
              <w:left w:color="D9D9D9" w:space="0" w:sz="4" w:val="single"/>
              <w:bottom w:color="D9D9D9" w:space="0" w:sz="4" w:val="single"/>
              <w:right w:color="D9D9D9" w:space="0" w:sz="4" w:val="single"/>
            </w:tcBorders>
            <w:shd w:fill="082A4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b/>
                <w:color w:val="FFFFFF"/>
                <w:sz w:val="21"/>
              </w:rPr>
              <w:t xml:space="preserve">Meaning in this project</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Alias or handle</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memorable name associated with a wallet-bound profile</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Wallet</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Software that manages keys and authorizes relevant blockchain actions</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Public key</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Information used to check signatures and derive the associated address</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Private key</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Secret signing material that Dotneet must not collect</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Signature</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Cryptographic evidence that a key signed particular bytes</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Nonce</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An unpredictable value used to distinguish a one-time request</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Authentication</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Establishing which wallet has demonstrated control</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Authorization</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Deciding whether that wallet may perform an operation</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Session</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temporary remembered authenticated state</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API</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documented way for programs to exchange requests and responses</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SDK</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library that makes an API or provider easier to use</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RPC</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method for requesting information or operations from a remote service</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Transaction hash</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An identifier for a transaction, not confirmation by itself</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Idempotency</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Making a repeated request refer safely to the same intended operation</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Atomic operation</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change performed as one indivisible operation for relevant correctness</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Compare and set</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Update only if the stored value or state still matches what was expected</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Migration</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controlled change to database structure or history</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Testnet</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development network distinct from the intended production network</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Attestation</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An attributable statement about a subject or event</w:t>
            </w:r>
          </w:p>
        </w:tc>
      </w:tr>
      <w:tr>
        <w:trPr>
          <w:cantSplit w:val="1"/>
        </w:trPr>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Provenance</w:t>
            </w:r>
          </w:p>
        </w:tc>
        <w:tc>
          <w:tcPr>
            <w:tcBorders>
              <w:top w:color="D9D9D9" w:space="0" w:sz="4" w:val="single"/>
              <w:left w:color="D9D9D9" w:space="0" w:sz="4" w:val="single"/>
              <w:bottom w:color="D9D9D9" w:space="0" w:sz="4" w:val="single"/>
              <w:right w:color="D9D9D9" w:space="0" w:sz="4" w:val="single"/>
            </w:tcBorders>
            <w:shd w:fill="F5F8FA"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Information about where a record came from and who asserted it</w:t>
            </w:r>
          </w:p>
        </w:tc>
      </w:tr>
      <w:tr>
        <w:trPr>
          <w:cantSplit w:val="1"/>
        </w:trPr>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3578"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Design token</w:t>
            </w:r>
          </w:p>
        </w:tc>
        <w:tc>
          <w:tcPr>
            <w:tcBorders>
              <w:top w:color="D9D9D9" w:space="0" w:sz="4" w:val="single"/>
              <w:left w:color="D9D9D9" w:space="0" w:sz="4" w:val="single"/>
              <w:bottom w:color="D9D9D9" w:space="0" w:sz="4" w:val="single"/>
              <w:right w:color="D9D9D9" w:space="0" w:sz="4" w:val="single"/>
            </w:tcBorders>
            <w:shd w:fill="E6F0F7" w:val="clear"/>
            <w:tcMar>
              <w:top w:w="110" w:type="dxa"/>
              <w:left w:w="120" w:type="dxa"/>
              <w:bottom w:w="110" w:type="dxa"/>
              <w:right w:w="120" w:type="dxa"/>
            </w:tcMar>
            <w:vAlign w:val="center"/>
            <w:tcW w:w="6646" w:type="dxa"/>
          </w:tcPr>
          <w:p>
            <w:pPr>
              <w:spacing w:after="0" w:line="270" w:lineRule="auto"/>
              <w:jc w:val="left"/>
              <w:widowControl w:val="1"/>
              <w:keepNext w:val="0"/>
              <w:keepLines w:val="0"/>
            </w:pPr>
            <w:r>
              <w:rPr>
                <w:rFonts w:ascii="Helvetica Neue" w:hAnsi="Helvetica Neue" w:cs="Helvetica Neue" w:eastAsia="Helvetica Neue"/>
                <w:color w:val="233447"/>
                <w:sz w:val="21"/>
              </w:rPr>
              <w:t xml:space="preserve">A named value shared across interface and asset styles</w:t>
            </w:r>
          </w:p>
        </w:tc>
      </w:tr>
    </w:tbl>
    <w:p>
      <w:pPr>
        <w:spacing w:after="110" w:line="300" w:lineRule="auto"/>
        <w:jc w:val="both"/>
        <w:widowControl w:val="1"/>
        <w:keepNext w:val="0"/>
        <w:keepLines w:val="0"/>
      </w:pPr>
    </w:p>
    <w:p>
      <w:pPr>
        <w:pStyle w:val="Heading1"/>
        <w:pBdr>
          <w:top w:color="2f6b9a" w:space="2" w:sz="0" w:val="none"/>
          <w:left w:color="2f6b9a" w:space="2" w:sz="0" w:val="none"/>
          <w:bottom w:color="2f6b9a" w:space="2" w:sz="0" w:val="none"/>
          <w:right w:color="2f6b9a" w:space="2" w:sz="0" w:val="none"/>
        </w:pBdr>
        <w:spacing w:after="130" w:before="260" w:line="285" w:lineRule="auto"/>
        <w:widowControl w:val="1"/>
        <w:keepNext w:val="1"/>
        <w:keepLines w:val="1"/>
        <w:jc w:val="left"/>
      </w:pPr>
      <w:r>
        <w:rPr>
          <w:rFonts w:ascii="Helvetica Neue" w:hAnsi="Helvetica Neue" w:cs="Helvetica Neue" w:eastAsia="Helvetica Neue"/>
          <w:b/>
          <w:color w:val="000000"/>
          <w:sz w:val="27"/>
        </w:rPr>
        <w:t xml:space="preserve">Sources and further reading</w:t>
      </w:r>
      <w:bookmarkStart w:id="117" w:name="chapter_16"/>
      <w:bookmarkEnd w:id="117"/>
    </w:p>
    <w:p>
      <w:pPr>
        <w:spacing w:after="110" w:line="300" w:lineRule="auto"/>
        <w:jc w:val="both"/>
        <w:widowControl w:val="1"/>
        <w:keepNext w:val="0"/>
        <w:keepLines w:val="0"/>
      </w:pPr>
      <w:r>
        <w:rPr>
          <w:rFonts w:ascii="Helvetica Neue" w:hAnsi="Helvetica Neue" w:cs="Helvetica Neue" w:eastAsia="Helvetica Neue"/>
          <w:sz w:val="22"/>
        </w:rPr>
        <w:t xml:space="preserve">Official pages and learning resources were checked on 11 September 2026. Competition rules, platform behavior and software documentation can change. Use the current official page and the installed project version when continuing work. Product recommendations and study schedules in this guide are proposed applications of the evidence, not measured results.</w:t>
      </w:r>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Product and engineering evidence</w:t>
      </w:r>
    </w:p>
    <w:p>
      <w:pPr>
        <w:spacing w:after="110" w:line="300" w:lineRule="auto"/>
        <w:jc w:val="both"/>
        <w:widowControl w:val="1"/>
        <w:keepNext w:val="0"/>
        <w:keepLines w:val="0"/>
      </w:pPr>
      <w:hyperlink w:anchor="ref_P1">
        <w:r>
          <w:rPr>
            <w:rFonts w:ascii="Helvetica Neue" w:hAnsi="Helvetica Neue" w:cs="Helvetica Neue" w:eastAsia="Helvetica Neue"/>
            <w:color w:val="235E8A"/>
          </w:rPr>
          <w:t xml:space="preserve">[P1]</w:t>
        </w:r>
      </w:hyperlink>
      <w:r>
        <w:rPr>
          <w:rFonts w:ascii="Helvetica Neue" w:hAnsi="Helvetica Neue" w:cs="Helvetica Neue" w:eastAsia="Helvetica Neue"/>
          <w:sz w:val="22"/>
        </w:rPr>
        <w:t xml:space="preserve"> Dotneet delivery status and validation report. In the source archive: docs/VALIDATION.md and SOURCE-MANIFEST.json. Snapshot 081d86280dc4088f0cdc9d3081897cb53af45358. Establishes the delivered state, recorded tests and unresolved native/production checks.</w:t>
      </w:r>
      <w:bookmarkStart w:id="118" w:name="ref_P1"/>
      <w:bookmarkEnd w:id="118"/>
    </w:p>
    <w:p>
      <w:pPr>
        <w:spacing w:after="110" w:line="300" w:lineRule="auto"/>
        <w:jc w:val="both"/>
        <w:widowControl w:val="1"/>
        <w:keepNext w:val="0"/>
        <w:keepLines w:val="0"/>
      </w:pPr>
      <w:hyperlink w:anchor="ref_P2">
        <w:r>
          <w:rPr>
            <w:rFonts w:ascii="Helvetica Neue" w:hAnsi="Helvetica Neue" w:cs="Helvetica Neue" w:eastAsia="Helvetica Neue"/>
            <w:color w:val="235E8A"/>
          </w:rPr>
          <w:t xml:space="preserve">[P2]</w:t>
        </w:r>
      </w:hyperlink>
      <w:r>
        <w:rPr>
          <w:rFonts w:ascii="Helvetica Neue" w:hAnsi="Helvetica Neue" w:cs="Helvetica Neue" w:eastAsia="Helvetica Neue"/>
          <w:sz w:val="22"/>
        </w:rPr>
        <w:t xml:space="preserve"> Dotneet baseline assessment and product requirements. In the source archive: docs/00-BASELINE-ASSESSMENT.md, docs/01-PRD.md and docs/02-FRD.md. Historical upstream baseline: 6677889fcbb782eef22223d8172bbc7584dda3ea.</w:t>
      </w:r>
      <w:bookmarkStart w:id="119" w:name="ref_P2"/>
      <w:bookmarkEnd w:id="119"/>
    </w:p>
    <w:p>
      <w:pPr>
        <w:spacing w:after="110" w:line="300" w:lineRule="auto"/>
        <w:jc w:val="both"/>
        <w:widowControl w:val="1"/>
        <w:keepNext w:val="0"/>
        <w:keepLines w:val="0"/>
      </w:pPr>
      <w:hyperlink w:anchor="ref_P3">
        <w:r>
          <w:rPr>
            <w:rFonts w:ascii="Helvetica Neue" w:hAnsi="Helvetica Neue" w:cs="Helvetica Neue" w:eastAsia="Helvetica Neue"/>
            <w:color w:val="235E8A"/>
          </w:rPr>
          <w:t xml:space="preserve">[P3]</w:t>
        </w:r>
      </w:hyperlink>
      <w:r>
        <w:rPr>
          <w:rFonts w:ascii="Helvetica Neue" w:hAnsi="Helvetica Neue" w:cs="Helvetica Neue" w:eastAsia="Helvetica Neue"/>
          <w:sz w:val="22"/>
        </w:rPr>
        <w:t xml:space="preserve"> Dotneet architecture and security requirements. In the source archive: docs/03-ARCHITECTURE.md and docs/06-SECURITY-AND-PRIVACY.md. The associated implementation lives in src/lib/server.</w:t>
      </w:r>
      <w:bookmarkStart w:id="120" w:name="ref_P3"/>
      <w:bookmarkEnd w:id="120"/>
    </w:p>
    <w:p>
      <w:pPr>
        <w:spacing w:after="110" w:line="300" w:lineRule="auto"/>
        <w:jc w:val="both"/>
        <w:widowControl w:val="1"/>
        <w:keepNext w:val="0"/>
        <w:keepLines w:val="0"/>
      </w:pPr>
      <w:hyperlink w:anchor="ref_P4">
        <w:r>
          <w:rPr>
            <w:rFonts w:ascii="Helvetica Neue" w:hAnsi="Helvetica Neue" w:cs="Helvetica Neue" w:eastAsia="Helvetica Neue"/>
            <w:color w:val="235E8A"/>
          </w:rPr>
          <w:t xml:space="preserve">[P4]</w:t>
        </w:r>
      </w:hyperlink>
      <w:r>
        <w:rPr>
          <w:rFonts w:ascii="Helvetica Neue" w:hAnsi="Helvetica Neue" w:cs="Helvetica Neue" w:eastAsia="Helvetica Neue"/>
          <w:sz w:val="22"/>
        </w:rPr>
        <w:t xml:space="preserve"> Dotneet data and API specification. In the source archive: docs/04-DATA-AND-API.md, prisma/schema.prisma and the receipt, RPC, authentication and crypto modules. Use these for exact contracts rather than treating this explanatory guide as a replacement specification.</w:t>
      </w:r>
      <w:bookmarkStart w:id="121" w:name="ref_P4"/>
      <w:bookmarkEnd w:id="121"/>
    </w:p>
    <w:p>
      <w:pPr>
        <w:spacing w:after="110" w:line="300" w:lineRule="auto"/>
        <w:jc w:val="both"/>
        <w:widowControl w:val="1"/>
        <w:keepNext w:val="0"/>
        <w:keepLines w:val="0"/>
      </w:pPr>
      <w:hyperlink w:anchor="ref_P5">
        <w:r>
          <w:rPr>
            <w:rFonts w:ascii="Helvetica Neue" w:hAnsi="Helvetica Neue" w:cs="Helvetica Neue" w:eastAsia="Helvetica Neue"/>
            <w:color w:val="235E8A"/>
          </w:rPr>
          <w:t xml:space="preserve">[P5]</w:t>
        </w:r>
      </w:hyperlink>
      <w:r>
        <w:rPr>
          <w:rFonts w:ascii="Helvetica Neue" w:hAnsi="Helvetica Neue" w:cs="Helvetica Neue" w:eastAsia="Helvetica Neue"/>
          <w:sz w:val="22"/>
        </w:rPr>
        <w:t xml:space="preserve"> Dotneet design and agent handoffs. In the source archive: docs/10-design-system.md through docs/14-opencode-handoff.md, src/design, src/components and public/assets. These describe the reusable foundations and continuation workflow.</w:t>
      </w:r>
      <w:bookmarkStart w:id="122" w:name="ref_P5"/>
      <w:bookmarkEnd w:id="122"/>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Platform and precedent sources</w:t>
      </w:r>
    </w:p>
    <w:p>
      <w:pPr>
        <w:spacing w:after="110" w:line="300" w:lineRule="auto"/>
        <w:jc w:val="both"/>
        <w:widowControl w:val="1"/>
        <w:keepNext w:val="0"/>
        <w:keepLines w:val="0"/>
      </w:pPr>
      <w:hyperlink w:anchor="ref_S1">
        <w:r>
          <w:rPr>
            <w:rFonts w:ascii="Helvetica Neue" w:hAnsi="Helvetica Neue" w:cs="Helvetica Neue" w:eastAsia="Helvetica Neue"/>
            <w:color w:val="235E8A"/>
          </w:rPr>
          <w:t xml:space="preserve">[S1]</w:t>
        </w:r>
      </w:hyperlink>
      <w:r>
        <w:rPr>
          <w:rFonts w:ascii="Helvetica Neue" w:hAnsi="Helvetica Neue" w:cs="Helvetica Neue" w:eastAsia="Helvetica Neue"/>
          <w:sz w:val="22"/>
        </w:rPr>
        <w:t xml:space="preserve"> </w:t>
      </w:r>
      <w:hyperlink r:id="rIdLearning101">
        <w:r>
          <w:rPr>
            <w:rFonts w:ascii="Helvetica Neue" w:hAnsi="Helvetica Neue" w:cs="Helvetica Neue" w:eastAsia="Helvetica Neue"/>
            <w:color w:val="235E8A"/>
          </w:rPr>
          <w:t xml:space="preserve">Nimiq About and mission</w:t>
        </w:r>
      </w:hyperlink>
      <w:r>
        <w:rPr>
          <w:rFonts w:ascii="Helvetica Neue" w:hAnsi="Helvetica Neue" w:cs="Helvetica Neue" w:eastAsia="Helvetica Neue"/>
          <w:sz w:val="22"/>
        </w:rPr>
        <w:t xml:space="preserve">. Official statement of purpose and community channels.</w:t>
      </w:r>
      <w:bookmarkStart w:id="123" w:name="ref_S1"/>
      <w:bookmarkEnd w:id="123"/>
    </w:p>
    <w:p>
      <w:pPr>
        <w:spacing w:after="110" w:line="300" w:lineRule="auto"/>
        <w:jc w:val="both"/>
        <w:widowControl w:val="1"/>
        <w:keepNext w:val="0"/>
        <w:keepLines w:val="0"/>
      </w:pPr>
      <w:hyperlink w:anchor="ref_S2">
        <w:r>
          <w:rPr>
            <w:rFonts w:ascii="Helvetica Neue" w:hAnsi="Helvetica Neue" w:cs="Helvetica Neue" w:eastAsia="Helvetica Neue"/>
            <w:color w:val="235E8A"/>
          </w:rPr>
          <w:t xml:space="preserve">[S2]</w:t>
        </w:r>
      </w:hyperlink>
      <w:r>
        <w:rPr>
          <w:rFonts w:ascii="Helvetica Neue" w:hAnsi="Helvetica Neue" w:cs="Helvetica Neue" w:eastAsia="Helvetica Neue"/>
          <w:sz w:val="22"/>
        </w:rPr>
        <w:t xml:space="preserve"> </w:t>
      </w:r>
      <w:hyperlink r:id="rIdLearning102">
        <w:r>
          <w:rPr>
            <w:rFonts w:ascii="Helvetica Neue" w:hAnsi="Helvetica Neue" w:cs="Helvetica Neue" w:eastAsia="Helvetica Neue"/>
            <w:color w:val="235E8A"/>
          </w:rPr>
          <w:t xml:space="preserve">Nimiq Mini Apps Competition rules</w:t>
        </w:r>
      </w:hyperlink>
      <w:r>
        <w:rPr>
          <w:rFonts w:ascii="Helvetica Neue" w:hAnsi="Helvetica Neue" w:cs="Helvetica Neue" w:eastAsia="Helvetica Neue"/>
          <w:sz w:val="22"/>
        </w:rPr>
        <w:t xml:space="preserve">. Submission, integration, licensing and walkthrough requirements.</w:t>
      </w:r>
      <w:bookmarkStart w:id="124" w:name="ref_S2"/>
      <w:bookmarkEnd w:id="124"/>
    </w:p>
    <w:p>
      <w:pPr>
        <w:spacing w:after="110" w:line="300" w:lineRule="auto"/>
        <w:jc w:val="both"/>
        <w:widowControl w:val="1"/>
        <w:keepNext w:val="0"/>
        <w:keepLines w:val="0"/>
      </w:pPr>
      <w:hyperlink w:anchor="ref_S3">
        <w:r>
          <w:rPr>
            <w:rFonts w:ascii="Helvetica Neue" w:hAnsi="Helvetica Neue" w:cs="Helvetica Neue" w:eastAsia="Helvetica Neue"/>
            <w:color w:val="235E8A"/>
          </w:rPr>
          <w:t xml:space="preserve">[S3]</w:t>
        </w:r>
      </w:hyperlink>
      <w:r>
        <w:rPr>
          <w:rFonts w:ascii="Helvetica Neue" w:hAnsi="Helvetica Neue" w:cs="Helvetica Neue" w:eastAsia="Helvetica Neue"/>
          <w:sz w:val="22"/>
        </w:rPr>
        <w:t xml:space="preserve"> </w:t>
      </w:r>
      <w:hyperlink r:id="rIdLearning103">
        <w:r>
          <w:rPr>
            <w:rFonts w:ascii="Helvetica Neue" w:hAnsi="Helvetica Neue" w:cs="Helvetica Neue" w:eastAsia="Helvetica Neue"/>
            <w:color w:val="235E8A"/>
          </w:rPr>
          <w:t xml:space="preserve">Nimiq Cycle I winner announcement</w:t>
        </w:r>
      </w:hyperlink>
      <w:r>
        <w:rPr>
          <w:rFonts w:ascii="Helvetica Neue" w:hAnsi="Helvetica Neue" w:cs="Helvetica Neue" w:eastAsia="Helvetica Neue"/>
          <w:sz w:val="22"/>
        </w:rPr>
        <w:t xml:space="preserve">. Team Nimiq, 14 August 2026. Winner descriptions and the announced Cycle II deadline.</w:t>
      </w:r>
      <w:bookmarkStart w:id="125" w:name="ref_S3"/>
      <w:bookmarkEnd w:id="125"/>
    </w:p>
    <w:p>
      <w:pPr>
        <w:spacing w:after="110" w:line="300" w:lineRule="auto"/>
        <w:jc w:val="both"/>
        <w:widowControl w:val="1"/>
        <w:keepNext w:val="0"/>
        <w:keepLines w:val="0"/>
      </w:pPr>
      <w:hyperlink w:anchor="ref_S4">
        <w:r>
          <w:rPr>
            <w:rFonts w:ascii="Helvetica Neue" w:hAnsi="Helvetica Neue" w:cs="Helvetica Neue" w:eastAsia="Helvetica Neue"/>
            <w:color w:val="235E8A"/>
          </w:rPr>
          <w:t xml:space="preserve">[S4]</w:t>
        </w:r>
      </w:hyperlink>
      <w:r>
        <w:rPr>
          <w:rFonts w:ascii="Helvetica Neue" w:hAnsi="Helvetica Neue" w:cs="Helvetica Neue" w:eastAsia="Helvetica Neue"/>
          <w:sz w:val="22"/>
        </w:rPr>
        <w:t xml:space="preserve"> </w:t>
      </w:r>
      <w:hyperlink r:id="rIdLearning104">
        <w:r>
          <w:rPr>
            <w:rFonts w:ascii="Helvetica Neue" w:hAnsi="Helvetica Neue" w:cs="Helvetica Neue" w:eastAsia="Helvetica Neue"/>
            <w:color w:val="235E8A"/>
          </w:rPr>
          <w:t xml:space="preserve">Nimiq Mini Apps overview</w:t>
        </w:r>
      </w:hyperlink>
      <w:r>
        <w:rPr>
          <w:rFonts w:ascii="Helvetica Neue" w:hAnsi="Helvetica Neue" w:cs="Helvetica Neue" w:eastAsia="Helvetica Neue"/>
          <w:sz w:val="22"/>
        </w:rPr>
        <w:t xml:space="preserve">. Host, provider and native-wallet responsibilities.</w:t>
      </w:r>
      <w:bookmarkStart w:id="126" w:name="ref_S4"/>
      <w:bookmarkEnd w:id="126"/>
    </w:p>
    <w:p>
      <w:pPr>
        <w:spacing w:after="110" w:line="300" w:lineRule="auto"/>
        <w:jc w:val="both"/>
        <w:widowControl w:val="1"/>
        <w:keepNext w:val="0"/>
        <w:keepLines w:val="0"/>
      </w:pPr>
      <w:hyperlink w:anchor="ref_S5">
        <w:r>
          <w:rPr>
            <w:rFonts w:ascii="Helvetica Neue" w:hAnsi="Helvetica Neue" w:cs="Helvetica Neue" w:eastAsia="Helvetica Neue"/>
            <w:color w:val="235E8A"/>
          </w:rPr>
          <w:t xml:space="preserve">[S5]</w:t>
        </w:r>
      </w:hyperlink>
      <w:r>
        <w:rPr>
          <w:rFonts w:ascii="Helvetica Neue" w:hAnsi="Helvetica Neue" w:cs="Helvetica Neue" w:eastAsia="Helvetica Neue"/>
          <w:sz w:val="22"/>
        </w:rPr>
        <w:t xml:space="preserve"> </w:t>
      </w:r>
      <w:hyperlink r:id="rIdLearning105">
        <w:r>
          <w:rPr>
            <w:rFonts w:ascii="Helvetica Neue" w:hAnsi="Helvetica Neue" w:cs="Helvetica Neue" w:eastAsia="Helvetica Neue"/>
            <w:color w:val="235E8A"/>
          </w:rPr>
          <w:t xml:space="preserve">ENS documentation</w:t>
        </w:r>
      </w:hyperlink>
      <w:r>
        <w:rPr>
          <w:rFonts w:ascii="Helvetica Neue" w:hAnsi="Helvetica Neue" w:cs="Helvetica Neue" w:eastAsia="Helvetica Neue"/>
          <w:sz w:val="22"/>
        </w:rPr>
        <w:t xml:space="preserve">. Naming, address lookup and profile-record capabilities.</w:t>
      </w:r>
      <w:bookmarkStart w:id="127" w:name="ref_S5"/>
      <w:bookmarkEnd w:id="127"/>
    </w:p>
    <w:p>
      <w:pPr>
        <w:spacing w:after="110" w:line="300" w:lineRule="auto"/>
        <w:jc w:val="both"/>
        <w:widowControl w:val="1"/>
        <w:keepNext w:val="0"/>
        <w:keepLines w:val="0"/>
      </w:pPr>
      <w:hyperlink w:anchor="ref_S6">
        <w:r>
          <w:rPr>
            <w:rFonts w:ascii="Helvetica Neue" w:hAnsi="Helvetica Neue" w:cs="Helvetica Neue" w:eastAsia="Helvetica Neue"/>
            <w:color w:val="235E8A"/>
          </w:rPr>
          <w:t xml:space="preserve">[S6]</w:t>
        </w:r>
      </w:hyperlink>
      <w:r>
        <w:rPr>
          <w:rFonts w:ascii="Helvetica Neue" w:hAnsi="Helvetica Neue" w:cs="Helvetica Neue" w:eastAsia="Helvetica Neue"/>
          <w:sz w:val="22"/>
        </w:rPr>
        <w:t xml:space="preserve"> </w:t>
      </w:r>
      <w:hyperlink r:id="rIdLearning106">
        <w:r>
          <w:rPr>
            <w:rFonts w:ascii="Helvetica Neue" w:hAnsi="Helvetica Neue" w:cs="Helvetica Neue" w:eastAsia="Helvetica Neue"/>
            <w:color w:val="235E8A"/>
          </w:rPr>
          <w:t xml:space="preserve">SNS overview</w:t>
        </w:r>
      </w:hyperlink>
      <w:r>
        <w:rPr>
          <w:rFonts w:ascii="Helvetica Neue" w:hAnsi="Helvetica Neue" w:cs="Helvetica Neue" w:eastAsia="Helvetica Neue"/>
          <w:sz w:val="22"/>
        </w:rPr>
        <w:t xml:space="preserve">. Naming and pseudonymous identity framing.</w:t>
      </w:r>
      <w:bookmarkStart w:id="128" w:name="ref_S6"/>
      <w:bookmarkEnd w:id="128"/>
    </w:p>
    <w:p>
      <w:pPr>
        <w:spacing w:after="110" w:line="300" w:lineRule="auto"/>
        <w:jc w:val="both"/>
        <w:widowControl w:val="1"/>
        <w:keepNext w:val="0"/>
        <w:keepLines w:val="0"/>
      </w:pPr>
      <w:hyperlink w:anchor="ref_S7">
        <w:r>
          <w:rPr>
            <w:rFonts w:ascii="Helvetica Neue" w:hAnsi="Helvetica Neue" w:cs="Helvetica Neue" w:eastAsia="Helvetica Neue"/>
            <w:color w:val="235E8A"/>
          </w:rPr>
          <w:t xml:space="preserve">[S7]</w:t>
        </w:r>
      </w:hyperlink>
      <w:r>
        <w:rPr>
          <w:rFonts w:ascii="Helvetica Neue" w:hAnsi="Helvetica Neue" w:cs="Helvetica Neue" w:eastAsia="Helvetica Neue"/>
          <w:sz w:val="22"/>
        </w:rPr>
        <w:t xml:space="preserve"> </w:t>
      </w:r>
      <w:hyperlink r:id="rIdLearning107">
        <w:r>
          <w:rPr>
            <w:rFonts w:ascii="Helvetica Neue" w:hAnsi="Helvetica Neue" w:cs="Helvetica Neue" w:eastAsia="Helvetica Neue"/>
            <w:color w:val="235E8A"/>
          </w:rPr>
          <w:t xml:space="preserve">NimConnect public repository</w:t>
        </w:r>
      </w:hyperlink>
      <w:r>
        <w:rPr>
          <w:rFonts w:ascii="Helvetica Neue" w:hAnsi="Helvetica Neue" w:cs="Helvetica Neue" w:eastAsia="Helvetica Neue"/>
          <w:sz w:val="22"/>
        </w:rPr>
        <w:t xml:space="preserve">. Product-described identity, payment and public-profile client features; not an independent adoption audit.</w:t>
      </w:r>
      <w:bookmarkStart w:id="129" w:name="ref_S7"/>
      <w:bookmarkEnd w:id="129"/>
    </w:p>
    <w:p>
      <w:pPr>
        <w:spacing w:after="110" w:line="300" w:lineRule="auto"/>
        <w:jc w:val="both"/>
        <w:widowControl w:val="1"/>
        <w:keepNext w:val="0"/>
        <w:keepLines w:val="0"/>
      </w:pPr>
      <w:hyperlink w:anchor="ref_S8">
        <w:r>
          <w:rPr>
            <w:rFonts w:ascii="Helvetica Neue" w:hAnsi="Helvetica Neue" w:cs="Helvetica Neue" w:eastAsia="Helvetica Neue"/>
            <w:color w:val="235E8A"/>
          </w:rPr>
          <w:t xml:space="preserve">[S8]</w:t>
        </w:r>
      </w:hyperlink>
      <w:r>
        <w:rPr>
          <w:rFonts w:ascii="Helvetica Neue" w:hAnsi="Helvetica Neue" w:cs="Helvetica Neue" w:eastAsia="Helvetica Neue"/>
          <w:sz w:val="22"/>
        </w:rPr>
        <w:t xml:space="preserve"> </w:t>
      </w:r>
      <w:hyperlink r:id="rIdLearning108">
        <w:r>
          <w:rPr>
            <w:rFonts w:ascii="Helvetica Neue" w:hAnsi="Helvetica Neue" w:cs="Helvetica Neue" w:eastAsia="Helvetica Neue"/>
            <w:color w:val="235E8A"/>
          </w:rPr>
          <w:t xml:space="preserve">Ethereum Attestation Service core concepts</w:t>
        </w:r>
      </w:hyperlink>
      <w:r>
        <w:rPr>
          <w:rFonts w:ascii="Helvetica Neue" w:hAnsi="Helvetica Neue" w:cs="Helvetica Neue" w:eastAsia="Helvetica Neue"/>
          <w:sz w:val="22"/>
        </w:rPr>
        <w:t xml:space="preserve">. Attributable on-chain and off-chain statements.</w:t>
      </w:r>
      <w:bookmarkStart w:id="130" w:name="ref_S8"/>
      <w:bookmarkEnd w:id="130"/>
    </w:p>
    <w:p>
      <w:pPr>
        <w:spacing w:after="110" w:line="300" w:lineRule="auto"/>
        <w:jc w:val="both"/>
        <w:widowControl w:val="1"/>
        <w:keepNext w:val="0"/>
        <w:keepLines w:val="0"/>
      </w:pPr>
      <w:hyperlink w:anchor="ref_S9">
        <w:r>
          <w:rPr>
            <w:rFonts w:ascii="Helvetica Neue" w:hAnsi="Helvetica Neue" w:cs="Helvetica Neue" w:eastAsia="Helvetica Neue"/>
            <w:color w:val="235E8A"/>
          </w:rPr>
          <w:t xml:space="preserve">[S9]</w:t>
        </w:r>
      </w:hyperlink>
      <w:r>
        <w:rPr>
          <w:rFonts w:ascii="Helvetica Neue" w:hAnsi="Helvetica Neue" w:cs="Helvetica Neue" w:eastAsia="Helvetica Neue"/>
          <w:sz w:val="22"/>
        </w:rPr>
        <w:t xml:space="preserve"> </w:t>
      </w:r>
      <w:hyperlink r:id="rIdLearning109">
        <w:r>
          <w:rPr>
            <w:rFonts w:ascii="Helvetica Neue" w:hAnsi="Helvetica Neue" w:cs="Helvetica Neue" w:eastAsia="Helvetica Neue"/>
            <w:color w:val="235E8A"/>
          </w:rPr>
          <w:t xml:space="preserve">Clarity ETHGlobal showcase</w:t>
        </w:r>
      </w:hyperlink>
      <w:r>
        <w:rPr>
          <w:rFonts w:ascii="Helvetica Neue" w:hAnsi="Helvetica Neue" w:cs="Helvetica Neue" w:eastAsia="Helvetica Neue"/>
          <w:sz w:val="22"/>
        </w:rPr>
        <w:t xml:space="preserve">. Singapore 2024 finalist and award record, with the team's product description.</w:t>
      </w:r>
      <w:bookmarkStart w:id="131" w:name="ref_S9"/>
      <w:bookmarkEnd w:id="131"/>
    </w:p>
    <w:p>
      <w:pPr>
        <w:spacing w:after="110" w:line="300" w:lineRule="auto"/>
        <w:jc w:val="both"/>
        <w:widowControl w:val="1"/>
        <w:keepNext w:val="0"/>
        <w:keepLines w:val="0"/>
      </w:pPr>
      <w:hyperlink w:anchor="ref_S10">
        <w:r>
          <w:rPr>
            <w:rFonts w:ascii="Helvetica Neue" w:hAnsi="Helvetica Neue" w:cs="Helvetica Neue" w:eastAsia="Helvetica Neue"/>
            <w:color w:val="235E8A"/>
          </w:rPr>
          <w:t xml:space="preserve">[S10]</w:t>
        </w:r>
      </w:hyperlink>
      <w:r>
        <w:rPr>
          <w:rFonts w:ascii="Helvetica Neue" w:hAnsi="Helvetica Neue" w:cs="Helvetica Neue" w:eastAsia="Helvetica Neue"/>
          <w:sz w:val="22"/>
        </w:rPr>
        <w:t xml:space="preserve"> </w:t>
      </w:r>
      <w:hyperlink r:id="rIdLearning110">
        <w:r>
          <w:rPr>
            <w:rFonts w:ascii="Helvetica Neue" w:hAnsi="Helvetica Neue" w:cs="Helvetica Neue" w:eastAsia="Helvetica Neue"/>
            <w:color w:val="235E8A"/>
          </w:rPr>
          <w:t xml:space="preserve">Nimiq and Coinpay collaboration</w:t>
        </w:r>
      </w:hyperlink>
      <w:r>
        <w:rPr>
          <w:rFonts w:ascii="Helvetica Neue" w:hAnsi="Helvetica Neue" w:cs="Helvetica Neue" w:eastAsia="Helvetica Neue"/>
          <w:sz w:val="22"/>
        </w:rPr>
        <w:t xml:space="preserve">. Team Nimiq, 9 January 2023. Historical Costa Rican context.</w:t>
      </w:r>
      <w:bookmarkStart w:id="132" w:name="ref_S10"/>
      <w:bookmarkEnd w:id="132"/>
    </w:p>
    <w:p>
      <w:pPr>
        <w:spacing w:after="110" w:line="300" w:lineRule="auto"/>
        <w:jc w:val="both"/>
        <w:widowControl w:val="1"/>
        <w:keepNext w:val="0"/>
        <w:keepLines w:val="0"/>
      </w:pPr>
      <w:hyperlink w:anchor="ref_S11">
        <w:r>
          <w:rPr>
            <w:rFonts w:ascii="Helvetica Neue" w:hAnsi="Helvetica Neue" w:cs="Helvetica Neue" w:eastAsia="Helvetica Neue"/>
            <w:color w:val="235E8A"/>
          </w:rPr>
          <w:t xml:space="preserve">[S11]</w:t>
        </w:r>
      </w:hyperlink>
      <w:r>
        <w:rPr>
          <w:rFonts w:ascii="Helvetica Neue" w:hAnsi="Helvetica Neue" w:cs="Helvetica Neue" w:eastAsia="Helvetica Neue"/>
          <w:sz w:val="22"/>
        </w:rPr>
        <w:t xml:space="preserve"> </w:t>
      </w:r>
      <w:hyperlink r:id="rIdLearning111">
        <w:r>
          <w:rPr>
            <w:rFonts w:ascii="Helvetica Neue" w:hAnsi="Helvetica Neue" w:cs="Helvetica Neue" w:eastAsia="Helvetica Neue"/>
            <w:color w:val="235E8A"/>
          </w:rPr>
          <w:t xml:space="preserve">Nimiq Mini Apps scoring guide</w:t>
        </w:r>
      </w:hyperlink>
      <w:r>
        <w:rPr>
          <w:rFonts w:ascii="Helvetica Neue" w:hAnsi="Helvetica Neue" w:cs="Helvetica Neue" w:eastAsia="Helvetica Neue"/>
          <w:sz w:val="22"/>
        </w:rPr>
        <w:t xml:space="preserve">. Current five-category rubric.</w:t>
      </w:r>
      <w:bookmarkStart w:id="133" w:name="ref_S11"/>
      <w:bookmarkEnd w:id="133"/>
    </w:p>
    <w:p>
      <w:pPr>
        <w:spacing w:after="110" w:line="300" w:lineRule="auto"/>
        <w:jc w:val="both"/>
        <w:widowControl w:val="1"/>
        <w:keepNext w:val="0"/>
        <w:keepLines w:val="0"/>
      </w:pPr>
      <w:hyperlink w:anchor="ref_S12">
        <w:r>
          <w:rPr>
            <w:rFonts w:ascii="Helvetica Neue" w:hAnsi="Helvetica Neue" w:cs="Helvetica Neue" w:eastAsia="Helvetica Neue"/>
            <w:color w:val="235E8A"/>
          </w:rPr>
          <w:t xml:space="preserve">[S12]</w:t>
        </w:r>
      </w:hyperlink>
      <w:r>
        <w:rPr>
          <w:rFonts w:ascii="Helvetica Neue" w:hAnsi="Helvetica Neue" w:cs="Helvetica Neue" w:eastAsia="Helvetica Neue"/>
          <w:sz w:val="22"/>
        </w:rPr>
        <w:t xml:space="preserve"> </w:t>
      </w:r>
      <w:hyperlink r:id="rIdLearning112">
        <w:r>
          <w:rPr>
            <w:rFonts w:ascii="Helvetica Neue" w:hAnsi="Helvetica Neue" w:cs="Helvetica Neue" w:eastAsia="Helvetica Neue"/>
            <w:color w:val="235E8A"/>
          </w:rPr>
          <w:t xml:space="preserve">Nimiq Provider API</w:t>
        </w:r>
      </w:hyperlink>
      <w:r>
        <w:rPr>
          <w:rFonts w:ascii="Helvetica Neue" w:hAnsi="Helvetica Neue" w:cs="Helvetica Neue" w:eastAsia="Helvetica Neue"/>
          <w:sz w:val="22"/>
        </w:rPr>
        <w:t xml:space="preserve">. Native methods and Luna denomination.</w:t>
      </w:r>
      <w:bookmarkStart w:id="134" w:name="ref_S12"/>
      <w:bookmarkEnd w:id="134"/>
    </w:p>
    <w:p>
      <w:pPr>
        <w:pStyle w:val="Heading2"/>
        <w:spacing w:after="90" w:line="280" w:lineRule="auto" w:before="160"/>
        <w:widowControl w:val="1"/>
        <w:keepNext w:val="1"/>
        <w:keepLines w:val="1"/>
        <w:jc w:val="left"/>
      </w:pPr>
      <w:r>
        <w:rPr>
          <w:rFonts w:ascii="Helvetica Neue" w:hAnsi="Helvetica Neue" w:cs="Helvetica Neue" w:eastAsia="Helvetica Neue"/>
          <w:b/>
          <w:color w:val="000000"/>
          <w:sz w:val="22"/>
        </w:rPr>
        <w:t xml:space="preserve">Learning resources</w:t>
      </w:r>
    </w:p>
    <w:p>
      <w:pPr>
        <w:spacing w:after="110" w:line="300" w:lineRule="auto"/>
        <w:jc w:val="both"/>
        <w:widowControl w:val="1"/>
        <w:keepNext w:val="0"/>
        <w:keepLines w:val="0"/>
      </w:pPr>
      <w:hyperlink w:anchor="ref_L1">
        <w:r>
          <w:rPr>
            <w:rFonts w:ascii="Helvetica Neue" w:hAnsi="Helvetica Neue" w:cs="Helvetica Neue" w:eastAsia="Helvetica Neue"/>
            <w:color w:val="235E8A"/>
          </w:rPr>
          <w:t xml:space="preserve">[L1]</w:t>
        </w:r>
      </w:hyperlink>
      <w:r>
        <w:rPr>
          <w:rFonts w:ascii="Helvetica Neue" w:hAnsi="Helvetica Neue" w:cs="Helvetica Neue" w:eastAsia="Helvetica Neue"/>
          <w:sz w:val="22"/>
        </w:rPr>
        <w:t xml:space="preserve"> </w:t>
      </w:r>
      <w:hyperlink r:id="rIdLearning113">
        <w:r>
          <w:rPr>
            <w:rFonts w:ascii="Helvetica Neue" w:hAnsi="Helvetica Neue" w:cs="Helvetica Neue" w:eastAsia="Helvetica Neue"/>
            <w:color w:val="235E8A"/>
          </w:rPr>
          <w:t xml:space="preserve">Build your first Nimiq Mini App</w:t>
        </w:r>
      </w:hyperlink>
      <w:r>
        <w:rPr>
          <w:rFonts w:ascii="Helvetica Neue" w:hAnsi="Helvetica Neue" w:cs="Helvetica Neue" w:eastAsia="Helvetica Neue"/>
          <w:sz w:val="22"/>
        </w:rPr>
        <w:t xml:space="preserve">. Work through provider initialization and a small native interaction before extending Dotneet.</w:t>
      </w:r>
      <w:bookmarkStart w:id="135" w:name="ref_L1"/>
      <w:bookmarkEnd w:id="135"/>
    </w:p>
    <w:p>
      <w:pPr>
        <w:spacing w:after="110" w:line="300" w:lineRule="auto"/>
        <w:jc w:val="both"/>
        <w:widowControl w:val="1"/>
        <w:keepNext w:val="0"/>
        <w:keepLines w:val="0"/>
      </w:pPr>
      <w:hyperlink w:anchor="ref_L2">
        <w:r>
          <w:rPr>
            <w:rFonts w:ascii="Helvetica Neue" w:hAnsi="Helvetica Neue" w:cs="Helvetica Neue" w:eastAsia="Helvetica Neue"/>
            <w:color w:val="235E8A"/>
          </w:rPr>
          <w:t xml:space="preserve">[L2]</w:t>
        </w:r>
      </w:hyperlink>
      <w:r>
        <w:rPr>
          <w:rFonts w:ascii="Helvetica Neue" w:hAnsi="Helvetica Neue" w:cs="Helvetica Neue" w:eastAsia="Helvetica Neue"/>
          <w:sz w:val="22"/>
        </w:rPr>
        <w:t xml:space="preserve"> </w:t>
      </w:r>
      <w:hyperlink r:id="rIdLearning114">
        <w:r>
          <w:rPr>
            <w:rFonts w:ascii="Helvetica Neue" w:hAnsi="Helvetica Neue" w:cs="Helvetica Neue" w:eastAsia="Helvetica Neue"/>
            <w:color w:val="235E8A"/>
          </w:rPr>
          <w:t xml:space="preserve">Load a local Mini App</w:t>
        </w:r>
      </w:hyperlink>
      <w:r>
        <w:rPr>
          <w:rFonts w:ascii="Helvetica Neue" w:hAnsi="Helvetica Neue" w:cs="Helvetica Neue" w:eastAsia="Helvetica Neue"/>
          <w:sz w:val="22"/>
        </w:rPr>
        <w:t xml:space="preserve">. Use for device preparation; record the actual host and network used.</w:t>
      </w:r>
      <w:bookmarkStart w:id="136" w:name="ref_L2"/>
      <w:bookmarkEnd w:id="136"/>
    </w:p>
    <w:p>
      <w:pPr>
        <w:spacing w:after="110" w:line="300" w:lineRule="auto"/>
        <w:jc w:val="both"/>
        <w:widowControl w:val="1"/>
        <w:keepNext w:val="0"/>
        <w:keepLines w:val="0"/>
      </w:pPr>
      <w:hyperlink w:anchor="ref_L3">
        <w:r>
          <w:rPr>
            <w:rFonts w:ascii="Helvetica Neue" w:hAnsi="Helvetica Neue" w:cs="Helvetica Neue" w:eastAsia="Helvetica Neue"/>
            <w:color w:val="235E8A"/>
          </w:rPr>
          <w:t xml:space="preserve">[L3]</w:t>
        </w:r>
      </w:hyperlink>
      <w:r>
        <w:rPr>
          <w:rFonts w:ascii="Helvetica Neue" w:hAnsi="Helvetica Neue" w:cs="Helvetica Neue" w:eastAsia="Helvetica Neue"/>
          <w:sz w:val="22"/>
        </w:rPr>
        <w:t xml:space="preserve"> </w:t>
      </w:r>
      <w:hyperlink r:id="rIdLearning115">
        <w:r>
          <w:rPr>
            <w:rFonts w:ascii="Helvetica Neue" w:hAnsi="Helvetica Neue" w:cs="Helvetica Neue" w:eastAsia="Helvetica Neue"/>
            <w:color w:val="235E8A"/>
          </w:rPr>
          <w:t xml:space="preserve">MDN Learn web development</w:t>
        </w:r>
      </w:hyperlink>
      <w:r>
        <w:rPr>
          <w:rFonts w:ascii="Helvetica Neue" w:hAnsi="Helvetica Neue" w:cs="Helvetica Neue" w:eastAsia="Helvetica Neue"/>
          <w:sz w:val="22"/>
        </w:rPr>
        <w:t xml:space="preserve">. Begin with forms, CSS layout, JavaScript and HTTP concepts.</w:t>
      </w:r>
      <w:bookmarkStart w:id="137" w:name="ref_L3"/>
      <w:bookmarkEnd w:id="137"/>
    </w:p>
    <w:p>
      <w:pPr>
        <w:spacing w:after="110" w:line="300" w:lineRule="auto"/>
        <w:jc w:val="both"/>
        <w:widowControl w:val="1"/>
        <w:keepNext w:val="0"/>
        <w:keepLines w:val="0"/>
      </w:pPr>
      <w:hyperlink w:anchor="ref_L4">
        <w:r>
          <w:rPr>
            <w:rFonts w:ascii="Helvetica Neue" w:hAnsi="Helvetica Neue" w:cs="Helvetica Neue" w:eastAsia="Helvetica Neue"/>
            <w:color w:val="235E8A"/>
          </w:rPr>
          <w:t xml:space="preserve">[L4]</w:t>
        </w:r>
      </w:hyperlink>
      <w:r>
        <w:rPr>
          <w:rFonts w:ascii="Helvetica Neue" w:hAnsi="Helvetica Neue" w:cs="Helvetica Neue" w:eastAsia="Helvetica Neue"/>
          <w:sz w:val="22"/>
        </w:rPr>
        <w:t xml:space="preserve"> </w:t>
      </w:r>
      <w:hyperlink r:id="rIdLearning116">
        <w:r>
          <w:rPr>
            <w:rFonts w:ascii="Helvetica Neue" w:hAnsi="Helvetica Neue" w:cs="Helvetica Neue" w:eastAsia="Helvetica Neue"/>
            <w:color w:val="235E8A"/>
          </w:rPr>
          <w:t xml:space="preserve">TypeScript Handbook introduction</w:t>
        </w:r>
      </w:hyperlink>
      <w:r>
        <w:rPr>
          <w:rFonts w:ascii="Helvetica Neue" w:hAnsi="Helvetica Neue" w:cs="Helvetica Neue" w:eastAsia="Helvetica Neue"/>
          <w:sz w:val="22"/>
        </w:rPr>
        <w:t xml:space="preserve">. Focus on types, unions and narrowing.</w:t>
      </w:r>
      <w:bookmarkStart w:id="138" w:name="ref_L4"/>
      <w:bookmarkEnd w:id="138"/>
    </w:p>
    <w:p>
      <w:pPr>
        <w:spacing w:after="110" w:line="300" w:lineRule="auto"/>
        <w:jc w:val="both"/>
        <w:widowControl w:val="1"/>
        <w:keepNext w:val="0"/>
        <w:keepLines w:val="0"/>
      </w:pPr>
      <w:hyperlink w:anchor="ref_L5">
        <w:r>
          <w:rPr>
            <w:rFonts w:ascii="Helvetica Neue" w:hAnsi="Helvetica Neue" w:cs="Helvetica Neue" w:eastAsia="Helvetica Neue"/>
            <w:color w:val="235E8A"/>
          </w:rPr>
          <w:t xml:space="preserve">[L5]</w:t>
        </w:r>
      </w:hyperlink>
      <w:r>
        <w:rPr>
          <w:rFonts w:ascii="Helvetica Neue" w:hAnsi="Helvetica Neue" w:cs="Helvetica Neue" w:eastAsia="Helvetica Neue"/>
          <w:sz w:val="22"/>
        </w:rPr>
        <w:t xml:space="preserve"> </w:t>
      </w:r>
      <w:hyperlink r:id="rIdLearning117">
        <w:r>
          <w:rPr>
            <w:rFonts w:ascii="Helvetica Neue" w:hAnsi="Helvetica Neue" w:cs="Helvetica Neue" w:eastAsia="Helvetica Neue"/>
            <w:color w:val="235E8A"/>
          </w:rPr>
          <w:t xml:space="preserve">React Learn</w:t>
        </w:r>
      </w:hyperlink>
      <w:r>
        <w:rPr>
          <w:rFonts w:ascii="Helvetica Neue" w:hAnsi="Helvetica Neue" w:cs="Helvetica Neue" w:eastAsia="Helvetica Neue"/>
          <w:sz w:val="22"/>
        </w:rPr>
        <w:t xml:space="preserve">. Study components, state and the flow of data.</w:t>
      </w:r>
      <w:bookmarkStart w:id="139" w:name="ref_L5"/>
      <w:bookmarkEnd w:id="139"/>
    </w:p>
    <w:p>
      <w:pPr>
        <w:spacing w:after="110" w:line="300" w:lineRule="auto"/>
        <w:jc w:val="both"/>
        <w:widowControl w:val="1"/>
        <w:keepNext w:val="0"/>
        <w:keepLines w:val="0"/>
      </w:pPr>
      <w:hyperlink w:anchor="ref_L6">
        <w:r>
          <w:rPr>
            <w:rFonts w:ascii="Helvetica Neue" w:hAnsi="Helvetica Neue" w:cs="Helvetica Neue" w:eastAsia="Helvetica Neue"/>
            <w:color w:val="235E8A"/>
          </w:rPr>
          <w:t xml:space="preserve">[L6]</w:t>
        </w:r>
      </w:hyperlink>
      <w:r>
        <w:rPr>
          <w:rFonts w:ascii="Helvetica Neue" w:hAnsi="Helvetica Neue" w:cs="Helvetica Neue" w:eastAsia="Helvetica Neue"/>
          <w:sz w:val="22"/>
        </w:rPr>
        <w:t xml:space="preserve"> </w:t>
      </w:r>
      <w:hyperlink r:id="rIdLearning118">
        <w:r>
          <w:rPr>
            <w:rFonts w:ascii="Helvetica Neue" w:hAnsi="Helvetica Neue" w:cs="Helvetica Neue" w:eastAsia="Helvetica Neue"/>
            <w:color w:val="235E8A"/>
          </w:rPr>
          <w:t xml:space="preserve">Next.js Learn</w:t>
        </w:r>
      </w:hyperlink>
      <w:r>
        <w:rPr>
          <w:rFonts w:ascii="Helvetica Neue" w:hAnsi="Helvetica Neue" w:cs="Helvetica Neue" w:eastAsia="Helvetica Neue"/>
          <w:sz w:val="22"/>
        </w:rPr>
        <w:t xml:space="preserve">. Use for framework foundations; consult the installed Next.js documentation for version-specific behavior.</w:t>
      </w:r>
      <w:bookmarkStart w:id="140" w:name="ref_L6"/>
      <w:bookmarkEnd w:id="140"/>
    </w:p>
    <w:p>
      <w:pPr>
        <w:spacing w:after="110" w:line="300" w:lineRule="auto"/>
        <w:jc w:val="both"/>
        <w:widowControl w:val="1"/>
        <w:keepNext w:val="0"/>
        <w:keepLines w:val="0"/>
      </w:pPr>
      <w:hyperlink w:anchor="ref_L7">
        <w:r>
          <w:rPr>
            <w:rFonts w:ascii="Helvetica Neue" w:hAnsi="Helvetica Neue" w:cs="Helvetica Neue" w:eastAsia="Helvetica Neue"/>
            <w:color w:val="235E8A"/>
          </w:rPr>
          <w:t xml:space="preserve">[L7]</w:t>
        </w:r>
      </w:hyperlink>
      <w:r>
        <w:rPr>
          <w:rFonts w:ascii="Helvetica Neue" w:hAnsi="Helvetica Neue" w:cs="Helvetica Neue" w:eastAsia="Helvetica Neue"/>
          <w:sz w:val="22"/>
        </w:rPr>
        <w:t xml:space="preserve"> </w:t>
      </w:r>
      <w:hyperlink r:id="rIdLearning119">
        <w:r>
          <w:rPr>
            <w:rFonts w:ascii="Helvetica Neue" w:hAnsi="Helvetica Neue" w:cs="Helvetica Neue" w:eastAsia="Helvetica Neue"/>
            <w:color w:val="235E8A"/>
          </w:rPr>
          <w:t xml:space="preserve">Introduction to Node.js</w:t>
        </w:r>
      </w:hyperlink>
      <w:r>
        <w:rPr>
          <w:rFonts w:ascii="Helvetica Neue" w:hAnsi="Helvetica Neue" w:cs="Helvetica Neue" w:eastAsia="Helvetica Neue"/>
          <w:sz w:val="22"/>
        </w:rPr>
        <w:t xml:space="preserve">. Understand the server runtime and asynchronous execution.</w:t>
      </w:r>
      <w:bookmarkStart w:id="141" w:name="ref_L7"/>
      <w:bookmarkEnd w:id="141"/>
    </w:p>
    <w:p>
      <w:pPr>
        <w:spacing w:after="110" w:line="300" w:lineRule="auto"/>
        <w:jc w:val="both"/>
        <w:widowControl w:val="1"/>
        <w:keepNext w:val="0"/>
        <w:keepLines w:val="0"/>
      </w:pPr>
      <w:hyperlink w:anchor="ref_L8">
        <w:r>
          <w:rPr>
            <w:rFonts w:ascii="Helvetica Neue" w:hAnsi="Helvetica Neue" w:cs="Helvetica Neue" w:eastAsia="Helvetica Neue"/>
            <w:color w:val="235E8A"/>
          </w:rPr>
          <w:t xml:space="preserve">[L8]</w:t>
        </w:r>
      </w:hyperlink>
      <w:r>
        <w:rPr>
          <w:rFonts w:ascii="Helvetica Neue" w:hAnsi="Helvetica Neue" w:cs="Helvetica Neue" w:eastAsia="Helvetica Neue"/>
          <w:sz w:val="22"/>
        </w:rPr>
        <w:t xml:space="preserve"> </w:t>
      </w:r>
      <w:hyperlink r:id="rIdLearning120">
        <w:r>
          <w:rPr>
            <w:rFonts w:ascii="Helvetica Neue" w:hAnsi="Helvetica Neue" w:cs="Helvetica Neue" w:eastAsia="Helvetica Neue"/>
            <w:color w:val="235E8A"/>
          </w:rPr>
          <w:t xml:space="preserve">Prisma transactions and batch queries</w:t>
        </w:r>
      </w:hyperlink>
      <w:r>
        <w:rPr>
          <w:rFonts w:ascii="Helvetica Neue" w:hAnsi="Helvetica Neue" w:cs="Helvetica Neue" w:eastAsia="Helvetica Neue"/>
          <w:sz w:val="22"/>
        </w:rPr>
        <w:t xml:space="preserve">. Study transaction guarantees, concurrency and idempotent API examples; this reference is versioned for Prisma 6, so check examples against the project's installed Prisma 5.22.</w:t>
      </w:r>
      <w:bookmarkStart w:id="142" w:name="ref_L8"/>
      <w:bookmarkEnd w:id="142"/>
    </w:p>
    <w:p>
      <w:pPr>
        <w:spacing w:after="110" w:line="300" w:lineRule="auto"/>
        <w:jc w:val="both"/>
        <w:widowControl w:val="1"/>
        <w:keepNext w:val="0"/>
        <w:keepLines w:val="0"/>
      </w:pPr>
      <w:hyperlink w:anchor="ref_L9">
        <w:r>
          <w:rPr>
            <w:rFonts w:ascii="Helvetica Neue" w:hAnsi="Helvetica Neue" w:cs="Helvetica Neue" w:eastAsia="Helvetica Neue"/>
            <w:color w:val="235E8A"/>
          </w:rPr>
          <w:t xml:space="preserve">[L9]</w:t>
        </w:r>
      </w:hyperlink>
      <w:r>
        <w:rPr>
          <w:rFonts w:ascii="Helvetica Neue" w:hAnsi="Helvetica Neue" w:cs="Helvetica Neue" w:eastAsia="Helvetica Neue"/>
          <w:sz w:val="22"/>
        </w:rPr>
        <w:t xml:space="preserve"> </w:t>
      </w:r>
      <w:hyperlink r:id="rIdLearning121">
        <w:r>
          <w:rPr>
            <w:rFonts w:ascii="Helvetica Neue" w:hAnsi="Helvetica Neue" w:cs="Helvetica Neue" w:eastAsia="Helvetica Neue"/>
            <w:color w:val="235E8A"/>
          </w:rPr>
          <w:t xml:space="preserve">OWASP Authentication Cheat Sheet</w:t>
        </w:r>
      </w:hyperlink>
      <w:r>
        <w:rPr>
          <w:rFonts w:ascii="Helvetica Neue" w:hAnsi="Helvetica Neue" w:cs="Helvetica Neue" w:eastAsia="Helvetica Neue"/>
          <w:sz w:val="22"/>
        </w:rPr>
        <w:t xml:space="preserve">. General security study material; adapt it to the wallet-based design rather than copying password flows into Dotneet.</w:t>
      </w:r>
      <w:bookmarkStart w:id="143" w:name="ref_L9"/>
      <w:bookmarkEnd w:id="143"/>
    </w:p>
    <w:p>
      <w:pPr>
        <w:spacing w:after="110" w:line="300" w:lineRule="auto"/>
        <w:jc w:val="both"/>
        <w:widowControl w:val="1"/>
        <w:keepNext w:val="0"/>
        <w:keepLines w:val="0"/>
      </w:pPr>
      <w:hyperlink w:anchor="ref_L10">
        <w:r>
          <w:rPr>
            <w:rFonts w:ascii="Helvetica Neue" w:hAnsi="Helvetica Neue" w:cs="Helvetica Neue" w:eastAsia="Helvetica Neue"/>
            <w:color w:val="235E8A"/>
          </w:rPr>
          <w:t xml:space="preserve">[L10]</w:t>
        </w:r>
      </w:hyperlink>
      <w:r>
        <w:rPr>
          <w:rFonts w:ascii="Helvetica Neue" w:hAnsi="Helvetica Neue" w:cs="Helvetica Neue" w:eastAsia="Helvetica Neue"/>
          <w:sz w:val="22"/>
        </w:rPr>
        <w:t xml:space="preserve"> </w:t>
      </w:r>
      <w:hyperlink r:id="rIdLearning122">
        <w:r>
          <w:rPr>
            <w:rFonts w:ascii="Helvetica Neue" w:hAnsi="Helvetica Neue" w:cs="Helvetica Neue" w:eastAsia="Helvetica Neue"/>
            <w:color w:val="235E8A"/>
          </w:rPr>
          <w:t xml:space="preserve">Improving Students Learning With Effective Learning Techniques</w:t>
        </w:r>
      </w:hyperlink>
      <w:r>
        <w:rPr>
          <w:rFonts w:ascii="Helvetica Neue" w:hAnsi="Helvetica Neue" w:cs="Helvetica Neue" w:eastAsia="Helvetica Neue"/>
          <w:sz w:val="22"/>
        </w:rPr>
        <w:t xml:space="preserve">. Dunlosky, Rawson, Marsh, Nathan and Willingham, 2013. Psychological Science in the Public Interest 14, pages 4 to 58. DOI 10.1177/1529100612453266. Evidence review supporting practice testing and distributed practice.</w:t>
      </w:r>
      <w:bookmarkStart w:id="144" w:name="ref_L10"/>
      <w:bookmarkEnd w:id="144"/>
    </w:p>
    <w:p>
      <w:pPr>
        <w:spacing w:after="110" w:line="300" w:lineRule="auto"/>
        <w:jc w:val="both"/>
        <w:widowControl w:val="1"/>
        <w:keepNext w:val="0"/>
        <w:keepLines w:val="0"/>
      </w:pPr>
      <w:hyperlink w:anchor="ref_L11">
        <w:r>
          <w:rPr>
            <w:rFonts w:ascii="Helvetica Neue" w:hAnsi="Helvetica Neue" w:cs="Helvetica Neue" w:eastAsia="Helvetica Neue"/>
            <w:color w:val="235E8A"/>
          </w:rPr>
          <w:t xml:space="preserve">[L11]</w:t>
        </w:r>
      </w:hyperlink>
      <w:r>
        <w:rPr>
          <w:rFonts w:ascii="Helvetica Neue" w:hAnsi="Helvetica Neue" w:cs="Helvetica Neue" w:eastAsia="Helvetica Neue"/>
          <w:sz w:val="22"/>
        </w:rPr>
        <w:t xml:space="preserve"> </w:t>
      </w:r>
      <w:hyperlink r:id="rIdLearning123">
        <w:r>
          <w:rPr>
            <w:rFonts w:ascii="Helvetica Neue" w:hAnsi="Helvetica Neue" w:cs="Helvetica Neue" w:eastAsia="Helvetica Neue"/>
            <w:color w:val="235E8A"/>
          </w:rPr>
          <w:t xml:space="preserve">The Critical Importance of Retrieval for Learning</w:t>
        </w:r>
      </w:hyperlink>
      <w:r>
        <w:rPr>
          <w:rFonts w:ascii="Helvetica Neue" w:hAnsi="Helvetica Neue" w:cs="Helvetica Neue" w:eastAsia="Helvetica Neue"/>
          <w:sz w:val="22"/>
        </w:rPr>
        <w:t xml:space="preserve">. Karpicke and Roediger, 2008. Science 319, pages 966 to 968. DOI 10.1126/science.1152408. Vocabulary-learning experiment; applying it to this coding plan is a practical inference.</w:t>
      </w:r>
      <w:bookmarkStart w:id="145" w:name="ref_L11"/>
      <w:bookmarkEnd w:id="145"/>
    </w:p>
    <w:p>
      <w:pPr>
        <w:spacing w:after="110" w:line="300" w:lineRule="auto"/>
        <w:jc w:val="both"/>
        <w:widowControl w:val="1"/>
        <w:keepNext w:val="0"/>
        <w:keepLines w:val="0"/>
      </w:pPr>
      <w:hyperlink w:anchor="ref_L12">
        <w:r>
          <w:rPr>
            <w:rFonts w:ascii="Helvetica Neue" w:hAnsi="Helvetica Neue" w:cs="Helvetica Neue" w:eastAsia="Helvetica Neue"/>
            <w:color w:val="235E8A"/>
          </w:rPr>
          <w:t xml:space="preserve">[L12]</w:t>
        </w:r>
      </w:hyperlink>
      <w:r>
        <w:rPr>
          <w:rFonts w:ascii="Helvetica Neue" w:hAnsi="Helvetica Neue" w:cs="Helvetica Neue" w:eastAsia="Helvetica Neue"/>
          <w:sz w:val="22"/>
        </w:rPr>
        <w:t xml:space="preserve"> </w:t>
      </w:r>
      <w:hyperlink r:id="rIdLearning124">
        <w:r>
          <w:rPr>
            <w:rFonts w:ascii="Helvetica Neue" w:hAnsi="Helvetica Neue" w:cs="Helvetica Neue" w:eastAsia="Helvetica Neue"/>
            <w:color w:val="235E8A"/>
          </w:rPr>
          <w:t xml:space="preserve">Nimiq Mini Apps Competition community entry</w:t>
        </w:r>
      </w:hyperlink>
      <w:r>
        <w:rPr>
          <w:rFonts w:ascii="Helvetica Neue" w:hAnsi="Helvetica Neue" w:cs="Helvetica Neue" w:eastAsia="Helvetica Neue"/>
          <w:sz w:val="22"/>
        </w:rPr>
        <w:t xml:space="preserve">. Follow its current community link for peer feedback and event information.</w:t>
      </w:r>
      <w:bookmarkStart w:id="146" w:name="ref_L12"/>
      <w:bookmarkEnd w:id="146"/>
    </w:p>
    <w:p>
      <w:pPr>
        <w:spacing w:after="110" w:line="300" w:lineRule="auto"/>
        <w:jc w:val="both"/>
        <w:widowControl w:val="1"/>
        <w:keepNext w:val="0"/>
        <w:keepLines w:val="0"/>
      </w:pPr>
      <w:hyperlink w:anchor="ref_L13">
        <w:r>
          <w:rPr>
            <w:rFonts w:ascii="Helvetica Neue" w:hAnsi="Helvetica Neue" w:cs="Helvetica Neue" w:eastAsia="Helvetica Neue"/>
            <w:color w:val="235E8A"/>
          </w:rPr>
          <w:t xml:space="preserve">[L13]</w:t>
        </w:r>
      </w:hyperlink>
      <w:r>
        <w:rPr>
          <w:rFonts w:ascii="Helvetica Neue" w:hAnsi="Helvetica Neue" w:cs="Helvetica Neue" w:eastAsia="Helvetica Neue"/>
          <w:sz w:val="22"/>
        </w:rPr>
        <w:t xml:space="preserve"> </w:t>
      </w:r>
      <w:hyperlink r:id="rIdLearning125">
        <w:r>
          <w:rPr>
            <w:rFonts w:ascii="Helvetica Neue" w:hAnsi="Helvetica Neue" w:cs="Helvetica Neue" w:eastAsia="Helvetica Neue"/>
            <w:color w:val="235E8A"/>
          </w:rPr>
          <w:t xml:space="preserve">W3C Web Accessibility Tutorials</w:t>
        </w:r>
      </w:hyperlink>
      <w:r>
        <w:rPr>
          <w:rFonts w:ascii="Helvetica Neue" w:hAnsi="Helvetica Neue" w:cs="Helvetica Neue" w:eastAsia="Helvetica Neue"/>
          <w:sz w:val="22"/>
        </w:rPr>
        <w:t xml:space="preserve">. Apply the forms and page-structure guidance to one screen at a time.</w:t>
      </w:r>
      <w:bookmarkStart w:id="147" w:name="ref_L13"/>
      <w:bookmarkEnd w:id="147"/>
    </w:p>
    <w:p>
      <w:pPr>
        <w:spacing w:after="110" w:line="300" w:lineRule="auto"/>
        <w:jc w:val="both"/>
        <w:widowControl w:val="1"/>
        <w:keepNext w:val="0"/>
        <w:keepLines w:val="0"/>
      </w:pPr>
      <w:hyperlink w:anchor="ref_L14">
        <w:r>
          <w:rPr>
            <w:rFonts w:ascii="Helvetica Neue" w:hAnsi="Helvetica Neue" w:cs="Helvetica Neue" w:eastAsia="Helvetica Neue"/>
            <w:color w:val="235E8A"/>
          </w:rPr>
          <w:t xml:space="preserve">[L14]</w:t>
        </w:r>
      </w:hyperlink>
      <w:r>
        <w:rPr>
          <w:rFonts w:ascii="Helvetica Neue" w:hAnsi="Helvetica Neue" w:cs="Helvetica Neue" w:eastAsia="Helvetica Neue"/>
          <w:sz w:val="22"/>
        </w:rPr>
        <w:t xml:space="preserve"> </w:t>
      </w:r>
      <w:hyperlink r:id="rIdLearning126">
        <w:r>
          <w:rPr>
            <w:rFonts w:ascii="Helvetica Neue" w:hAnsi="Helvetica Neue" w:cs="Helvetica Neue" w:eastAsia="Helvetica Neue"/>
            <w:color w:val="235E8A"/>
          </w:rPr>
          <w:t xml:space="preserve">Pro Git</w:t>
        </w:r>
      </w:hyperlink>
      <w:r>
        <w:rPr>
          <w:rFonts w:ascii="Helvetica Neue" w:hAnsi="Helvetica Neue" w:cs="Helvetica Neue" w:eastAsia="Helvetica Neue"/>
          <w:sz w:val="22"/>
        </w:rPr>
        <w:t xml:space="preserve">. Chacon and Straub. Use the getting-started, Git basics and branching chapters for safe local practice.</w:t>
      </w:r>
      <w:bookmarkStart w:id="148" w:name="ref_L14"/>
      <w:bookmarkEnd w:id="148"/>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Helvetica Neue" w:hAnsi="Helvetica Neue" w:cs="Helvetica Neue" w:eastAsia="Helvetica Neue"/>
        <w:color w:val="5B7085"/>
        <w:sz w:val="18"/>
      </w:rPr>
      <w:t xml:space="preserve">Dotneet  |  Product and learning guide  |  </w:t>
    </w:r>
    <w:fldSimple w:instr=" PAGE ">
      <w:r>
        <w:rPr>
          <w:rFonts w:ascii="Helvetica Neue" w:hAnsi="Helvetica Neue" w:cs="Helvetica Neue" w:eastAsia="Helvetica Neue"/>
          <w:color w:val="5B7085"/>
          <w:sz w:val="18"/>
        </w:rPr>
        <w:t xml:space="preserve">1</w:t>
      </w:r>
    </w:fldSimpl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30" w:line="285" w:lineRule="auto"/>
    </w:pPr>
    <w:rPr>
      <w:b w:val="1"/>
      <w:bCs w:val="1"/>
      <w:color w:val="000000"/>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00000"/>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spacing w:after="150" w:lineRule="auto"/>
    </w:pPr>
    <w:rPr>
      <w:b w:val="1"/>
      <w:bCs w:val="1"/>
      <w:color w:val="000000"/>
      <w:sz w:val="44"/>
      <w:szCs w:val="44"/>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Learning101" Type="http://schemas.openxmlformats.org/officeDocument/2006/relationships/hyperlink" Target="https://www.nimiq.com/about/" TargetMode="External"/><Relationship Id="rIdLearning102" Type="http://schemas.openxmlformats.org/officeDocument/2006/relationships/hyperlink" Target="https://miniappscompetition.com/rules" TargetMode="External"/><Relationship Id="rIdLearning103" Type="http://schemas.openxmlformats.org/officeDocument/2006/relationships/hyperlink" Target="https://www.nimiq.com/blog/mini-apps-competition-cycle-1-winner-announcement/" TargetMode="External"/><Relationship Id="rIdLearning104" Type="http://schemas.openxmlformats.org/officeDocument/2006/relationships/hyperlink" Target="https://nimiq.dev/mini-apps" TargetMode="External"/><Relationship Id="rIdLearning105" Type="http://schemas.openxmlformats.org/officeDocument/2006/relationships/hyperlink" Target="https://docs.ens.domains/" TargetMode="External"/><Relationship Id="rIdLearning106" Type="http://schemas.openxmlformats.org/officeDocument/2006/relationships/hyperlink" Target="https://docs.sns.id/collection" TargetMode="External"/><Relationship Id="rIdLearning107" Type="http://schemas.openxmlformats.org/officeDocument/2006/relationships/hyperlink" Target="https://github.com/NimMiniApps/NimConnect" TargetMode="External"/><Relationship Id="rIdLearning108" Type="http://schemas.openxmlformats.org/officeDocument/2006/relationships/hyperlink" Target="https://docs.attest.org/docs/zk--playbook/core-concepts" TargetMode="External"/><Relationship Id="rIdLearning109" Type="http://schemas.openxmlformats.org/officeDocument/2006/relationships/hyperlink" Target="https://ethglobal.com/showcase/clarity-c2us8" TargetMode="External"/><Relationship Id="rIdLearning110" Type="http://schemas.openxmlformats.org/officeDocument/2006/relationships/hyperlink" Target="https://www.nimiq.com/blog/nimiq-collaborating-with-coinpay/" TargetMode="External"/><Relationship Id="rIdLearning111" Type="http://schemas.openxmlformats.org/officeDocument/2006/relationships/hyperlink" Target="https://miniappscompetition.com/scoring" TargetMode="External"/><Relationship Id="rIdLearning112" Type="http://schemas.openxmlformats.org/officeDocument/2006/relationships/hyperlink" Target="https://nimiq.dev/mini-apps/api-reference/nimiq-provider" TargetMode="External"/><Relationship Id="rIdLearning113" Type="http://schemas.openxmlformats.org/officeDocument/2006/relationships/hyperlink" Target="https://nimiq.dev/mini-apps/tutorials/mini-app-tutorial" TargetMode="External"/><Relationship Id="rIdLearning114" Type="http://schemas.openxmlformats.org/officeDocument/2006/relationships/hyperlink" Target="https://nimiq.dev/mini-apps/development/load-local-mini-app" TargetMode="External"/><Relationship Id="rIdLearning115" Type="http://schemas.openxmlformats.org/officeDocument/2006/relationships/hyperlink" Target="https://developer.mozilla.org/en-US/docs/Learn_web_development" TargetMode="External"/><Relationship Id="rIdLearning116" Type="http://schemas.openxmlformats.org/officeDocument/2006/relationships/hyperlink" Target="https://www.typescriptlang.org/docs/handbook/intro.html" TargetMode="External"/><Relationship Id="rIdLearning117" Type="http://schemas.openxmlformats.org/officeDocument/2006/relationships/hyperlink" Target="https://react.dev/learn" TargetMode="External"/><Relationship Id="rIdLearning118" Type="http://schemas.openxmlformats.org/officeDocument/2006/relationships/hyperlink" Target="https://nextjs.org/learn" TargetMode="External"/><Relationship Id="rIdLearning119" Type="http://schemas.openxmlformats.org/officeDocument/2006/relationships/hyperlink" Target="https://nodejs.org/en/learn/getting-started/introduction-to-nodejs" TargetMode="External"/><Relationship Id="rIdLearning120" Type="http://schemas.openxmlformats.org/officeDocument/2006/relationships/hyperlink" Target="https://www.prisma.io/docs/orm/v6/prisma-client/queries/transactions" TargetMode="External"/><Relationship Id="rIdLearning121" Type="http://schemas.openxmlformats.org/officeDocument/2006/relationships/hyperlink" Target="https://cheatsheetseries.owasp.org/cheatsheets/Authentication_Cheat_Sheet.html" TargetMode="External"/><Relationship Id="rIdLearning122" Type="http://schemas.openxmlformats.org/officeDocument/2006/relationships/hyperlink" Target="https://acs.ist.psu.edu/ist521/dunloskyRMNW13.pdf" TargetMode="External"/><Relationship Id="rIdLearning123" Type="http://schemas.openxmlformats.org/officeDocument/2006/relationships/hyperlink" Target="https://learninglab.psych.purdue.edu/downloads/2008/2008_Karpicke_Roediger_Science.pdf" TargetMode="External"/><Relationship Id="rIdLearning124" Type="http://schemas.openxmlformats.org/officeDocument/2006/relationships/hyperlink" Target="https://miniappscompetition.com/" TargetMode="External"/><Relationship Id="rIdLearning125" Type="http://schemas.openxmlformats.org/officeDocument/2006/relationships/hyperlink" Target="https://www.w3.org/WAI/tutorials/" TargetMode="External"/><Relationship Id="rIdLearning126" Type="http://schemas.openxmlformats.org/officeDocument/2006/relationships/hyperlink" Target="https://git-scm.com/book/en/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