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Synbot Agent &amp; Tool Architecture</w:t>
      </w:r>
    </w:p>
    <w:p>
      <w:pPr>
        <w:jc w:val="center"/>
      </w:pPr>
      <w:r>
        <w:rPr>
          <w:i/>
        </w:rPr>
        <w:t>Document 09 • Version 1.0</w:t>
      </w:r>
    </w:p>
    <w:p>
      <w:pPr>
        <w:jc w:val="center"/>
      </w:pPr>
      <w:r>
        <w:rPr>
          <w:b/>
        </w:rPr>
        <w:t>Controlled orchestration for agents, tools, workflows and human escalation</w:t>
      </w:r>
    </w:p>
    <w:p>
      <w:pPr>
        <w:pStyle w:val="Heading1"/>
      </w:pPr>
      <w:r>
        <w:t>1. Purpose</w:t>
      </w:r>
    </w:p>
    <w:p>
      <w:r>
        <w:t>Documents 1–8 established Synbot's conversational standard, grounding rules, prompt architecture, evaluation framework, implementation architecture, configuration model, and data/knowledge architecture. Document 9 defines how Synbot orchestrates specialised capabilities, tools, workflows and human escalation.</w:t>
      </w:r>
    </w:p>
    <w:p>
      <w:pPr>
        <w:pStyle w:val="IntenseQuote"/>
      </w:pPr>
      <w:r>
        <w:t>Use the simplest architecture that reliably completes the job.</w:t>
      </w:r>
    </w:p>
    <w:p>
      <w:r>
        <w:t>The objective is not to make Synbot 'multi-agent' for its own sake. Agents are useful when they provide a clear separation of responsibility. Otherwise, a direct workflow or tool call should be preferred.</w:t>
      </w:r>
    </w:p>
    <w:p>
      <w:pPr>
        <w:pStyle w:val="Heading1"/>
      </w:pPr>
      <w:r>
        <w:t>2. Orchestration Principle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Need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Preferred mechanism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3312"/>
            <w:vAlign w:val="top"/>
          </w:tcPr>
          <w:p>
            <w:r>
              <w:t>Simple answer</w:t>
            </w:r>
          </w:p>
        </w:tc>
        <w:tc>
          <w:tcPr>
            <w:tcW w:type="dxa" w:w="3312"/>
            <w:vAlign w:val="top"/>
          </w:tcPr>
          <w:p>
            <w:r>
              <w:t>Core Synbot</w:t>
            </w:r>
          </w:p>
        </w:tc>
        <w:tc>
          <w:tcPr>
            <w:tcW w:type="dxa" w:w="3312"/>
            <w:vAlign w:val="top"/>
          </w:tcPr>
          <w:p>
            <w:r>
              <w:t>Fastest and least complex</w:t>
            </w:r>
          </w:p>
        </w:tc>
      </w:tr>
      <w:tr>
        <w:tc>
          <w:tcPr>
            <w:tcW w:type="dxa" w:w="3312"/>
            <w:vAlign w:val="top"/>
          </w:tcPr>
          <w:p>
            <w:r>
              <w:t>Retrieve a record</w:t>
            </w:r>
          </w:p>
        </w:tc>
        <w:tc>
          <w:tcPr>
            <w:tcW w:type="dxa" w:w="3312"/>
            <w:vAlign w:val="top"/>
          </w:tcPr>
          <w:p>
            <w:r>
              <w:t>Tool / data service</w:t>
            </w:r>
          </w:p>
        </w:tc>
        <w:tc>
          <w:tcPr>
            <w:tcW w:type="dxa" w:w="3312"/>
            <w:vAlign w:val="top"/>
          </w:tcPr>
          <w:p>
            <w:r>
              <w:t>Deterministic access</w:t>
            </w:r>
          </w:p>
        </w:tc>
      </w:tr>
      <w:tr>
        <w:tc>
          <w:tcPr>
            <w:tcW w:type="dxa" w:w="3312"/>
            <w:vAlign w:val="top"/>
          </w:tcPr>
          <w:p>
            <w:r>
              <w:t>Retrieve a policy</w:t>
            </w:r>
          </w:p>
        </w:tc>
        <w:tc>
          <w:tcPr>
            <w:tcW w:type="dxa" w:w="3312"/>
            <w:vAlign w:val="top"/>
          </w:tcPr>
          <w:p>
            <w:r>
              <w:t>RAG/retrieval</w:t>
            </w:r>
          </w:p>
        </w:tc>
        <w:tc>
          <w:tcPr>
            <w:tcW w:type="dxa" w:w="3312"/>
            <w:vAlign w:val="top"/>
          </w:tcPr>
          <w:p>
            <w:r>
              <w:t>Document evidence</w:t>
            </w:r>
          </w:p>
        </w:tc>
      </w:tr>
      <w:tr>
        <w:tc>
          <w:tcPr>
            <w:tcW w:type="dxa" w:w="3312"/>
            <w:vAlign w:val="top"/>
          </w:tcPr>
          <w:p>
            <w:r>
              <w:t>Calculate/transform</w:t>
            </w:r>
          </w:p>
        </w:tc>
        <w:tc>
          <w:tcPr>
            <w:tcW w:type="dxa" w:w="3312"/>
            <w:vAlign w:val="top"/>
          </w:tcPr>
          <w:p>
            <w:r>
              <w:t>Specialised function/tool</w:t>
            </w:r>
          </w:p>
        </w:tc>
        <w:tc>
          <w:tcPr>
            <w:tcW w:type="dxa" w:w="3312"/>
            <w:vAlign w:val="top"/>
          </w:tcPr>
          <w:p>
            <w:r>
              <w:t>Reliable computation</w:t>
            </w:r>
          </w:p>
        </w:tc>
      </w:tr>
      <w:tr>
        <w:tc>
          <w:tcPr>
            <w:tcW w:type="dxa" w:w="3312"/>
            <w:vAlign w:val="top"/>
          </w:tcPr>
          <w:p>
            <w:r>
              <w:t>Multi-step business workflow</w:t>
            </w:r>
          </w:p>
        </w:tc>
        <w:tc>
          <w:tcPr>
            <w:tcW w:type="dxa" w:w="3312"/>
            <w:vAlign w:val="top"/>
          </w:tcPr>
          <w:p>
            <w:r>
              <w:t>Workflow/service</w:t>
            </w:r>
          </w:p>
        </w:tc>
        <w:tc>
          <w:tcPr>
            <w:tcW w:type="dxa" w:w="3312"/>
            <w:vAlign w:val="top"/>
          </w:tcPr>
          <w:p>
            <w:r>
              <w:t>Explicit state and validation</w:t>
            </w:r>
          </w:p>
        </w:tc>
      </w:tr>
      <w:tr>
        <w:tc>
          <w:tcPr>
            <w:tcW w:type="dxa" w:w="3312"/>
            <w:vAlign w:val="top"/>
          </w:tcPr>
          <w:p>
            <w:r>
              <w:t>Complex domain reasoning</w:t>
            </w:r>
          </w:p>
        </w:tc>
        <w:tc>
          <w:tcPr>
            <w:tcW w:type="dxa" w:w="3312"/>
            <w:vAlign w:val="top"/>
          </w:tcPr>
          <w:p>
            <w:r>
              <w:t>Specialist agent/module</w:t>
            </w:r>
          </w:p>
        </w:tc>
        <w:tc>
          <w:tcPr>
            <w:tcW w:type="dxa" w:w="3312"/>
            <w:vAlign w:val="top"/>
          </w:tcPr>
          <w:p>
            <w:r>
              <w:t>Clear domain responsibility</w:t>
            </w:r>
          </w:p>
        </w:tc>
      </w:tr>
      <w:tr>
        <w:tc>
          <w:tcPr>
            <w:tcW w:type="dxa" w:w="3312"/>
            <w:vAlign w:val="top"/>
          </w:tcPr>
          <w:p>
            <w:r>
              <w:t>Human decision required</w:t>
            </w:r>
          </w:p>
        </w:tc>
        <w:tc>
          <w:tcPr>
            <w:tcW w:type="dxa" w:w="3312"/>
            <w:vAlign w:val="top"/>
          </w:tcPr>
          <w:p>
            <w:r>
              <w:t>Escalation workflow</w:t>
            </w:r>
          </w:p>
        </w:tc>
        <w:tc>
          <w:tcPr>
            <w:tcW w:type="dxa" w:w="3312"/>
            <w:vAlign w:val="top"/>
          </w:tcPr>
          <w:p>
            <w:r>
              <w:t>Preserves accountability</w:t>
            </w:r>
          </w:p>
        </w:tc>
      </w:tr>
    </w:tbl>
    <w:p>
      <w:pPr>
        <w:pStyle w:val="Heading1"/>
      </w:pPr>
      <w:r>
        <w:t>3. Synbot Orchestration Model</w:t>
      </w:r>
    </w:p>
    <w:p>
      <w:pPr>
        <w:pStyle w:val="IntenseQuote"/>
      </w:pPr>
      <w:r>
        <w:t>Router → Evidence/Tools → Specialist capability when needed → Validation → Response/Action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Router</w:t>
            </w:r>
          </w:p>
        </w:tc>
        <w:tc>
          <w:tcPr>
            <w:tcW w:type="dxa" w:w="4968"/>
            <w:vAlign w:val="top"/>
          </w:tcPr>
          <w:p>
            <w:r>
              <w:t>Understand intent and select execution path</w:t>
            </w:r>
          </w:p>
        </w:tc>
      </w:tr>
      <w:tr>
        <w:tc>
          <w:tcPr>
            <w:tcW w:type="dxa" w:w="4968"/>
            <w:vAlign w:val="top"/>
          </w:tcPr>
          <w:p>
            <w:r>
              <w:t>Context Manager</w:t>
            </w:r>
          </w:p>
        </w:tc>
        <w:tc>
          <w:tcPr>
            <w:tcW w:type="dxa" w:w="4968"/>
            <w:vAlign w:val="top"/>
          </w:tcPr>
          <w:p>
            <w:r>
              <w:t>Provide identity, role, company and conversation state</w:t>
            </w:r>
          </w:p>
        </w:tc>
      </w:tr>
      <w:tr>
        <w:tc>
          <w:tcPr>
            <w:tcW w:type="dxa" w:w="4968"/>
            <w:vAlign w:val="top"/>
          </w:tcPr>
          <w:p>
            <w:r>
              <w:t>Tool Registry</w:t>
            </w:r>
          </w:p>
        </w:tc>
        <w:tc>
          <w:tcPr>
            <w:tcW w:type="dxa" w:w="4968"/>
            <w:vAlign w:val="top"/>
          </w:tcPr>
          <w:p>
            <w:r>
              <w:t>Expose authorised capabilities</w:t>
            </w:r>
          </w:p>
        </w:tc>
      </w:tr>
      <w:tr>
        <w:tc>
          <w:tcPr>
            <w:tcW w:type="dxa" w:w="4968"/>
            <w:vAlign w:val="top"/>
          </w:tcPr>
          <w:p>
            <w:r>
              <w:t>Tool Executor</w:t>
            </w:r>
          </w:p>
        </w:tc>
        <w:tc>
          <w:tcPr>
            <w:tcW w:type="dxa" w:w="4968"/>
            <w:vAlign w:val="top"/>
          </w:tcPr>
          <w:p>
            <w:r>
              <w:t>Execute validated tool calls</w:t>
            </w:r>
          </w:p>
        </w:tc>
      </w:tr>
      <w:tr>
        <w:tc>
          <w:tcPr>
            <w:tcW w:type="dxa" w:w="4968"/>
            <w:vAlign w:val="top"/>
          </w:tcPr>
          <w:p>
            <w:r>
              <w:t>Specialist Agent</w:t>
            </w:r>
          </w:p>
        </w:tc>
        <w:tc>
          <w:tcPr>
            <w:tcW w:type="dxa" w:w="4968"/>
            <w:vAlign w:val="top"/>
          </w:tcPr>
          <w:p>
            <w:r>
              <w:t>Handle bounded domain/task reasoning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 Engine</w:t>
            </w:r>
          </w:p>
        </w:tc>
        <w:tc>
          <w:tcPr>
            <w:tcW w:type="dxa" w:w="4968"/>
            <w:vAlign w:val="top"/>
          </w:tcPr>
          <w:p>
            <w:r>
              <w:t>Manage deterministic multi-step processes</w:t>
            </w:r>
          </w:p>
        </w:tc>
      </w:tr>
      <w:tr>
        <w:tc>
          <w:tcPr>
            <w:tcW w:type="dxa" w:w="4968"/>
            <w:vAlign w:val="top"/>
          </w:tcPr>
          <w:p>
            <w:r>
              <w:t>Validator</w:t>
            </w:r>
          </w:p>
        </w:tc>
        <w:tc>
          <w:tcPr>
            <w:tcW w:type="dxa" w:w="4968"/>
            <w:vAlign w:val="top"/>
          </w:tcPr>
          <w:p>
            <w:r>
              <w:t>Check evidence, permissions and action result</w:t>
            </w:r>
          </w:p>
        </w:tc>
      </w:tr>
      <w:tr>
        <w:tc>
          <w:tcPr>
            <w:tcW w:type="dxa" w:w="4968"/>
            <w:vAlign w:val="top"/>
          </w:tcPr>
          <w:p>
            <w:r>
              <w:t>Human Escalation</w:t>
            </w:r>
          </w:p>
        </w:tc>
        <w:tc>
          <w:tcPr>
            <w:tcW w:type="dxa" w:w="4968"/>
            <w:vAlign w:val="top"/>
          </w:tcPr>
          <w:p>
            <w:r>
              <w:t>Transfer cases requiring human judgement</w:t>
            </w:r>
          </w:p>
        </w:tc>
      </w:tr>
      <w:tr>
        <w:tc>
          <w:tcPr>
            <w:tcW w:type="dxa" w:w="4968"/>
            <w:vAlign w:val="top"/>
          </w:tcPr>
          <w:p>
            <w:r>
              <w:t>Audit/Telemetry</w:t>
            </w:r>
          </w:p>
        </w:tc>
        <w:tc>
          <w:tcPr>
            <w:tcW w:type="dxa" w:w="4968"/>
            <w:vAlign w:val="top"/>
          </w:tcPr>
          <w:p>
            <w:r>
              <w:t>Record appropriate execution metadata</w:t>
            </w:r>
          </w:p>
        </w:tc>
      </w:tr>
    </w:tbl>
    <w:p>
      <w:pPr>
        <w:pStyle w:val="Heading1"/>
      </w:pPr>
      <w:r>
        <w:t>4. Core Synbot vs Specialist Agents</w:t>
      </w:r>
    </w:p>
    <w:p>
      <w:r>
        <w:t>The core should remain responsible for universal behaviour. Specialists should solve bounded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Core Synbot owns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Specialist may own</w:t>
            </w:r>
          </w:p>
        </w:tc>
      </w:tr>
      <w:tr>
        <w:tc>
          <w:tcPr>
            <w:tcW w:type="dxa" w:w="4968"/>
            <w:vAlign w:val="top"/>
          </w:tcPr>
          <w:p>
            <w:r>
              <w:t>Conversation standard</w:t>
            </w:r>
          </w:p>
        </w:tc>
        <w:tc>
          <w:tcPr>
            <w:tcW w:type="dxa" w:w="4968"/>
            <w:vAlign w:val="top"/>
          </w:tcPr>
          <w:p>
            <w:r>
              <w:t>Domain-specific reasoning</w:t>
            </w:r>
          </w:p>
        </w:tc>
      </w:tr>
      <w:tr>
        <w:tc>
          <w:tcPr>
            <w:tcW w:type="dxa" w:w="4968"/>
            <w:vAlign w:val="top"/>
          </w:tcPr>
          <w:p>
            <w:r>
              <w:t>Confidence calibration</w:t>
            </w:r>
          </w:p>
        </w:tc>
        <w:tc>
          <w:tcPr>
            <w:tcW w:type="dxa" w:w="4968"/>
            <w:vAlign w:val="top"/>
          </w:tcPr>
          <w:p>
            <w:r>
              <w:t>Complex domain interpretation</w:t>
            </w:r>
          </w:p>
        </w:tc>
      </w:tr>
      <w:tr>
        <w:tc>
          <w:tcPr>
            <w:tcW w:type="dxa" w:w="4968"/>
            <w:vAlign w:val="top"/>
          </w:tcPr>
          <w:p>
            <w:r>
              <w:t>Tenant/company context</w:t>
            </w:r>
          </w:p>
        </w:tc>
        <w:tc>
          <w:tcPr>
            <w:tcW w:type="dxa" w:w="4968"/>
            <w:vAlign w:val="top"/>
          </w:tcPr>
          <w:p>
            <w:r>
              <w:t>Domain workflow logic</w:t>
            </w:r>
          </w:p>
        </w:tc>
      </w:tr>
      <w:tr>
        <w:tc>
          <w:tcPr>
            <w:tcW w:type="dxa" w:w="4968"/>
            <w:vAlign w:val="top"/>
          </w:tcPr>
          <w:p>
            <w:r>
              <w:t>Safety baseline</w:t>
            </w:r>
          </w:p>
        </w:tc>
        <w:tc>
          <w:tcPr>
            <w:tcW w:type="dxa" w:w="4968"/>
            <w:vAlign w:val="top"/>
          </w:tcPr>
          <w:p>
            <w:r>
              <w:t>Specialised domain validation</w:t>
            </w:r>
          </w:p>
        </w:tc>
      </w:tr>
      <w:tr>
        <w:tc>
          <w:tcPr>
            <w:tcW w:type="dxa" w:w="4968"/>
            <w:vAlign w:val="top"/>
          </w:tcPr>
          <w:p>
            <w:r>
              <w:t>Response construction</w:t>
            </w:r>
          </w:p>
        </w:tc>
        <w:tc>
          <w:tcPr>
            <w:tcW w:type="dxa" w:w="4968"/>
            <w:vAlign w:val="top"/>
          </w:tcPr>
          <w:p>
            <w:r>
              <w:t>Domain-specific analysis</w:t>
            </w:r>
          </w:p>
        </w:tc>
      </w:tr>
      <w:tr>
        <w:tc>
          <w:tcPr>
            <w:tcW w:type="dxa" w:w="4968"/>
            <w:vAlign w:val="top"/>
          </w:tcPr>
          <w:p>
            <w:r>
              <w:t>Tool governance</w:t>
            </w:r>
          </w:p>
        </w:tc>
        <w:tc>
          <w:tcPr>
            <w:tcW w:type="dxa" w:w="4968"/>
            <w:vAlign w:val="top"/>
          </w:tcPr>
          <w:p>
            <w:r>
              <w:t>Specialised task execution planning</w:t>
            </w:r>
          </w:p>
        </w:tc>
      </w:tr>
    </w:tbl>
    <w:p>
      <w:pPr>
        <w:pStyle w:val="Heading1"/>
      </w:pPr>
      <w:r>
        <w:t>5. When NOT to Create an Agent</w:t>
      </w:r>
    </w:p>
    <w:p>
      <w:pPr>
        <w:pStyle w:val="ListBullet"/>
      </w:pPr>
      <w:r>
        <w:t>One tool call solves the task.</w:t>
      </w:r>
    </w:p>
    <w:p>
      <w:pPr>
        <w:pStyle w:val="ListBullet"/>
      </w:pPr>
      <w:r>
        <w:t>A deterministic workflow is sufficient.</w:t>
      </w:r>
    </w:p>
    <w:p>
      <w:pPr>
        <w:pStyle w:val="ListBullet"/>
      </w:pPr>
      <w:r>
        <w:t>The task is simply document retrieval.</w:t>
      </w:r>
    </w:p>
    <w:p>
      <w:pPr>
        <w:pStyle w:val="ListBullet"/>
      </w:pPr>
      <w:r>
        <w:t>The specialist would duplicate the core Synbot prompt.</w:t>
      </w:r>
    </w:p>
    <w:p>
      <w:pPr>
        <w:pStyle w:val="ListBullet"/>
      </w:pPr>
      <w:r>
        <w:t>The agent has no clear authority or responsibility.</w:t>
      </w:r>
    </w:p>
    <w:p>
      <w:pPr>
        <w:pStyle w:val="ListBullet"/>
      </w:pPr>
      <w:r>
        <w:t>Adding an agent only increases latency and coordination complexity.</w:t>
      </w:r>
    </w:p>
    <w:p>
      <w:pPr>
        <w:pStyle w:val="ListBullet"/>
      </w:pPr>
      <w:r>
        <w:t>The task can be implemented as a small, testable service.</w:t>
      </w:r>
    </w:p>
    <w:p>
      <w:r>
        <w:t>This prevents an architecture where every capability becomes an independent LLM that must communicate with other LLMs.</w:t>
      </w:r>
    </w:p>
    <w:p>
      <w:pPr>
        <w:pStyle w:val="Heading1"/>
      </w:pPr>
      <w:r>
        <w:t>6. When a Specialist Agent Is Justified</w:t>
      </w:r>
    </w:p>
    <w:p>
      <w:pPr>
        <w:pStyle w:val="ListBullet"/>
      </w:pPr>
      <w:r>
        <w:t>The task has a distinct domain responsibility.</w:t>
      </w:r>
    </w:p>
    <w:p>
      <w:pPr>
        <w:pStyle w:val="ListBullet"/>
      </w:pPr>
      <w:r>
        <w:t>It requires multiple related reasoning steps.</w:t>
      </w:r>
    </w:p>
    <w:p>
      <w:pPr>
        <w:pStyle w:val="ListBullet"/>
      </w:pPr>
      <w:r>
        <w:t>It has a defined evidence set.</w:t>
      </w:r>
    </w:p>
    <w:p>
      <w:pPr>
        <w:pStyle w:val="ListBullet"/>
      </w:pPr>
      <w:r>
        <w:t>It has a bounded tool set.</w:t>
      </w:r>
    </w:p>
    <w:p>
      <w:pPr>
        <w:pStyle w:val="ListBullet"/>
      </w:pPr>
      <w:r>
        <w:t>It has clear inputs and outputs.</w:t>
      </w:r>
    </w:p>
    <w:p>
      <w:pPr>
        <w:pStyle w:val="ListBullet"/>
      </w:pPr>
      <w:r>
        <w:t>It can be evaluated independently.</w:t>
      </w:r>
    </w:p>
    <w:p>
      <w:pPr>
        <w:pStyle w:val="ListBullet"/>
      </w:pPr>
      <w:r>
        <w:t>It may evolve independently from the universal conversational core.</w:t>
      </w:r>
    </w:p>
    <w:p>
      <w:pPr>
        <w:pStyle w:val="Heading1"/>
      </w:pPr>
      <w:r>
        <w:t>7. Agent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agent_id</w:t>
            </w:r>
          </w:p>
        </w:tc>
        <w:tc>
          <w:tcPr>
            <w:tcW w:type="dxa" w:w="4968"/>
            <w:vAlign w:val="top"/>
          </w:tcPr>
          <w:p>
            <w:r>
              <w:t>Stable identifier</w:t>
            </w:r>
          </w:p>
        </w:tc>
      </w:tr>
      <w:tr>
        <w:tc>
          <w:tcPr>
            <w:tcW w:type="dxa" w:w="4968"/>
            <w:vAlign w:val="top"/>
          </w:tcPr>
          <w:p>
            <w:r>
              <w:t>name</w:t>
            </w:r>
          </w:p>
        </w:tc>
        <w:tc>
          <w:tcPr>
            <w:tcW w:type="dxa" w:w="4968"/>
            <w:vAlign w:val="top"/>
          </w:tcPr>
          <w:p>
            <w:r>
              <w:t>Human-readable name</w:t>
            </w:r>
          </w:p>
        </w:tc>
      </w:tr>
      <w:tr>
        <w:tc>
          <w:tcPr>
            <w:tcW w:type="dxa" w:w="4968"/>
            <w:vAlign w:val="top"/>
          </w:tcPr>
          <w:p>
            <w:r>
              <w:t>domain</w:t>
            </w:r>
          </w:p>
        </w:tc>
        <w:tc>
          <w:tcPr>
            <w:tcW w:type="dxa" w:w="4968"/>
            <w:vAlign w:val="top"/>
          </w:tcPr>
          <w:p>
            <w:r>
              <w:t>Domain boundary</w:t>
            </w:r>
          </w:p>
        </w:tc>
      </w:tr>
      <w:tr>
        <w:tc>
          <w:tcPr>
            <w:tcW w:type="dxa" w:w="4968"/>
            <w:vAlign w:val="top"/>
          </w:tcPr>
          <w:p>
            <w:r>
              <w:t>purpose</w:t>
            </w:r>
          </w:p>
        </w:tc>
        <w:tc>
          <w:tcPr>
            <w:tcW w:type="dxa" w:w="4968"/>
            <w:vAlign w:val="top"/>
          </w:tcPr>
          <w:p>
            <w:r>
              <w:t>Single primary responsibility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inputs</w:t>
            </w:r>
          </w:p>
        </w:tc>
        <w:tc>
          <w:tcPr>
            <w:tcW w:type="dxa" w:w="4968"/>
            <w:vAlign w:val="top"/>
          </w:tcPr>
          <w:p>
            <w:r>
              <w:t>Accepted context/evidence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sources</w:t>
            </w:r>
          </w:p>
        </w:tc>
        <w:tc>
          <w:tcPr>
            <w:tcW w:type="dxa" w:w="4968"/>
            <w:vAlign w:val="top"/>
          </w:tcPr>
          <w:p>
            <w:r>
              <w:t>Authorised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tools</w:t>
            </w:r>
          </w:p>
        </w:tc>
        <w:tc>
          <w:tcPr>
            <w:tcW w:type="dxa" w:w="4968"/>
            <w:vAlign w:val="top"/>
          </w:tcPr>
          <w:p>
            <w:r>
              <w:t>Allowed tool set</w:t>
            </w:r>
          </w:p>
        </w:tc>
      </w:tr>
      <w:tr>
        <w:tc>
          <w:tcPr>
            <w:tcW w:type="dxa" w:w="4968"/>
            <w:vAlign w:val="top"/>
          </w:tcPr>
          <w:p>
            <w:r>
              <w:t>permissions</w:t>
            </w:r>
          </w:p>
        </w:tc>
        <w:tc>
          <w:tcPr>
            <w:tcW w:type="dxa" w:w="4968"/>
            <w:vAlign w:val="top"/>
          </w:tcPr>
          <w:p>
            <w:r>
              <w:t>Allowed execution scope</w:t>
            </w:r>
          </w:p>
        </w:tc>
      </w:tr>
      <w:tr>
        <w:tc>
          <w:tcPr>
            <w:tcW w:type="dxa" w:w="4968"/>
            <w:vAlign w:val="top"/>
          </w:tcPr>
          <w:p>
            <w:r>
              <w:t>outputs</w:t>
            </w:r>
          </w:p>
        </w:tc>
        <w:tc>
          <w:tcPr>
            <w:tcW w:type="dxa" w:w="4968"/>
            <w:vAlign w:val="top"/>
          </w:tcPr>
          <w:p>
            <w:r>
              <w:t>Structured result contract</w:t>
            </w:r>
          </w:p>
        </w:tc>
      </w:tr>
      <w:tr>
        <w:tc>
          <w:tcPr>
            <w:tcW w:type="dxa" w:w="4968"/>
            <w:vAlign w:val="top"/>
          </w:tcPr>
          <w:p>
            <w:r>
              <w:t>failure_modes</w:t>
            </w:r>
          </w:p>
        </w:tc>
        <w:tc>
          <w:tcPr>
            <w:tcW w:type="dxa" w:w="4968"/>
            <w:vAlign w:val="top"/>
          </w:tcPr>
          <w:p>
            <w:r>
              <w:t>Expected failures</w:t>
            </w:r>
          </w:p>
        </w:tc>
      </w:tr>
      <w:tr>
        <w:tc>
          <w:tcPr>
            <w:tcW w:type="dxa" w:w="4968"/>
            <w:vAlign w:val="top"/>
          </w:tcPr>
          <w:p>
            <w:r>
              <w:t>escalation</w:t>
            </w:r>
          </w:p>
        </w:tc>
        <w:tc>
          <w:tcPr>
            <w:tcW w:type="dxa" w:w="4968"/>
            <w:vAlign w:val="top"/>
          </w:tcPr>
          <w:p>
            <w:r>
              <w:t>Human handoff conditions</w:t>
            </w:r>
          </w:p>
        </w:tc>
      </w:tr>
      <w:tr>
        <w:tc>
          <w:tcPr>
            <w:tcW w:type="dxa" w:w="4968"/>
            <w:vAlign w:val="top"/>
          </w:tcPr>
          <w:p>
            <w:r>
              <w:t>evaluation_pack</w:t>
            </w:r>
          </w:p>
        </w:tc>
        <w:tc>
          <w:tcPr>
            <w:tcW w:type="dxa" w:w="4968"/>
            <w:vAlign w:val="top"/>
          </w:tcPr>
          <w:p>
            <w:r>
              <w:t>Agent-specific tests</w:t>
            </w:r>
          </w:p>
        </w:tc>
      </w:tr>
      <w:tr>
        <w:tc>
          <w:tcPr>
            <w:tcW w:type="dxa" w:w="4968"/>
            <w:vAlign w:val="top"/>
          </w:tcPr>
          <w:p>
            <w:r>
              <w:t>version</w:t>
            </w:r>
          </w:p>
        </w:tc>
        <w:tc>
          <w:tcPr>
            <w:tcW w:type="dxa" w:w="4968"/>
            <w:vAlign w:val="top"/>
          </w:tcPr>
          <w:p>
            <w:r>
              <w:t>Deployable version</w:t>
            </w:r>
          </w:p>
        </w:tc>
      </w:tr>
    </w:tbl>
    <w:p>
      <w:pPr>
        <w:pStyle w:val="Heading1"/>
      </w:pPr>
      <w:r>
        <w:t>8. Example Agent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Typical tools</w:t>
            </w:r>
          </w:p>
        </w:tc>
      </w:tr>
      <w:tr>
        <w:tc>
          <w:tcPr>
            <w:tcW w:type="dxa" w:w="3312"/>
            <w:vAlign w:val="top"/>
          </w:tcPr>
          <w:p>
            <w:r>
              <w:t>Clinical Context Agent</w:t>
            </w:r>
          </w:p>
        </w:tc>
        <w:tc>
          <w:tcPr>
            <w:tcW w:type="dxa" w:w="3312"/>
            <w:vAlign w:val="top"/>
          </w:tcPr>
          <w:p>
            <w:r>
              <w:t>Interpret authorised clinical context</w:t>
            </w:r>
          </w:p>
        </w:tc>
        <w:tc>
          <w:tcPr>
            <w:tcW w:type="dxa" w:w="3312"/>
            <w:vAlign w:val="top"/>
          </w:tcPr>
          <w:p>
            <w:r>
              <w:t>Patient/encounter lookup</w:t>
            </w:r>
          </w:p>
        </w:tc>
      </w:tr>
      <w:tr>
        <w:tc>
          <w:tcPr>
            <w:tcW w:type="dxa" w:w="3312"/>
            <w:vAlign w:val="top"/>
          </w:tcPr>
          <w:p>
            <w:r>
              <w:t>Pharmacy Agent</w:t>
            </w:r>
          </w:p>
        </w:tc>
        <w:tc>
          <w:tcPr>
            <w:tcW w:type="dxa" w:w="3312"/>
            <w:vAlign w:val="top"/>
          </w:tcPr>
          <w:p>
            <w:r>
              <w:t>Handle prescription/dispensing workflows</w:t>
            </w:r>
          </w:p>
        </w:tc>
        <w:tc>
          <w:tcPr>
            <w:tcW w:type="dxa" w:w="3312"/>
            <w:vAlign w:val="top"/>
          </w:tcPr>
          <w:p>
            <w:r>
              <w:t>Prescription/stock tools</w:t>
            </w:r>
          </w:p>
        </w:tc>
      </w:tr>
      <w:tr>
        <w:tc>
          <w:tcPr>
            <w:tcW w:type="dxa" w:w="3312"/>
            <w:vAlign w:val="top"/>
          </w:tcPr>
          <w:p>
            <w:r>
              <w:t>Finance Agent</w:t>
            </w:r>
          </w:p>
        </w:tc>
        <w:tc>
          <w:tcPr>
            <w:tcW w:type="dxa" w:w="3312"/>
            <w:vAlign w:val="top"/>
          </w:tcPr>
          <w:p>
            <w:r>
              <w:t>Analyse authorised financial records</w:t>
            </w:r>
          </w:p>
        </w:tc>
        <w:tc>
          <w:tcPr>
            <w:tcW w:type="dxa" w:w="3312"/>
            <w:vAlign w:val="top"/>
          </w:tcPr>
          <w:p>
            <w:r>
              <w:t>Ledger/report tools</w:t>
            </w:r>
          </w:p>
        </w:tc>
      </w:tr>
      <w:tr>
        <w:tc>
          <w:tcPr>
            <w:tcW w:type="dxa" w:w="3312"/>
            <w:vAlign w:val="top"/>
          </w:tcPr>
          <w:p>
            <w:r>
              <w:t>Inventory Agent</w:t>
            </w:r>
          </w:p>
        </w:tc>
        <w:tc>
          <w:tcPr>
            <w:tcW w:type="dxa" w:w="3312"/>
            <w:vAlign w:val="top"/>
          </w:tcPr>
          <w:p>
            <w:r>
              <w:t>Interpret stock and movement</w:t>
            </w:r>
          </w:p>
        </w:tc>
        <w:tc>
          <w:tcPr>
            <w:tcW w:type="dxa" w:w="3312"/>
            <w:vAlign w:val="top"/>
          </w:tcPr>
          <w:p>
            <w:r>
              <w:t>Inventory/Sage tools</w:t>
            </w:r>
          </w:p>
        </w:tc>
      </w:tr>
      <w:tr>
        <w:tc>
          <w:tcPr>
            <w:tcW w:type="dxa" w:w="3312"/>
            <w:vAlign w:val="top"/>
          </w:tcPr>
          <w:p>
            <w:r>
              <w:t>Document Agent</w:t>
            </w:r>
          </w:p>
        </w:tc>
        <w:tc>
          <w:tcPr>
            <w:tcW w:type="dxa" w:w="3312"/>
            <w:vAlign w:val="top"/>
          </w:tcPr>
          <w:p>
            <w:r>
              <w:t>Handle complex document analysis</w:t>
            </w:r>
          </w:p>
        </w:tc>
        <w:tc>
          <w:tcPr>
            <w:tcW w:type="dxa" w:w="3312"/>
            <w:vAlign w:val="top"/>
          </w:tcPr>
          <w:p>
            <w:r>
              <w:t>Retrieval/document tools</w:t>
            </w:r>
          </w:p>
        </w:tc>
      </w:tr>
      <w:tr>
        <w:tc>
          <w:tcPr>
            <w:tcW w:type="dxa" w:w="3312"/>
            <w:vAlign w:val="top"/>
          </w:tcPr>
          <w:p>
            <w:r>
              <w:t>Customer Support Agent</w:t>
            </w:r>
          </w:p>
        </w:tc>
        <w:tc>
          <w:tcPr>
            <w:tcW w:type="dxa" w:w="3312"/>
            <w:vAlign w:val="top"/>
          </w:tcPr>
          <w:p>
            <w:r>
              <w:t>Resolve bounded support workflows</w:t>
            </w:r>
          </w:p>
        </w:tc>
        <w:tc>
          <w:tcPr>
            <w:tcW w:type="dxa" w:w="3312"/>
            <w:vAlign w:val="top"/>
          </w:tcPr>
          <w:p>
            <w:r>
              <w:t>Customer/ticket tools</w:t>
            </w:r>
          </w:p>
        </w:tc>
      </w:tr>
    </w:tbl>
    <w:p>
      <w:pPr>
        <w:pStyle w:val="Heading1"/>
      </w:pPr>
      <w:r>
        <w:t>9. Router Architecture</w:t>
      </w:r>
    </w:p>
    <w:p>
      <w:r>
        <w:t>The router decides the smallest capable execution path.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Input signal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Router decision</w:t>
            </w:r>
          </w:p>
        </w:tc>
      </w:tr>
      <w:tr>
        <w:tc>
          <w:tcPr>
            <w:tcW w:type="dxa" w:w="4968"/>
            <w:vAlign w:val="top"/>
          </w:tcPr>
          <w:p>
            <w:r>
              <w:t>Simple factual question</w:t>
            </w:r>
          </w:p>
        </w:tc>
        <w:tc>
          <w:tcPr>
            <w:tcW w:type="dxa" w:w="4968"/>
            <w:vAlign w:val="top"/>
          </w:tcPr>
          <w:p>
            <w:r>
              <w:t>Core response or one read tool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 record request</w:t>
            </w:r>
          </w:p>
        </w:tc>
        <w:tc>
          <w:tcPr>
            <w:tcW w:type="dxa" w:w="4968"/>
            <w:vAlign w:val="top"/>
          </w:tcPr>
          <w:p>
            <w:r>
              <w:t>Structured data tool</w:t>
            </w:r>
          </w:p>
        </w:tc>
      </w:tr>
      <w:tr>
        <w:tc>
          <w:tcPr>
            <w:tcW w:type="dxa" w:w="4968"/>
            <w:vAlign w:val="top"/>
          </w:tcPr>
          <w:p>
            <w:r>
              <w:t>Policy question</w:t>
            </w:r>
          </w:p>
        </w:tc>
        <w:tc>
          <w:tcPr>
            <w:tcW w:type="dxa" w:w="4968"/>
            <w:vAlign w:val="top"/>
          </w:tcPr>
          <w:p>
            <w:r>
              <w:t>Knowledge retrieval</w:t>
            </w:r>
          </w:p>
        </w:tc>
      </w:tr>
      <w:tr>
        <w:tc>
          <w:tcPr>
            <w:tcW w:type="dxa" w:w="4968"/>
            <w:vAlign w:val="top"/>
          </w:tcPr>
          <w:p>
            <w:r>
              <w:t>Mixed current + policy</w:t>
            </w:r>
          </w:p>
        </w:tc>
        <w:tc>
          <w:tcPr>
            <w:tcW w:type="dxa" w:w="4968"/>
            <w:vAlign w:val="top"/>
          </w:tcPr>
          <w:p>
            <w:r>
              <w:t>Hybrid retrieval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Complex domain workflow</w:t>
            </w:r>
          </w:p>
        </w:tc>
        <w:tc>
          <w:tcPr>
            <w:tcW w:type="dxa" w:w="4968"/>
            <w:vAlign w:val="top"/>
          </w:tcPr>
          <w:p>
            <w:r>
              <w:t>Specialist agent</w:t>
            </w:r>
          </w:p>
        </w:tc>
      </w:tr>
      <w:tr>
        <w:tc>
          <w:tcPr>
            <w:tcW w:type="dxa" w:w="4968"/>
            <w:vAlign w:val="top"/>
          </w:tcPr>
          <w:p>
            <w:r>
              <w:t>Write/action request</w:t>
            </w:r>
          </w:p>
        </w:tc>
        <w:tc>
          <w:tcPr>
            <w:tcW w:type="dxa" w:w="4968"/>
            <w:vAlign w:val="top"/>
          </w:tcPr>
          <w:p>
            <w:r>
              <w:t>Authorised workflow/tool</w:t>
            </w:r>
          </w:p>
        </w:tc>
      </w:tr>
      <w:tr>
        <w:tc>
          <w:tcPr>
            <w:tcW w:type="dxa" w:w="4968"/>
            <w:vAlign w:val="top"/>
          </w:tcPr>
          <w:p>
            <w:r>
              <w:t>Ambiguous high-impact request</w:t>
            </w:r>
          </w:p>
        </w:tc>
        <w:tc>
          <w:tcPr>
            <w:tcW w:type="dxa" w:w="4968"/>
            <w:vAlign w:val="top"/>
          </w:tcPr>
          <w:p>
            <w:r>
              <w:t>Clarify before execution</w:t>
            </w:r>
          </w:p>
        </w:tc>
      </w:tr>
      <w:tr>
        <w:tc>
          <w:tcPr>
            <w:tcW w:type="dxa" w:w="4968"/>
            <w:vAlign w:val="top"/>
          </w:tcPr>
          <w:p>
            <w:r>
              <w:t>Human-required case</w:t>
            </w:r>
          </w:p>
        </w:tc>
        <w:tc>
          <w:tcPr>
            <w:tcW w:type="dxa" w:w="4968"/>
            <w:vAlign w:val="top"/>
          </w:tcPr>
          <w:p>
            <w:r>
              <w:t>Escalation</w:t>
            </w:r>
          </w:p>
        </w:tc>
      </w:tr>
    </w:tbl>
    <w:p>
      <w:pPr>
        <w:pStyle w:val="Heading1"/>
      </w:pPr>
      <w:r>
        <w:t>10. Routing Contract</w:t>
      </w:r>
    </w:p>
    <w:p>
      <w:pPr>
        <w:pStyle w:val="IntenseQuote"/>
      </w:pPr>
      <w:r>
        <w:t>{</w:t>
        <w:br/>
        <w:t xml:space="preserve">  "intent": "...",</w:t>
        <w:br/>
        <w:t xml:space="preserve">  "domain": "...",</w:t>
        <w:br/>
        <w:t xml:space="preserve">  "company": "...",</w:t>
        <w:br/>
        <w:t xml:space="preserve">  "risk_level": "...",</w:t>
        <w:br/>
        <w:t xml:space="preserve">  "execution_path": "core | retrieval | tool | workflow | agent | human",</w:t>
        <w:br/>
        <w:t xml:space="preserve">  "required_sources": [],</w:t>
        <w:br/>
        <w:t xml:space="preserve">  "required_tools": [],</w:t>
        <w:br/>
        <w:t xml:space="preserve">  "confirmation_required": false</w:t>
        <w:br/>
        <w:t>}</w:t>
      </w:r>
    </w:p>
    <w:p>
      <w:r>
        <w:t>The router output should be structured enough for downstream components to validate.</w:t>
      </w:r>
    </w:p>
    <w:p>
      <w:pPr>
        <w:pStyle w:val="Heading1"/>
      </w:pPr>
      <w:r>
        <w:t>11. Tool Architecture</w:t>
      </w:r>
    </w:p>
    <w:p>
      <w:r>
        <w:t>Tools are the controlled interface between Synbot and external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Tool property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top"/>
          </w:tcPr>
          <w:p>
            <w:r>
              <w:t>Purpose</w:t>
            </w:r>
          </w:p>
        </w:tc>
        <w:tc>
          <w:tcPr>
            <w:tcW w:type="dxa" w:w="4968"/>
            <w:vAlign w:val="top"/>
          </w:tcPr>
          <w:p>
            <w:r>
              <w:t>One clear operational 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Input schema</w:t>
            </w:r>
          </w:p>
        </w:tc>
        <w:tc>
          <w:tcPr>
            <w:tcW w:type="dxa" w:w="4968"/>
            <w:vAlign w:val="top"/>
          </w:tcPr>
          <w:p>
            <w:r>
              <w:t>Explicit and validated</w:t>
            </w:r>
          </w:p>
        </w:tc>
      </w:tr>
      <w:tr>
        <w:tc>
          <w:tcPr>
            <w:tcW w:type="dxa" w:w="4968"/>
            <w:vAlign w:val="top"/>
          </w:tcPr>
          <w:p>
            <w:r>
              <w:t>Output schema</w:t>
            </w:r>
          </w:p>
        </w:tc>
        <w:tc>
          <w:tcPr>
            <w:tcW w:type="dxa" w:w="4968"/>
            <w:vAlign w:val="top"/>
          </w:tcPr>
          <w:p>
            <w:r>
              <w:t>Machine-readable</w:t>
            </w:r>
          </w:p>
        </w:tc>
      </w:tr>
      <w:tr>
        <w:tc>
          <w:tcPr>
            <w:tcW w:type="dxa" w:w="4968"/>
            <w:vAlign w:val="top"/>
          </w:tcPr>
          <w:p>
            <w:r>
              <w:t>Permissions</w:t>
            </w:r>
          </w:p>
        </w:tc>
        <w:tc>
          <w:tcPr>
            <w:tcW w:type="dxa" w:w="4968"/>
            <w:vAlign w:val="top"/>
          </w:tcPr>
          <w:p>
            <w:r>
              <w:t>Explicit</w:t>
            </w:r>
          </w:p>
        </w:tc>
      </w:tr>
      <w:tr>
        <w:tc>
          <w:tcPr>
            <w:tcW w:type="dxa" w:w="4968"/>
            <w:vAlign w:val="top"/>
          </w:tcPr>
          <w:p>
            <w:r>
              <w:t>Tenant/company scope</w:t>
            </w:r>
          </w:p>
        </w:tc>
        <w:tc>
          <w:tcPr>
            <w:tcW w:type="dxa" w:w="4968"/>
            <w:vAlign w:val="top"/>
          </w:tcPr>
          <w:p>
            <w:r>
              <w:t>Explicit</w:t>
            </w:r>
          </w:p>
        </w:tc>
      </w:tr>
      <w:tr>
        <w:tc>
          <w:tcPr>
            <w:tcW w:type="dxa" w:w="4968"/>
            <w:vAlign w:val="top"/>
          </w:tcPr>
          <w:p>
            <w:r>
              <w:t>Side effects</w:t>
            </w:r>
          </w:p>
        </w:tc>
        <w:tc>
          <w:tcPr>
            <w:tcW w:type="dxa" w:w="4968"/>
            <w:vAlign w:val="top"/>
          </w:tcPr>
          <w:p>
            <w:r>
              <w:t>Declared</w:t>
            </w:r>
          </w:p>
        </w:tc>
      </w:tr>
      <w:tr>
        <w:tc>
          <w:tcPr>
            <w:tcW w:type="dxa" w:w="4968"/>
            <w:vAlign w:val="top"/>
          </w:tcPr>
          <w:p>
            <w:r>
              <w:t>Confirmation</w:t>
            </w:r>
          </w:p>
        </w:tc>
        <w:tc>
          <w:tcPr>
            <w:tcW w:type="dxa" w:w="4968"/>
            <w:vAlign w:val="top"/>
          </w:tcPr>
          <w:p>
            <w:r>
              <w:t>Defined for consequential actions</w:t>
            </w:r>
          </w:p>
        </w:tc>
      </w:tr>
      <w:tr>
        <w:tc>
          <w:tcPr>
            <w:tcW w:type="dxa" w:w="4968"/>
            <w:vAlign w:val="top"/>
          </w:tcPr>
          <w:p>
            <w:r>
              <w:t>Failure states</w:t>
            </w:r>
          </w:p>
        </w:tc>
        <w:tc>
          <w:tcPr>
            <w:tcW w:type="dxa" w:w="4968"/>
            <w:vAlign w:val="top"/>
          </w:tcPr>
          <w:p>
            <w:r>
              <w:t>Defined</w:t>
            </w:r>
          </w:p>
        </w:tc>
      </w:tr>
      <w:tr>
        <w:tc>
          <w:tcPr>
            <w:tcW w:type="dxa" w:w="4968"/>
            <w:vAlign w:val="top"/>
          </w:tcPr>
          <w:p>
            <w:r>
              <w:t>Audit metadata</w:t>
            </w:r>
          </w:p>
        </w:tc>
        <w:tc>
          <w:tcPr>
            <w:tcW w:type="dxa" w:w="4968"/>
            <w:vAlign w:val="top"/>
          </w:tcPr>
          <w:p>
            <w:r>
              <w:t>Defined where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Version</w:t>
            </w:r>
          </w:p>
        </w:tc>
        <w:tc>
          <w:tcPr>
            <w:tcW w:type="dxa" w:w="4968"/>
            <w:vAlign w:val="top"/>
          </w:tcPr>
          <w:p>
            <w:r>
              <w:t>Tracked</w:t>
            </w:r>
          </w:p>
        </w:tc>
      </w:tr>
    </w:tbl>
    <w:p>
      <w:pPr>
        <w:pStyle w:val="Heading1"/>
      </w:pPr>
      <w:r>
        <w:t>12. Tool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Risk</w:t>
            </w:r>
          </w:p>
        </w:tc>
      </w:tr>
      <w:tr>
        <w:tc>
          <w:tcPr>
            <w:tcW w:type="dxa" w:w="3312"/>
            <w:vAlign w:val="top"/>
          </w:tcPr>
          <w:p>
            <w:r>
              <w:t>Read</w:t>
            </w:r>
          </w:p>
        </w:tc>
        <w:tc>
          <w:tcPr>
            <w:tcW w:type="dxa" w:w="3312"/>
            <w:vAlign w:val="top"/>
          </w:tcPr>
          <w:p>
            <w:r>
              <w:t>get_patient, get_stock, get_claim</w:t>
            </w:r>
          </w:p>
        </w:tc>
        <w:tc>
          <w:tcPr>
            <w:tcW w:type="dxa" w:w="3312"/>
            <w:vAlign w:val="top"/>
          </w:tcPr>
          <w:p>
            <w:r>
              <w:t>Low/medium</w:t>
            </w:r>
          </w:p>
        </w:tc>
      </w:tr>
      <w:tr>
        <w:tc>
          <w:tcPr>
            <w:tcW w:type="dxa" w:w="3312"/>
            <w:vAlign w:val="top"/>
          </w:tcPr>
          <w:p>
            <w:r>
              <w:t>Search</w:t>
            </w:r>
          </w:p>
        </w:tc>
        <w:tc>
          <w:tcPr>
            <w:tcW w:type="dxa" w:w="3312"/>
            <w:vAlign w:val="top"/>
          </w:tcPr>
          <w:p>
            <w:r>
              <w:t>search_policy, search_transaction</w:t>
            </w:r>
          </w:p>
        </w:tc>
        <w:tc>
          <w:tcPr>
            <w:tcW w:type="dxa" w:w="3312"/>
            <w:vAlign w:val="top"/>
          </w:tcPr>
          <w:p>
            <w:r>
              <w:t>Low/medium</w:t>
            </w:r>
          </w:p>
        </w:tc>
      </w:tr>
      <w:tr>
        <w:tc>
          <w:tcPr>
            <w:tcW w:type="dxa" w:w="3312"/>
            <w:vAlign w:val="top"/>
          </w:tcPr>
          <w:p>
            <w:r>
              <w:t>Calculate</w:t>
            </w:r>
          </w:p>
        </w:tc>
        <w:tc>
          <w:tcPr>
            <w:tcW w:type="dxa" w:w="3312"/>
            <w:vAlign w:val="top"/>
          </w:tcPr>
          <w:p>
            <w:r>
              <w:t>calculate_margin, calculate_balance</w:t>
            </w:r>
          </w:p>
        </w:tc>
        <w:tc>
          <w:tcPr>
            <w:tcW w:type="dxa" w:w="3312"/>
            <w:vAlign w:val="top"/>
          </w:tcPr>
          <w:p>
            <w:r>
              <w:t>Low</w:t>
            </w:r>
          </w:p>
        </w:tc>
      </w:tr>
      <w:tr>
        <w:tc>
          <w:tcPr>
            <w:tcW w:type="dxa" w:w="3312"/>
            <w:vAlign w:val="top"/>
          </w:tcPr>
          <w:p>
            <w:r>
              <w:t>Transform</w:t>
            </w:r>
          </w:p>
        </w:tc>
        <w:tc>
          <w:tcPr>
            <w:tcW w:type="dxa" w:w="3312"/>
            <w:vAlign w:val="top"/>
          </w:tcPr>
          <w:p>
            <w:r>
              <w:t>generate_report, map_record</w:t>
            </w:r>
          </w:p>
        </w:tc>
        <w:tc>
          <w:tcPr>
            <w:tcW w:type="dxa" w:w="3312"/>
            <w:vAlign w:val="top"/>
          </w:tcPr>
          <w:p>
            <w:r>
              <w:t>Low/medium</w:t>
            </w:r>
          </w:p>
        </w:tc>
      </w:tr>
      <w:tr>
        <w:tc>
          <w:tcPr>
            <w:tcW w:type="dxa" w:w="3312"/>
            <w:vAlign w:val="top"/>
          </w:tcPr>
          <w:p>
            <w:r>
              <w:t>Write</w:t>
            </w:r>
          </w:p>
        </w:tc>
        <w:tc>
          <w:tcPr>
            <w:tcW w:type="dxa" w:w="3312"/>
            <w:vAlign w:val="top"/>
          </w:tcPr>
          <w:p>
            <w:r>
              <w:t>update_note, change_status</w:t>
            </w:r>
          </w:p>
        </w:tc>
        <w:tc>
          <w:tcPr>
            <w:tcW w:type="dxa" w:w="3312"/>
            <w:vAlign w:val="top"/>
          </w:tcPr>
          <w:p>
            <w:r>
              <w:t>Medium/high</w:t>
            </w:r>
          </w:p>
        </w:tc>
      </w:tr>
      <w:tr>
        <w:tc>
          <w:tcPr>
            <w:tcW w:type="dxa" w:w="3312"/>
            <w:vAlign w:val="top"/>
          </w:tcPr>
          <w:p>
            <w:r>
              <w:t>Transaction</w:t>
            </w:r>
          </w:p>
        </w:tc>
        <w:tc>
          <w:tcPr>
            <w:tcW w:type="dxa" w:w="3312"/>
            <w:vAlign w:val="top"/>
          </w:tcPr>
          <w:p>
            <w:r>
              <w:t>post_payment, issue_order</w:t>
            </w:r>
          </w:p>
        </w:tc>
        <w:tc>
          <w:tcPr>
            <w:tcW w:type="dxa" w:w="3312"/>
            <w:vAlign w:val="top"/>
          </w:tcPr>
          <w:p>
            <w:r>
              <w:t>High</w:t>
            </w:r>
          </w:p>
        </w:tc>
      </w:tr>
      <w:tr>
        <w:tc>
          <w:tcPr>
            <w:tcW w:type="dxa" w:w="3312"/>
            <w:vAlign w:val="top"/>
          </w:tcPr>
          <w:p>
            <w:r>
              <w:t>Administrative</w:t>
            </w:r>
          </w:p>
        </w:tc>
        <w:tc>
          <w:tcPr>
            <w:tcW w:type="dxa" w:w="3312"/>
            <w:vAlign w:val="top"/>
          </w:tcPr>
          <w:p>
            <w:r>
              <w:t>switch_company, change_config</w:t>
            </w:r>
          </w:p>
        </w:tc>
        <w:tc>
          <w:tcPr>
            <w:tcW w:type="dxa" w:w="3312"/>
            <w:vAlign w:val="top"/>
          </w:tcPr>
          <w:p>
            <w:r>
              <w:t>High/restricted</w:t>
            </w:r>
          </w:p>
        </w:tc>
      </w:tr>
    </w:tbl>
    <w:p>
      <w:pPr>
        <w:pStyle w:val="Heading1"/>
      </w:pPr>
      <w:r>
        <w:t>13. Tool Result Contract</w:t>
      </w:r>
    </w:p>
    <w:p>
      <w:pPr>
        <w:pStyle w:val="IntenseQuote"/>
      </w:pPr>
      <w:r>
        <w:t>{</w:t>
        <w:br/>
        <w:t xml:space="preserve">  "status": "success | denied | not_found | validation_error | unavailable | failed",</w:t>
        <w:br/>
        <w:t xml:space="preserve">  "data": {},</w:t>
        <w:br/>
        <w:t xml:space="preserve">  "source": "...",</w:t>
        <w:br/>
        <w:t xml:space="preserve">  "timestamp": "...",</w:t>
        <w:br/>
        <w:t xml:space="preserve">  "affected_record": "...",</w:t>
        <w:br/>
        <w:t xml:space="preserve">  "message": "...",</w:t>
        <w:br/>
        <w:t xml:space="preserve">  "audit_id": "..."</w:t>
        <w:br/>
        <w:t>}</w:t>
      </w:r>
    </w:p>
    <w:p>
      <w:r>
        <w:t>The response layer should treat status as authoritative. It must never convert a failed or unavailable result into a successful conversational statement.</w:t>
      </w:r>
    </w:p>
    <w:p>
      <w:pPr>
        <w:pStyle w:val="Heading1"/>
      </w:pPr>
      <w:r>
        <w:t>14. Read-Before-Write Pattern</w:t>
      </w:r>
    </w:p>
    <w:p>
      <w:pPr>
        <w:pStyle w:val="IntenseQuote"/>
      </w:pPr>
      <w:r>
        <w:t>Identify → Read current state → Validate → Authorise → Write → Confirm</w:t>
      </w:r>
    </w:p>
    <w:p>
      <w:r>
        <w:t>For consequential actions, the system should know what state it is changing before it changes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Read state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Write action</w:t>
            </w:r>
          </w:p>
        </w:tc>
      </w:tr>
      <w:tr>
        <w:tc>
          <w:tcPr>
            <w:tcW w:type="dxa" w:w="3312"/>
            <w:vAlign w:val="top"/>
          </w:tcPr>
          <w:p>
            <w:r>
              <w:t>Prescription</w:t>
            </w:r>
          </w:p>
        </w:tc>
        <w:tc>
          <w:tcPr>
            <w:tcW w:type="dxa" w:w="3312"/>
            <w:vAlign w:val="top"/>
          </w:tcPr>
          <w:p>
            <w:r>
              <w:t>Current prescription/status</w:t>
            </w:r>
          </w:p>
        </w:tc>
        <w:tc>
          <w:tcPr>
            <w:tcW w:type="dxa" w:w="3312"/>
            <w:vAlign w:val="top"/>
          </w:tcPr>
          <w:p>
            <w:r>
              <w:t>Update/dispense</w:t>
            </w:r>
          </w:p>
        </w:tc>
      </w:tr>
      <w:tr>
        <w:tc>
          <w:tcPr>
            <w:tcW w:type="dxa" w:w="3312"/>
            <w:vAlign w:val="top"/>
          </w:tcPr>
          <w:p>
            <w:r>
              <w:t>Inventory</w:t>
            </w:r>
          </w:p>
        </w:tc>
        <w:tc>
          <w:tcPr>
            <w:tcW w:type="dxa" w:w="3312"/>
            <w:vAlign w:val="top"/>
          </w:tcPr>
          <w:p>
            <w:r>
              <w:t>Current quantity/batch</w:t>
            </w:r>
          </w:p>
        </w:tc>
        <w:tc>
          <w:tcPr>
            <w:tcW w:type="dxa" w:w="3312"/>
            <w:vAlign w:val="top"/>
          </w:tcPr>
          <w:p>
            <w:r>
              <w:t>Stock movement</w:t>
            </w:r>
          </w:p>
        </w:tc>
      </w:tr>
      <w:tr>
        <w:tc>
          <w:tcPr>
            <w:tcW w:type="dxa" w:w="3312"/>
            <w:vAlign w:val="top"/>
          </w:tcPr>
          <w:p>
            <w:r>
              <w:t>Finance</w:t>
            </w:r>
          </w:p>
        </w:tc>
        <w:tc>
          <w:tcPr>
            <w:tcW w:type="dxa" w:w="3312"/>
            <w:vAlign w:val="top"/>
          </w:tcPr>
          <w:p>
            <w:r>
              <w:t>Current transaction/account state</w:t>
            </w:r>
          </w:p>
        </w:tc>
        <w:tc>
          <w:tcPr>
            <w:tcW w:type="dxa" w:w="3312"/>
            <w:vAlign w:val="top"/>
          </w:tcPr>
          <w:p>
            <w:r>
              <w:t>Post/adjust transaction</w:t>
            </w:r>
          </w:p>
        </w:tc>
      </w:tr>
      <w:tr>
        <w:tc>
          <w:tcPr>
            <w:tcW w:type="dxa" w:w="3312"/>
            <w:vAlign w:val="top"/>
          </w:tcPr>
          <w:p>
            <w:r>
              <w:t>Support</w:t>
            </w:r>
          </w:p>
        </w:tc>
        <w:tc>
          <w:tcPr>
            <w:tcW w:type="dxa" w:w="3312"/>
            <w:vAlign w:val="top"/>
          </w:tcPr>
          <w:p>
            <w:r>
              <w:t>Current ticket status</w:t>
            </w:r>
          </w:p>
        </w:tc>
        <w:tc>
          <w:tcPr>
            <w:tcW w:type="dxa" w:w="3312"/>
            <w:vAlign w:val="top"/>
          </w:tcPr>
          <w:p>
            <w:r>
              <w:t>Update/close ticket</w:t>
            </w:r>
          </w:p>
        </w:tc>
      </w:tr>
    </w:tbl>
    <w:p>
      <w:pPr>
        <w:pStyle w:val="Heading1"/>
      </w:pPr>
      <w:r>
        <w:t>15. Workflow vs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Workflow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Agent</w:t>
            </w:r>
          </w:p>
        </w:tc>
      </w:tr>
      <w:tr>
        <w:tc>
          <w:tcPr>
            <w:tcW w:type="dxa" w:w="3312"/>
            <w:vAlign w:val="top"/>
          </w:tcPr>
          <w:p>
            <w:r>
              <w:t>Deterministic steps</w:t>
            </w:r>
          </w:p>
        </w:tc>
        <w:tc>
          <w:tcPr>
            <w:tcW w:type="dxa" w:w="3312"/>
            <w:vAlign w:val="top"/>
          </w:tcPr>
          <w:p>
            <w:r>
              <w:t>Strong fit</w:t>
            </w:r>
          </w:p>
        </w:tc>
        <w:tc>
          <w:tcPr>
            <w:tcW w:type="dxa" w:w="3312"/>
            <w:vAlign w:val="top"/>
          </w:tcPr>
          <w:p>
            <w:r>
              <w:t>Possible but unnecessary</w:t>
            </w:r>
          </w:p>
        </w:tc>
      </w:tr>
      <w:tr>
        <w:tc>
          <w:tcPr>
            <w:tcW w:type="dxa" w:w="3312"/>
            <w:vAlign w:val="top"/>
          </w:tcPr>
          <w:p>
            <w:r>
              <w:t>Strict validation</w:t>
            </w:r>
          </w:p>
        </w:tc>
        <w:tc>
          <w:tcPr>
            <w:tcW w:type="dxa" w:w="3312"/>
            <w:vAlign w:val="top"/>
          </w:tcPr>
          <w:p>
            <w:r>
              <w:t>Strong fit</w:t>
            </w:r>
          </w:p>
        </w:tc>
        <w:tc>
          <w:tcPr>
            <w:tcW w:type="dxa" w:w="3312"/>
            <w:vAlign w:val="top"/>
          </w:tcPr>
          <w:p>
            <w:r>
              <w:t>Needs external validation</w:t>
            </w:r>
          </w:p>
        </w:tc>
      </w:tr>
      <w:tr>
        <w:tc>
          <w:tcPr>
            <w:tcW w:type="dxa" w:w="3312"/>
            <w:vAlign w:val="top"/>
          </w:tcPr>
          <w:p>
            <w:r>
              <w:t>Complex interpretation</w:t>
            </w:r>
          </w:p>
        </w:tc>
        <w:tc>
          <w:tcPr>
            <w:tcW w:type="dxa" w:w="3312"/>
            <w:vAlign w:val="top"/>
          </w:tcPr>
          <w:p>
            <w:r>
              <w:t>Limited</w:t>
            </w:r>
          </w:p>
        </w:tc>
        <w:tc>
          <w:tcPr>
            <w:tcW w:type="dxa" w:w="3312"/>
            <w:vAlign w:val="top"/>
          </w:tcPr>
          <w:p>
            <w:r>
              <w:t>Strong fit</w:t>
            </w:r>
          </w:p>
        </w:tc>
      </w:tr>
      <w:tr>
        <w:tc>
          <w:tcPr>
            <w:tcW w:type="dxa" w:w="3312"/>
            <w:vAlign w:val="top"/>
          </w:tcPr>
          <w:p>
            <w:r>
              <w:t>Predictable audit trail</w:t>
            </w:r>
          </w:p>
        </w:tc>
        <w:tc>
          <w:tcPr>
            <w:tcW w:type="dxa" w:w="3312"/>
            <w:vAlign w:val="top"/>
          </w:tcPr>
          <w:p>
            <w:r>
              <w:t>Strong fit</w:t>
            </w:r>
          </w:p>
        </w:tc>
        <w:tc>
          <w:tcPr>
            <w:tcW w:type="dxa" w:w="3312"/>
            <w:vAlign w:val="top"/>
          </w:tcPr>
          <w:p>
            <w:r>
              <w:t>Requires structured orchestration</w:t>
            </w:r>
          </w:p>
        </w:tc>
      </w:tr>
      <w:tr>
        <w:tc>
          <w:tcPr>
            <w:tcW w:type="dxa" w:w="3312"/>
            <w:vAlign w:val="top"/>
          </w:tcPr>
          <w:p>
            <w:r>
              <w:t>Open-ended reasoning</w:t>
            </w:r>
          </w:p>
        </w:tc>
        <w:tc>
          <w:tcPr>
            <w:tcW w:type="dxa" w:w="3312"/>
            <w:vAlign w:val="top"/>
          </w:tcPr>
          <w:p>
            <w:r>
              <w:t>Weak fit</w:t>
            </w:r>
          </w:p>
        </w:tc>
        <w:tc>
          <w:tcPr>
            <w:tcW w:type="dxa" w:w="3312"/>
            <w:vAlign w:val="top"/>
          </w:tcPr>
          <w:p>
            <w:r>
              <w:t>Strong fit</w:t>
            </w:r>
          </w:p>
        </w:tc>
      </w:tr>
      <w:tr>
        <w:tc>
          <w:tcPr>
            <w:tcW w:type="dxa" w:w="3312"/>
            <w:vAlign w:val="top"/>
          </w:tcPr>
          <w:p>
            <w:r>
              <w:t>High-stakes action</w:t>
            </w:r>
          </w:p>
        </w:tc>
        <w:tc>
          <w:tcPr>
            <w:tcW w:type="dxa" w:w="3312"/>
            <w:vAlign w:val="top"/>
          </w:tcPr>
          <w:p>
            <w:r>
              <w:t>Preferred with controlled tools</w:t>
            </w:r>
          </w:p>
        </w:tc>
        <w:tc>
          <w:tcPr>
            <w:tcW w:type="dxa" w:w="3312"/>
            <w:vAlign w:val="top"/>
          </w:tcPr>
          <w:p>
            <w:r>
              <w:t>Agent may assist but should not bypass workflow</w:t>
            </w:r>
          </w:p>
        </w:tc>
      </w:tr>
    </w:tbl>
    <w:p>
      <w:r>
        <w:t>A common pattern is: Agent reasons → Workflow validates and executes.</w:t>
      </w:r>
    </w:p>
    <w:p>
      <w:pPr>
        <w:pStyle w:val="Heading1"/>
      </w:pPr>
      <w:r>
        <w:t>16. Multi-Agent Interaction</w:t>
      </w:r>
    </w:p>
    <w:p>
      <w:r>
        <w:t>If multiple specialists are required, orchestration should remain explicit.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4968"/>
            <w:vAlign w:val="top"/>
          </w:tcPr>
          <w:p>
            <w:r>
              <w:t>Sequential</w:t>
            </w:r>
          </w:p>
        </w:tc>
        <w:tc>
          <w:tcPr>
            <w:tcW w:type="dxa" w:w="4968"/>
            <w:vAlign w:val="top"/>
          </w:tcPr>
          <w:p>
            <w:r>
              <w:t>Output of one specialist feeds another</w:t>
            </w:r>
          </w:p>
        </w:tc>
      </w:tr>
      <w:tr>
        <w:tc>
          <w:tcPr>
            <w:tcW w:type="dxa" w:w="4968"/>
            <w:vAlign w:val="top"/>
          </w:tcPr>
          <w:p>
            <w:r>
              <w:t>Parallel</w:t>
            </w:r>
          </w:p>
        </w:tc>
        <w:tc>
          <w:tcPr>
            <w:tcW w:type="dxa" w:w="4968"/>
            <w:vAlign w:val="top"/>
          </w:tcPr>
          <w:p>
            <w:r>
              <w:t>Independent specialists analyse the same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Router-selected</w:t>
            </w:r>
          </w:p>
        </w:tc>
        <w:tc>
          <w:tcPr>
            <w:tcW w:type="dxa" w:w="4968"/>
            <w:vAlign w:val="top"/>
          </w:tcPr>
          <w:p>
            <w:r>
              <w:t>Only one specialist is selected</w:t>
            </w:r>
          </w:p>
        </w:tc>
      </w:tr>
      <w:tr>
        <w:tc>
          <w:tcPr>
            <w:tcW w:type="dxa" w:w="4968"/>
            <w:vAlign w:val="top"/>
          </w:tcPr>
          <w:p>
            <w:r>
              <w:t>Supervisor</w:t>
            </w:r>
          </w:p>
        </w:tc>
        <w:tc>
          <w:tcPr>
            <w:tcW w:type="dxa" w:w="4968"/>
            <w:vAlign w:val="top"/>
          </w:tcPr>
          <w:p>
            <w:r>
              <w:t>A coordinating component combines bounded specialist outputs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Workflow-led</w:t>
            </w:r>
          </w:p>
        </w:tc>
        <w:tc>
          <w:tcPr>
            <w:tcW w:type="dxa" w:w="4968"/>
            <w:vAlign w:val="top"/>
          </w:tcPr>
          <w:p>
            <w:r>
              <w:t>Deterministic process invokes specialists at defined steps</w:t>
            </w:r>
          </w:p>
        </w:tc>
      </w:tr>
    </w:tbl>
    <w:p>
      <w:r>
        <w:t>Avoid unrestricted agent-to-agent conversations. They are difficult to predict, audit and evaluate.</w:t>
      </w:r>
    </w:p>
    <w:p>
      <w:pPr>
        <w:pStyle w:val="Heading1"/>
      </w:pPr>
      <w:r>
        <w:t>17. Example: Synbot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Preferred implementation</w:t>
            </w:r>
          </w:p>
        </w:tc>
      </w:tr>
      <w:tr>
        <w:tc>
          <w:tcPr>
            <w:tcW w:type="dxa" w:w="4968"/>
            <w:vAlign w:val="top"/>
          </w:tcPr>
          <w:p>
            <w:r>
              <w:t>Patient lookup</w:t>
            </w:r>
          </w:p>
        </w:tc>
        <w:tc>
          <w:tcPr>
            <w:tcW w:type="dxa" w:w="4968"/>
            <w:vAlign w:val="top"/>
          </w:tcPr>
          <w:p>
            <w:r>
              <w:t>Tool</w:t>
            </w:r>
          </w:p>
        </w:tc>
      </w:tr>
      <w:tr>
        <w:tc>
          <w:tcPr>
            <w:tcW w:type="dxa" w:w="4968"/>
            <w:vAlign w:val="top"/>
          </w:tcPr>
          <w:p>
            <w:r>
              <w:t>Encounter history</w:t>
            </w:r>
          </w:p>
        </w:tc>
        <w:tc>
          <w:tcPr>
            <w:tcW w:type="dxa" w:w="4968"/>
            <w:vAlign w:val="top"/>
          </w:tcPr>
          <w:p>
            <w:r>
              <w:t>Tool + structured context</w:t>
            </w:r>
          </w:p>
        </w:tc>
      </w:tr>
      <w:tr>
        <w:tc>
          <w:tcPr>
            <w:tcW w:type="dxa" w:w="4968"/>
            <w:vAlign w:val="top"/>
          </w:tcPr>
          <w:p>
            <w:r>
              <w:t>Clinical policy question</w:t>
            </w:r>
          </w:p>
        </w:tc>
        <w:tc>
          <w:tcPr>
            <w:tcW w:type="dxa" w:w="4968"/>
            <w:vAlign w:val="top"/>
          </w:tcPr>
          <w:p>
            <w:r>
              <w:t>RAG</w:t>
            </w:r>
          </w:p>
        </w:tc>
      </w:tr>
      <w:tr>
        <w:tc>
          <w:tcPr>
            <w:tcW w:type="dxa" w:w="4968"/>
            <w:vAlign w:val="top"/>
          </w:tcPr>
          <w:p>
            <w:r>
              <w:t>Prescription workflow</w:t>
            </w:r>
          </w:p>
        </w:tc>
        <w:tc>
          <w:tcPr>
            <w:tcW w:type="dxa" w:w="4968"/>
            <w:vAlign w:val="top"/>
          </w:tcPr>
          <w:p>
            <w:r>
              <w:t>Workflow + authorised tools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Complex clinical documentation support</w:t>
            </w:r>
          </w:p>
        </w:tc>
        <w:tc>
          <w:tcPr>
            <w:tcW w:type="dxa" w:w="4968"/>
            <w:vAlign w:val="top"/>
          </w:tcPr>
          <w:p>
            <w:r>
              <w:t>Bounded specialist capability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Clinical decision beyond authorised scope</w:t>
            </w:r>
          </w:p>
        </w:tc>
        <w:tc>
          <w:tcPr>
            <w:tcW w:type="dxa" w:w="4968"/>
            <w:vAlign w:val="top"/>
          </w:tcPr>
          <w:p>
            <w:r>
              <w:t>Human escalation</w:t>
            </w:r>
          </w:p>
        </w:tc>
      </w:tr>
    </w:tbl>
    <w:p>
      <w:pPr>
        <w:pStyle w:val="Heading1"/>
      </w:pPr>
      <w:r>
        <w:t>18. Example: Placeware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Preferred implementation</w:t>
            </w:r>
          </w:p>
        </w:tc>
      </w:tr>
      <w:tr>
        <w:tc>
          <w:tcPr>
            <w:tcW w:type="dxa" w:w="4968"/>
            <w:vAlign w:val="top"/>
          </w:tcPr>
          <w:p>
            <w:r>
              <w:t>Current stock</w:t>
            </w:r>
          </w:p>
        </w:tc>
        <w:tc>
          <w:tcPr>
            <w:tcW w:type="dxa" w:w="4968"/>
            <w:vAlign w:val="top"/>
          </w:tcPr>
          <w:p>
            <w:r>
              <w:t>Sage/inventory tool</w:t>
            </w:r>
          </w:p>
        </w:tc>
      </w:tr>
      <w:tr>
        <w:tc>
          <w:tcPr>
            <w:tcW w:type="dxa" w:w="4968"/>
            <w:vAlign w:val="top"/>
          </w:tcPr>
          <w:p>
            <w:r>
              <w:t>Stock movement analysis</w:t>
            </w:r>
          </w:p>
        </w:tc>
        <w:tc>
          <w:tcPr>
            <w:tcW w:type="dxa" w:w="4968"/>
            <w:vAlign w:val="top"/>
          </w:tcPr>
          <w:p>
            <w:r>
              <w:t>Inventory specialist or analysis service</w:t>
            </w:r>
          </w:p>
        </w:tc>
      </w:tr>
      <w:tr>
        <w:tc>
          <w:tcPr>
            <w:tcW w:type="dxa" w:w="4968"/>
            <w:vAlign w:val="top"/>
          </w:tcPr>
          <w:p>
            <w:r>
              <w:t>Accounting report explanation</w:t>
            </w:r>
          </w:p>
        </w:tc>
        <w:tc>
          <w:tcPr>
            <w:tcW w:type="dxa" w:w="4968"/>
            <w:vAlign w:val="top"/>
          </w:tcPr>
          <w:p>
            <w:r>
              <w:t>Document/report retrieval + finance reasoning</w:t>
            </w:r>
          </w:p>
        </w:tc>
      </w:tr>
      <w:tr>
        <w:tc>
          <w:tcPr>
            <w:tcW w:type="dxa" w:w="4968"/>
            <w:vAlign w:val="top"/>
          </w:tcPr>
          <w:p>
            <w:r>
              <w:t>Order workflow</w:t>
            </w:r>
          </w:p>
        </w:tc>
        <w:tc>
          <w:tcPr>
            <w:tcW w:type="dxa" w:w="4968"/>
            <w:vAlign w:val="top"/>
          </w:tcPr>
          <w:p>
            <w:r>
              <w:t>Deterministic workflow</w:t>
            </w:r>
          </w:p>
        </w:tc>
      </w:tr>
      <w:tr>
        <w:tc>
          <w:tcPr>
            <w:tcW w:type="dxa" w:w="4968"/>
            <w:vAlign w:val="top"/>
          </w:tcPr>
          <w:p>
            <w:r>
              <w:t>Complex multi-report investigation</w:t>
            </w:r>
          </w:p>
        </w:tc>
        <w:tc>
          <w:tcPr>
            <w:tcW w:type="dxa" w:w="4968"/>
            <w:vAlign w:val="top"/>
          </w:tcPr>
          <w:p>
            <w:r>
              <w:t>Bounded finance/inventory specialist</w:t>
            </w:r>
          </w:p>
        </w:tc>
      </w:tr>
    </w:tbl>
    <w:p>
      <w:pPr>
        <w:pStyle w:val="Heading1"/>
      </w:pPr>
      <w:r>
        <w:t>19. Example: Atiat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Preferred implementation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 identification</w:t>
            </w:r>
          </w:p>
        </w:tc>
        <w:tc>
          <w:tcPr>
            <w:tcW w:type="dxa" w:w="4968"/>
            <w:vAlign w:val="top"/>
          </w:tcPr>
          <w:p>
            <w:r>
              <w:t>Runtime context / explicit selection</w:t>
            </w:r>
          </w:p>
        </w:tc>
      </w:tr>
      <w:tr>
        <w:tc>
          <w:tcPr>
            <w:tcW w:type="dxa" w:w="4968"/>
            <w:vAlign w:val="top"/>
          </w:tcPr>
          <w:p>
            <w:r>
              <w:t>Insurance query</w:t>
            </w:r>
          </w:p>
        </w:tc>
        <w:tc>
          <w:tcPr>
            <w:tcW w:type="dxa" w:w="4968"/>
            <w:vAlign w:val="top"/>
          </w:tcPr>
          <w:p>
            <w:r>
              <w:t>Insurance specialist if complexity warrants</w:t>
            </w:r>
          </w:p>
        </w:tc>
      </w:tr>
      <w:tr>
        <w:tc>
          <w:tcPr>
            <w:tcW w:type="dxa" w:w="4968"/>
            <w:vAlign w:val="top"/>
          </w:tcPr>
          <w:p>
            <w:r>
              <w:t>Mobility query</w:t>
            </w:r>
          </w:p>
        </w:tc>
        <w:tc>
          <w:tcPr>
            <w:tcW w:type="dxa" w:w="4968"/>
            <w:vAlign w:val="top"/>
          </w:tcPr>
          <w:p>
            <w:r>
              <w:t>Mobility capability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POF/document query</w:t>
            </w:r>
          </w:p>
        </w:tc>
        <w:tc>
          <w:tcPr>
            <w:tcW w:type="dxa" w:w="4968"/>
            <w:vAlign w:val="top"/>
          </w:tcPr>
          <w:p>
            <w:r>
              <w:t>Document capability</w:t>
            </w:r>
          </w:p>
        </w:tc>
      </w:tr>
      <w:tr>
        <w:tc>
          <w:tcPr>
            <w:tcW w:type="dxa" w:w="4968"/>
            <w:vAlign w:val="top"/>
          </w:tcPr>
          <w:p>
            <w:r>
              <w:t>Cross-company overview</w:t>
            </w:r>
          </w:p>
        </w:tc>
        <w:tc>
          <w:tcPr>
            <w:tcW w:type="dxa" w:w="4968"/>
            <w:vAlign w:val="top"/>
          </w:tcPr>
          <w:p>
            <w:r>
              <w:t>Controlled supervisor/orchestrator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Company-specific transaction</w:t>
            </w:r>
          </w:p>
        </w:tc>
        <w:tc>
          <w:tcPr>
            <w:tcW w:type="dxa" w:w="4968"/>
            <w:vAlign w:val="top"/>
          </w:tcPr>
          <w:p>
            <w:r>
              <w:t>Company-scoped workflow/tool</w:t>
            </w:r>
          </w:p>
        </w:tc>
      </w:tr>
    </w:tbl>
    <w:p>
      <w:r>
        <w:t>The central Atiat experience should not require the user to understand which agent exists. The orchestration layer should make that selection internally.</w:t>
      </w:r>
    </w:p>
    <w:p>
      <w:pPr>
        <w:pStyle w:val="Heading1"/>
      </w:pPr>
      <w:r>
        <w:t>20. Human Escalation</w:t>
      </w:r>
    </w:p>
    <w:p>
      <w:r>
        <w:t>Escalation is part of the architecture, not an error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968"/>
            <w:vAlign w:val="top"/>
          </w:tcPr>
          <w:p>
            <w:r>
              <w:t>Insufficient evidence for consequential decision</w:t>
            </w:r>
          </w:p>
        </w:tc>
        <w:tc>
          <w:tcPr>
            <w:tcW w:type="dxa" w:w="4968"/>
            <w:vAlign w:val="top"/>
          </w:tcPr>
          <w:p>
            <w:r>
              <w:t>Escalate</w:t>
            </w:r>
          </w:p>
        </w:tc>
      </w:tr>
      <w:tr>
        <w:tc>
          <w:tcPr>
            <w:tcW w:type="dxa" w:w="4968"/>
            <w:vAlign w:val="top"/>
          </w:tcPr>
          <w:p>
            <w:r>
              <w:t>Conflicting authoritative records</w:t>
            </w:r>
          </w:p>
        </w:tc>
        <w:tc>
          <w:tcPr>
            <w:tcW w:type="dxa" w:w="4968"/>
            <w:vAlign w:val="top"/>
          </w:tcPr>
          <w:p>
            <w:r>
              <w:t>Escalate or surface conflict</w:t>
            </w:r>
          </w:p>
        </w:tc>
      </w:tr>
      <w:tr>
        <w:tc>
          <w:tcPr>
            <w:tcW w:type="dxa" w:w="4968"/>
            <w:vAlign w:val="top"/>
          </w:tcPr>
          <w:p>
            <w:r>
              <w:t>Outside configured role/scope</w:t>
            </w:r>
          </w:p>
        </w:tc>
        <w:tc>
          <w:tcPr>
            <w:tcW w:type="dxa" w:w="4968"/>
            <w:vAlign w:val="top"/>
          </w:tcPr>
          <w:p>
            <w:r>
              <w:t>Deny or route appropriately</w:t>
            </w:r>
          </w:p>
        </w:tc>
      </w:tr>
      <w:tr>
        <w:tc>
          <w:tcPr>
            <w:tcW w:type="dxa" w:w="4968"/>
            <w:vAlign w:val="top"/>
          </w:tcPr>
          <w:p>
            <w:r>
              <w:t>Tool failure during critical workflow</w:t>
            </w:r>
          </w:p>
        </w:tc>
        <w:tc>
          <w:tcPr>
            <w:tcW w:type="dxa" w:w="4968"/>
            <w:vAlign w:val="top"/>
          </w:tcPr>
          <w:p>
            <w:r>
              <w:t>Stop and escalate</w:t>
            </w:r>
          </w:p>
        </w:tc>
      </w:tr>
      <w:tr>
        <w:tc>
          <w:tcPr>
            <w:tcW w:type="dxa" w:w="4968"/>
            <w:vAlign w:val="top"/>
          </w:tcPr>
          <w:p>
            <w:r>
              <w:t>Human approval required</w:t>
            </w:r>
          </w:p>
        </w:tc>
        <w:tc>
          <w:tcPr>
            <w:tcW w:type="dxa" w:w="4968"/>
            <w:vAlign w:val="top"/>
          </w:tcPr>
          <w:p>
            <w:r>
              <w:t>Create approval task</w:t>
            </w:r>
          </w:p>
        </w:tc>
      </w:tr>
      <w:tr>
        <w:tc>
          <w:tcPr>
            <w:tcW w:type="dxa" w:w="4968"/>
            <w:vAlign w:val="top"/>
          </w:tcPr>
          <w:p>
            <w:r>
              <w:t>Domain safety rule triggered</w:t>
            </w:r>
          </w:p>
        </w:tc>
        <w:tc>
          <w:tcPr>
            <w:tcW w:type="dxa" w:w="4968"/>
            <w:vAlign w:val="top"/>
          </w:tcPr>
          <w:p>
            <w:r>
              <w:t>Transfer to configured human workflow</w:t>
            </w:r>
          </w:p>
        </w:tc>
      </w:tr>
    </w:tbl>
    <w:p>
      <w:pPr>
        <w:pStyle w:val="Heading1"/>
      </w:pPr>
      <w:r>
        <w:t>21. Escalation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reason</w:t>
            </w:r>
          </w:p>
        </w:tc>
        <w:tc>
          <w:tcPr>
            <w:tcW w:type="dxa" w:w="4968"/>
            <w:vAlign w:val="top"/>
          </w:tcPr>
          <w:p>
            <w:r>
              <w:t>Why escalation occurred</w:t>
            </w:r>
          </w:p>
        </w:tc>
      </w:tr>
      <w:tr>
        <w:tc>
          <w:tcPr>
            <w:tcW w:type="dxa" w:w="4968"/>
            <w:vAlign w:val="top"/>
          </w:tcPr>
          <w:p>
            <w:r>
              <w:t>summary</w:t>
            </w:r>
          </w:p>
        </w:tc>
        <w:tc>
          <w:tcPr>
            <w:tcW w:type="dxa" w:w="4968"/>
            <w:vAlign w:val="top"/>
          </w:tcPr>
          <w:p>
            <w:r>
              <w:t>Concise case context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</w:t>
            </w:r>
          </w:p>
        </w:tc>
        <w:tc>
          <w:tcPr>
            <w:tcW w:type="dxa" w:w="4968"/>
            <w:vAlign w:val="top"/>
          </w:tcPr>
          <w:p>
            <w:r>
              <w:t>Relevant authorised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requested_action</w:t>
            </w:r>
          </w:p>
        </w:tc>
        <w:tc>
          <w:tcPr>
            <w:tcW w:type="dxa" w:w="4968"/>
            <w:vAlign w:val="top"/>
          </w:tcPr>
          <w:p>
            <w:r>
              <w:t>What requires human decision</w:t>
            </w:r>
          </w:p>
        </w:tc>
      </w:tr>
      <w:tr>
        <w:tc>
          <w:tcPr>
            <w:tcW w:type="dxa" w:w="4968"/>
            <w:vAlign w:val="top"/>
          </w:tcPr>
          <w:p>
            <w:r>
              <w:t>user</w:t>
            </w:r>
          </w:p>
        </w:tc>
        <w:tc>
          <w:tcPr>
            <w:tcW w:type="dxa" w:w="4968"/>
            <w:vAlign w:val="top"/>
          </w:tcPr>
          <w:p>
            <w:r>
              <w:t>Requesting user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</w:t>
            </w:r>
          </w:p>
        </w:tc>
        <w:tc>
          <w:tcPr>
            <w:tcW w:type="dxa" w:w="4968"/>
            <w:vAlign w:val="top"/>
          </w:tcPr>
          <w:p>
            <w:r>
              <w:t>Active company</w:t>
            </w:r>
          </w:p>
        </w:tc>
      </w:tr>
      <w:tr>
        <w:tc>
          <w:tcPr>
            <w:tcW w:type="dxa" w:w="4968"/>
            <w:vAlign w:val="top"/>
          </w:tcPr>
          <w:p>
            <w:r>
              <w:t>priority</w:t>
            </w:r>
          </w:p>
        </w:tc>
        <w:tc>
          <w:tcPr>
            <w:tcW w:type="dxa" w:w="4968"/>
            <w:vAlign w:val="top"/>
          </w:tcPr>
          <w:p>
            <w:r>
              <w:t>Configured priority</w:t>
            </w:r>
          </w:p>
        </w:tc>
      </w:tr>
      <w:tr>
        <w:tc>
          <w:tcPr>
            <w:tcW w:type="dxa" w:w="4968"/>
            <w:vAlign w:val="top"/>
          </w:tcPr>
          <w:p>
            <w:r>
              <w:t>audit_id</w:t>
            </w:r>
          </w:p>
        </w:tc>
        <w:tc>
          <w:tcPr>
            <w:tcW w:type="dxa" w:w="4968"/>
            <w:vAlign w:val="top"/>
          </w:tcPr>
          <w:p>
            <w:r>
              <w:t>Traceability</w:t>
            </w:r>
          </w:p>
        </w:tc>
      </w:tr>
    </w:tbl>
    <w:p>
      <w:pPr>
        <w:pStyle w:val="Heading1"/>
      </w:pPr>
      <w:r>
        <w:t>22. Agent Context Budget</w:t>
      </w:r>
    </w:p>
    <w:p>
      <w:r>
        <w:t>Agents should receive the minimum relevant context required for their task.</w:t>
      </w:r>
    </w:p>
    <w:p>
      <w:pPr>
        <w:pStyle w:val="ListBullet"/>
      </w:pPr>
      <w:r>
        <w:t>Current user and role</w:t>
      </w:r>
    </w:p>
    <w:p>
      <w:pPr>
        <w:pStyle w:val="ListBullet"/>
      </w:pPr>
      <w:r>
        <w:t>Active company/tenant</w:t>
      </w:r>
    </w:p>
    <w:p>
      <w:pPr>
        <w:pStyle w:val="ListBullet"/>
      </w:pPr>
      <w:r>
        <w:t>Relevant conversation turns</w:t>
      </w:r>
    </w:p>
    <w:p>
      <w:pPr>
        <w:pStyle w:val="ListBullet"/>
      </w:pPr>
      <w:r>
        <w:t>Relevant structured records</w:t>
      </w:r>
    </w:p>
    <w:p>
      <w:pPr>
        <w:pStyle w:val="ListBullet"/>
      </w:pPr>
      <w:r>
        <w:t>Relevant retrieved documents</w:t>
      </w:r>
    </w:p>
    <w:p>
      <w:pPr>
        <w:pStyle w:val="ListBullet"/>
      </w:pPr>
      <w:r>
        <w:t>Required tool definitions</w:t>
      </w:r>
    </w:p>
    <w:p>
      <w:pPr>
        <w:pStyle w:val="ListBullet"/>
      </w:pPr>
      <w:r>
        <w:t>Known limitations/conflicts</w:t>
      </w:r>
    </w:p>
    <w:p>
      <w:r>
        <w:t>Do not pass unrelated client data, entire databases, or every available tool to every specialist.</w:t>
      </w:r>
    </w:p>
    <w:p>
      <w:pPr>
        <w:pStyle w:val="Heading1"/>
      </w:pPr>
      <w:r>
        <w:t>23. Tool Discovery</w:t>
      </w:r>
    </w:p>
    <w:p>
      <w:r>
        <w:t>As the platform grows, tools should be discoverable by capability rather than permanently injected into every context.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Discovery metadata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4968"/>
            <w:vAlign w:val="top"/>
          </w:tcPr>
          <w:p>
            <w:r>
              <w:t>tool_id</w:t>
            </w:r>
          </w:p>
        </w:tc>
        <w:tc>
          <w:tcPr>
            <w:tcW w:type="dxa" w:w="4968"/>
            <w:vAlign w:val="top"/>
          </w:tcPr>
          <w:p>
            <w:r>
              <w:t>sage_stock_lookup</w:t>
            </w:r>
          </w:p>
        </w:tc>
      </w:tr>
      <w:tr>
        <w:tc>
          <w:tcPr>
            <w:tcW w:type="dxa" w:w="4968"/>
            <w:vAlign w:val="top"/>
          </w:tcPr>
          <w:p>
            <w:r>
              <w:t>capability</w:t>
            </w:r>
          </w:p>
        </w:tc>
        <w:tc>
          <w:tcPr>
            <w:tcW w:type="dxa" w:w="4968"/>
            <w:vAlign w:val="top"/>
          </w:tcPr>
          <w:p>
            <w:r>
              <w:t>inventory.read</w:t>
            </w:r>
          </w:p>
        </w:tc>
      </w:tr>
      <w:tr>
        <w:tc>
          <w:tcPr>
            <w:tcW w:type="dxa" w:w="4968"/>
            <w:vAlign w:val="top"/>
          </w:tcPr>
          <w:p>
            <w:r>
              <w:t>domain</w:t>
            </w:r>
          </w:p>
        </w:tc>
        <w:tc>
          <w:tcPr>
            <w:tcW w:type="dxa" w:w="4968"/>
            <w:vAlign w:val="top"/>
          </w:tcPr>
          <w:p>
            <w:r>
              <w:t>inventory</w:t>
            </w:r>
          </w:p>
        </w:tc>
      </w:tr>
      <w:tr>
        <w:tc>
          <w:tcPr>
            <w:tcW w:type="dxa" w:w="4968"/>
            <w:vAlign w:val="top"/>
          </w:tcPr>
          <w:p>
            <w:r>
              <w:t>company</w:t>
            </w:r>
          </w:p>
        </w:tc>
        <w:tc>
          <w:tcPr>
            <w:tcW w:type="dxa" w:w="4968"/>
            <w:vAlign w:val="top"/>
          </w:tcPr>
          <w:p>
            <w:r>
              <w:t>placeware</w:t>
            </w:r>
          </w:p>
        </w:tc>
      </w:tr>
      <w:tr>
        <w:tc>
          <w:tcPr>
            <w:tcW w:type="dxa" w:w="4968"/>
            <w:vAlign w:val="top"/>
          </w:tcPr>
          <w:p>
            <w:r>
              <w:t>permissions</w:t>
            </w:r>
          </w:p>
        </w:tc>
        <w:tc>
          <w:tcPr>
            <w:tcW w:type="dxa" w:w="4968"/>
            <w:vAlign w:val="top"/>
          </w:tcPr>
          <w:p>
            <w:r>
              <w:t>inventory.read</w:t>
            </w:r>
          </w:p>
        </w:tc>
      </w:tr>
      <w:tr>
        <w:tc>
          <w:tcPr>
            <w:tcW w:type="dxa" w:w="4968"/>
            <w:vAlign w:val="top"/>
          </w:tcPr>
          <w:p>
            <w:r>
              <w:t>risk</w:t>
            </w:r>
          </w:p>
        </w:tc>
        <w:tc>
          <w:tcPr>
            <w:tcW w:type="dxa" w:w="4968"/>
            <w:vAlign w:val="top"/>
          </w:tcPr>
          <w:p>
            <w:r>
              <w:t>low</w:t>
            </w:r>
          </w:p>
        </w:tc>
      </w:tr>
      <w:tr>
        <w:tc>
          <w:tcPr>
            <w:tcW w:type="dxa" w:w="4968"/>
            <w:vAlign w:val="top"/>
          </w:tcPr>
          <w:p>
            <w:r>
              <w:t>description</w:t>
            </w:r>
          </w:p>
        </w:tc>
        <w:tc>
          <w:tcPr>
            <w:tcW w:type="dxa" w:w="4968"/>
            <w:vAlign w:val="top"/>
          </w:tcPr>
          <w:p>
            <w:r>
              <w:t>Get current stock quantity</w:t>
            </w:r>
          </w:p>
        </w:tc>
      </w:tr>
      <w:tr>
        <w:tc>
          <w:tcPr>
            <w:tcW w:type="dxa" w:w="4968"/>
            <w:vAlign w:val="top"/>
          </w:tcPr>
          <w:p>
            <w:r>
              <w:t>input_schema</w:t>
            </w:r>
          </w:p>
        </w:tc>
        <w:tc>
          <w:tcPr>
            <w:tcW w:type="dxa" w:w="4968"/>
            <w:vAlign w:val="top"/>
          </w:tcPr>
          <w:p>
            <w:r>
              <w:t>item_id, location_id</w:t>
            </w:r>
          </w:p>
        </w:tc>
      </w:tr>
    </w:tbl>
    <w:p>
      <w:pPr>
        <w:pStyle w:val="Heading1"/>
      </w:pPr>
      <w:r>
        <w:t>24. Agent Security</w:t>
      </w:r>
    </w:p>
    <w:p>
      <w:pPr>
        <w:pStyle w:val="ListBullet"/>
      </w:pPr>
      <w:r>
        <w:t>Agents inherit user permissions; they do not receive broader authority merely because they are agents.</w:t>
      </w:r>
    </w:p>
    <w:p>
      <w:pPr>
        <w:pStyle w:val="ListBullet"/>
      </w:pPr>
      <w:r>
        <w:t>Tool services must enforce permissions independently.</w:t>
      </w:r>
    </w:p>
    <w:p>
      <w:pPr>
        <w:pStyle w:val="ListBullet"/>
      </w:pPr>
      <w:r>
        <w:t>Tenant/company boundaries must be applied before retrieval and tool execution.</w:t>
      </w:r>
    </w:p>
    <w:p>
      <w:pPr>
        <w:pStyle w:val="ListBullet"/>
      </w:pPr>
      <w:r>
        <w:t>Agents must not be able to create unrestricted tools dynamically.</w:t>
      </w:r>
    </w:p>
    <w:p>
      <w:pPr>
        <w:pStyle w:val="ListBullet"/>
      </w:pPr>
      <w:r>
        <w:t>High-risk actions should require deterministic validation outside the model.</w:t>
      </w:r>
    </w:p>
    <w:p>
      <w:pPr>
        <w:pStyle w:val="Heading1"/>
      </w:pPr>
      <w:r>
        <w:t>25. Agent Evaluation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Test group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What to test</w:t>
            </w:r>
          </w:p>
        </w:tc>
      </w:tr>
      <w:tr>
        <w:tc>
          <w:tcPr>
            <w:tcW w:type="dxa" w:w="4968"/>
            <w:vAlign w:val="top"/>
          </w:tcPr>
          <w:p>
            <w:r>
              <w:t>Routing</w:t>
            </w:r>
          </w:p>
        </w:tc>
        <w:tc>
          <w:tcPr>
            <w:tcW w:type="dxa" w:w="4968"/>
            <w:vAlign w:val="top"/>
          </w:tcPr>
          <w:p>
            <w:r>
              <w:t>Correct execution path selected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</w:t>
            </w:r>
          </w:p>
        </w:tc>
        <w:tc>
          <w:tcPr>
            <w:tcW w:type="dxa" w:w="4968"/>
            <w:vAlign w:val="top"/>
          </w:tcPr>
          <w:p>
            <w:r>
              <w:t>Correct sources supplied</w:t>
            </w:r>
          </w:p>
        </w:tc>
      </w:tr>
      <w:tr>
        <w:tc>
          <w:tcPr>
            <w:tcW w:type="dxa" w:w="4968"/>
            <w:vAlign w:val="top"/>
          </w:tcPr>
          <w:p>
            <w:r>
              <w:t>Tool use</w:t>
            </w:r>
          </w:p>
        </w:tc>
        <w:tc>
          <w:tcPr>
            <w:tcW w:type="dxa" w:w="4968"/>
            <w:vAlign w:val="top"/>
          </w:tcPr>
          <w:p>
            <w:r>
              <w:t>Correct tool and arguments</w:t>
            </w:r>
          </w:p>
        </w:tc>
      </w:tr>
      <w:tr>
        <w:tc>
          <w:tcPr>
            <w:tcW w:type="dxa" w:w="4968"/>
            <w:vAlign w:val="top"/>
          </w:tcPr>
          <w:p>
            <w:r>
              <w:t>Reasoning</w:t>
            </w:r>
          </w:p>
        </w:tc>
        <w:tc>
          <w:tcPr>
            <w:tcW w:type="dxa" w:w="4968"/>
            <w:vAlign w:val="top"/>
          </w:tcPr>
          <w:p>
            <w:r>
              <w:t>Correct interpretation of evidence</w:t>
            </w:r>
          </w:p>
        </w:tc>
      </w:tr>
      <w:tr>
        <w:tc>
          <w:tcPr>
            <w:tcW w:type="dxa" w:w="4968"/>
            <w:vAlign w:val="top"/>
          </w:tcPr>
          <w:p>
            <w:r>
              <w:t>Boundary</w:t>
            </w:r>
          </w:p>
        </w:tc>
        <w:tc>
          <w:tcPr>
            <w:tcW w:type="dxa" w:w="4968"/>
            <w:vAlign w:val="top"/>
          </w:tcPr>
          <w:p>
            <w:r>
              <w:t>No cross-company access</w:t>
            </w:r>
          </w:p>
        </w:tc>
      </w:tr>
      <w:tr>
        <w:tc>
          <w:tcPr>
            <w:tcW w:type="dxa" w:w="4968"/>
            <w:vAlign w:val="top"/>
          </w:tcPr>
          <w:p>
            <w:r>
              <w:t>Failure</w:t>
            </w:r>
          </w:p>
        </w:tc>
        <w:tc>
          <w:tcPr>
            <w:tcW w:type="dxa" w:w="4968"/>
            <w:vAlign w:val="top"/>
          </w:tcPr>
          <w:p>
            <w:r>
              <w:t>Correct handling of unavailable tools/data</w:t>
            </w:r>
          </w:p>
        </w:tc>
      </w:tr>
      <w:tr>
        <w:tc>
          <w:tcPr>
            <w:tcW w:type="dxa" w:w="4968"/>
            <w:vAlign w:val="top"/>
          </w:tcPr>
          <w:p>
            <w:r>
              <w:t>Escalation</w:t>
            </w:r>
          </w:p>
        </w:tc>
        <w:tc>
          <w:tcPr>
            <w:tcW w:type="dxa" w:w="4968"/>
            <w:vAlign w:val="top"/>
          </w:tcPr>
          <w:p>
            <w:r>
              <w:t>Human handoff when required</w:t>
            </w:r>
          </w:p>
        </w:tc>
      </w:tr>
      <w:tr>
        <w:tc>
          <w:tcPr>
            <w:tcW w:type="dxa" w:w="4968"/>
            <w:vAlign w:val="top"/>
          </w:tcPr>
          <w:p>
            <w:r>
              <w:t>Output</w:t>
            </w:r>
          </w:p>
        </w:tc>
        <w:tc>
          <w:tcPr>
            <w:tcW w:type="dxa" w:w="4968"/>
            <w:vAlign w:val="top"/>
          </w:tcPr>
          <w:p>
            <w:r>
              <w:t>Correct structured result</w:t>
            </w:r>
          </w:p>
        </w:tc>
      </w:tr>
    </w:tbl>
    <w:p>
      <w:pPr>
        <w:pStyle w:val="Heading1"/>
      </w:pPr>
      <w:r>
        <w:t>26. Agent Failure Taxonomy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Code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Typical fix</w:t>
            </w:r>
          </w:p>
        </w:tc>
      </w:tr>
      <w:tr>
        <w:tc>
          <w:tcPr>
            <w:tcW w:type="dxa" w:w="3312"/>
            <w:vAlign w:val="top"/>
          </w:tcPr>
          <w:p>
            <w:r>
              <w:t>R-01</w:t>
            </w:r>
          </w:p>
        </w:tc>
        <w:tc>
          <w:tcPr>
            <w:tcW w:type="dxa" w:w="3312"/>
            <w:vAlign w:val="top"/>
          </w:tcPr>
          <w:p>
            <w:r>
              <w:t>Wrong route</w:t>
            </w:r>
          </w:p>
        </w:tc>
        <w:tc>
          <w:tcPr>
            <w:tcW w:type="dxa" w:w="3312"/>
            <w:vAlign w:val="top"/>
          </w:tcPr>
          <w:p>
            <w:r>
              <w:t>Router rules/examples</w:t>
            </w:r>
          </w:p>
        </w:tc>
      </w:tr>
      <w:tr>
        <w:tc>
          <w:tcPr>
            <w:tcW w:type="dxa" w:w="3312"/>
            <w:vAlign w:val="top"/>
          </w:tcPr>
          <w:p>
            <w:r>
              <w:t>A-01</w:t>
            </w:r>
          </w:p>
        </w:tc>
        <w:tc>
          <w:tcPr>
            <w:tcW w:type="dxa" w:w="3312"/>
            <w:vAlign w:val="top"/>
          </w:tcPr>
          <w:p>
            <w:r>
              <w:t>Wrong specialist</w:t>
            </w:r>
          </w:p>
        </w:tc>
        <w:tc>
          <w:tcPr>
            <w:tcW w:type="dxa" w:w="3312"/>
            <w:vAlign w:val="top"/>
          </w:tcPr>
          <w:p>
            <w:r>
              <w:t>Agent registry/routing</w:t>
            </w:r>
          </w:p>
        </w:tc>
      </w:tr>
      <w:tr>
        <w:tc>
          <w:tcPr>
            <w:tcW w:type="dxa" w:w="3312"/>
            <w:vAlign w:val="top"/>
          </w:tcPr>
          <w:p>
            <w:r>
              <w:t>T-01</w:t>
            </w:r>
          </w:p>
        </w:tc>
        <w:tc>
          <w:tcPr>
            <w:tcW w:type="dxa" w:w="3312"/>
            <w:vAlign w:val="top"/>
          </w:tcPr>
          <w:p>
            <w:r>
              <w:t>Wrong tool</w:t>
            </w:r>
          </w:p>
        </w:tc>
        <w:tc>
          <w:tcPr>
            <w:tcW w:type="dxa" w:w="3312"/>
            <w:vAlign w:val="top"/>
          </w:tcPr>
          <w:p>
            <w:r>
              <w:t>Tool descriptions/routing</w:t>
            </w:r>
          </w:p>
        </w:tc>
      </w:tr>
      <w:tr>
        <w:tc>
          <w:tcPr>
            <w:tcW w:type="dxa" w:w="3312"/>
            <w:vAlign w:val="top"/>
          </w:tcPr>
          <w:p>
            <w:r>
              <w:t>T-02</w:t>
            </w:r>
          </w:p>
        </w:tc>
        <w:tc>
          <w:tcPr>
            <w:tcW w:type="dxa" w:w="3312"/>
            <w:vAlign w:val="top"/>
          </w:tcPr>
          <w:p>
            <w:r>
              <w:t>Invalid arguments</w:t>
            </w:r>
          </w:p>
        </w:tc>
        <w:tc>
          <w:tcPr>
            <w:tcW w:type="dxa" w:w="3312"/>
            <w:vAlign w:val="top"/>
          </w:tcPr>
          <w:p>
            <w:r>
              <w:t>Schema validation</w:t>
            </w:r>
          </w:p>
        </w:tc>
      </w:tr>
      <w:tr>
        <w:tc>
          <w:tcPr>
            <w:tcW w:type="dxa" w:w="3312"/>
            <w:vAlign w:val="top"/>
          </w:tcPr>
          <w:p>
            <w:r>
              <w:t>T-03</w:t>
            </w:r>
          </w:p>
        </w:tc>
        <w:tc>
          <w:tcPr>
            <w:tcW w:type="dxa" w:w="3312"/>
            <w:vAlign w:val="top"/>
          </w:tcPr>
          <w:p>
            <w:r>
              <w:t>False success</w:t>
            </w:r>
          </w:p>
        </w:tc>
        <w:tc>
          <w:tcPr>
            <w:tcW w:type="dxa" w:w="3312"/>
            <w:vAlign w:val="top"/>
          </w:tcPr>
          <w:p>
            <w:r>
              <w:t>Tool result contract</w:t>
            </w:r>
          </w:p>
        </w:tc>
      </w:tr>
      <w:tr>
        <w:tc>
          <w:tcPr>
            <w:tcW w:type="dxa" w:w="3312"/>
            <w:vAlign w:val="top"/>
          </w:tcPr>
          <w:p>
            <w:r>
              <w:t>E-01</w:t>
            </w:r>
          </w:p>
        </w:tc>
        <w:tc>
          <w:tcPr>
            <w:tcW w:type="dxa" w:w="3312"/>
            <w:vAlign w:val="top"/>
          </w:tcPr>
          <w:p>
            <w:r>
              <w:t>Insufficient evidence</w:t>
            </w:r>
          </w:p>
        </w:tc>
        <w:tc>
          <w:tcPr>
            <w:tcW w:type="dxa" w:w="3312"/>
            <w:vAlign w:val="top"/>
          </w:tcPr>
          <w:p>
            <w:r>
              <w:t>Evidence routing</w:t>
            </w:r>
          </w:p>
        </w:tc>
      </w:tr>
      <w:tr>
        <w:tc>
          <w:tcPr>
            <w:tcW w:type="dxa" w:w="3312"/>
            <w:vAlign w:val="top"/>
          </w:tcPr>
          <w:p>
            <w:r>
              <w:t>E-02</w:t>
            </w:r>
          </w:p>
        </w:tc>
        <w:tc>
          <w:tcPr>
            <w:tcW w:type="dxa" w:w="3312"/>
            <w:vAlign w:val="top"/>
          </w:tcPr>
          <w:p>
            <w:r>
              <w:t>Unsupported inference</w:t>
            </w:r>
          </w:p>
        </w:tc>
        <w:tc>
          <w:tcPr>
            <w:tcW w:type="dxa" w:w="3312"/>
            <w:vAlign w:val="top"/>
          </w:tcPr>
          <w:p>
            <w:r>
              <w:t>Grounding/validation</w:t>
            </w:r>
          </w:p>
        </w:tc>
      </w:tr>
      <w:tr>
        <w:tc>
          <w:tcPr>
            <w:tcW w:type="dxa" w:w="3312"/>
            <w:vAlign w:val="top"/>
          </w:tcPr>
          <w:p>
            <w:r>
              <w:t>P-01</w:t>
            </w:r>
          </w:p>
        </w:tc>
        <w:tc>
          <w:tcPr>
            <w:tcW w:type="dxa" w:w="3312"/>
            <w:vAlign w:val="top"/>
          </w:tcPr>
          <w:p>
            <w:r>
              <w:t>Permission breach</w:t>
            </w:r>
          </w:p>
        </w:tc>
        <w:tc>
          <w:tcPr>
            <w:tcW w:type="dxa" w:w="3312"/>
            <w:vAlign w:val="top"/>
          </w:tcPr>
          <w:p>
            <w:r>
              <w:t>Server-side access control</w:t>
            </w:r>
          </w:p>
        </w:tc>
      </w:tr>
      <w:tr>
        <w:tc>
          <w:tcPr>
            <w:tcW w:type="dxa" w:w="3312"/>
            <w:vAlign w:val="top"/>
          </w:tcPr>
          <w:p>
            <w:r>
              <w:t>H-01</w:t>
            </w:r>
          </w:p>
        </w:tc>
        <w:tc>
          <w:tcPr>
            <w:tcW w:type="dxa" w:w="3312"/>
            <w:vAlign w:val="top"/>
          </w:tcPr>
          <w:p>
            <w:r>
              <w:t>Missed escalation</w:t>
            </w:r>
          </w:p>
        </w:tc>
        <w:tc>
          <w:tcPr>
            <w:tcW w:type="dxa" w:w="3312"/>
            <w:vAlign w:val="top"/>
          </w:tcPr>
          <w:p>
            <w:r>
              <w:t>Domain/workflow rule</w:t>
            </w:r>
          </w:p>
        </w:tc>
      </w:tr>
    </w:tbl>
    <w:p>
      <w:pPr>
        <w:pStyle w:val="Heading1"/>
      </w:pPr>
      <w:r>
        <w:t>27. Observability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Record</w:t>
            </w:r>
          </w:p>
        </w:tc>
      </w:tr>
      <w:tr>
        <w:tc>
          <w:tcPr>
            <w:tcW w:type="dxa" w:w="4968"/>
            <w:vAlign w:val="top"/>
          </w:tcPr>
          <w:p>
            <w:r>
              <w:t>Route selected</w:t>
            </w:r>
          </w:p>
        </w:tc>
        <w:tc>
          <w:tcPr>
            <w:tcW w:type="dxa" w:w="4968"/>
            <w:vAlign w:val="top"/>
          </w:tcPr>
          <w:p>
            <w:r>
              <w:t>Intent/path/config version</w:t>
            </w:r>
          </w:p>
        </w:tc>
      </w:tr>
      <w:tr>
        <w:tc>
          <w:tcPr>
            <w:tcW w:type="dxa" w:w="4968"/>
            <w:vAlign w:val="top"/>
          </w:tcPr>
          <w:p>
            <w:r>
              <w:t>Agent invoked</w:t>
            </w:r>
          </w:p>
        </w:tc>
        <w:tc>
          <w:tcPr>
            <w:tcW w:type="dxa" w:w="4968"/>
            <w:vAlign w:val="top"/>
          </w:tcPr>
          <w:p>
            <w:r>
              <w:t>Agent/version/reason</w:t>
            </w:r>
          </w:p>
        </w:tc>
      </w:tr>
      <w:tr>
        <w:tc>
          <w:tcPr>
            <w:tcW w:type="dxa" w:w="4968"/>
            <w:vAlign w:val="top"/>
          </w:tcPr>
          <w:p>
            <w:r>
              <w:t>Tool invoked</w:t>
            </w:r>
          </w:p>
        </w:tc>
        <w:tc>
          <w:tcPr>
            <w:tcW w:type="dxa" w:w="4968"/>
            <w:vAlign w:val="top"/>
          </w:tcPr>
          <w:p>
            <w:r>
              <w:t>Tool/version/status</w:t>
            </w:r>
          </w:p>
        </w:tc>
      </w:tr>
      <w:tr>
        <w:tc>
          <w:tcPr>
            <w:tcW w:type="dxa" w:w="4968"/>
            <w:vAlign w:val="top"/>
          </w:tcPr>
          <w:p>
            <w:r>
              <w:t>Evidence retrieved</w:t>
            </w:r>
          </w:p>
        </w:tc>
        <w:tc>
          <w:tcPr>
            <w:tcW w:type="dxa" w:w="4968"/>
            <w:vAlign w:val="top"/>
          </w:tcPr>
          <w:p>
            <w:r>
              <w:t>Source IDs and retrieval metadata</w:t>
            </w:r>
          </w:p>
        </w:tc>
      </w:tr>
      <w:tr>
        <w:tc>
          <w:tcPr>
            <w:tcW w:type="dxa" w:w="4968"/>
            <w:vAlign w:val="top"/>
          </w:tcPr>
          <w:p>
            <w:r>
              <w:t>Workflow state</w:t>
            </w:r>
          </w:p>
        </w:tc>
        <w:tc>
          <w:tcPr>
            <w:tcW w:type="dxa" w:w="4968"/>
            <w:vAlign w:val="top"/>
          </w:tcPr>
          <w:p>
            <w:r>
              <w:t>Step/result</w:t>
            </w:r>
          </w:p>
        </w:tc>
      </w:tr>
      <w:tr>
        <w:tc>
          <w:tcPr>
            <w:tcW w:type="dxa" w:w="4968"/>
            <w:vAlign w:val="top"/>
          </w:tcPr>
          <w:p>
            <w:r>
              <w:t>Escalation</w:t>
            </w:r>
          </w:p>
        </w:tc>
        <w:tc>
          <w:tcPr>
            <w:tcW w:type="dxa" w:w="4968"/>
            <w:vAlign w:val="top"/>
          </w:tcPr>
          <w:p>
            <w:r>
              <w:t>Reason/priority</w:t>
            </w:r>
          </w:p>
        </w:tc>
      </w:tr>
      <w:tr>
        <w:tc>
          <w:tcPr>
            <w:tcW w:type="dxa" w:w="4968"/>
            <w:vAlign w:val="top"/>
          </w:tcPr>
          <w:p>
            <w:r>
              <w:t>Final result</w:t>
            </w:r>
          </w:p>
        </w:tc>
        <w:tc>
          <w:tcPr>
            <w:tcW w:type="dxa" w:w="4968"/>
            <w:vAlign w:val="top"/>
          </w:tcPr>
          <w:p>
            <w:r>
              <w:t>Outcome and quality signal</w:t>
            </w:r>
          </w:p>
        </w:tc>
      </w:tr>
    </w:tbl>
    <w:p>
      <w:r>
        <w:t>Log enough to reconstruct execution without unnecessarily storing sensitive content.</w:t>
      </w:r>
    </w:p>
    <w:p>
      <w:pPr>
        <w:pStyle w:val="Heading1"/>
      </w:pPr>
      <w:r>
        <w:t>28. Latency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Latency guidance</w:t>
            </w:r>
          </w:p>
        </w:tc>
      </w:tr>
      <w:tr>
        <w:tc>
          <w:tcPr>
            <w:tcW w:type="dxa" w:w="4968"/>
            <w:vAlign w:val="top"/>
          </w:tcPr>
          <w:p>
            <w:r>
              <w:t>Core answer</w:t>
            </w:r>
          </w:p>
        </w:tc>
        <w:tc>
          <w:tcPr>
            <w:tcW w:type="dxa" w:w="4968"/>
            <w:vAlign w:val="top"/>
          </w:tcPr>
          <w:p>
            <w:r>
              <w:t>Minimal calls</w:t>
            </w:r>
          </w:p>
        </w:tc>
      </w:tr>
      <w:tr>
        <w:tc>
          <w:tcPr>
            <w:tcW w:type="dxa" w:w="4968"/>
            <w:vAlign w:val="top"/>
          </w:tcPr>
          <w:p>
            <w:r>
              <w:t>Single tool</w:t>
            </w:r>
          </w:p>
        </w:tc>
        <w:tc>
          <w:tcPr>
            <w:tcW w:type="dxa" w:w="4968"/>
            <w:vAlign w:val="top"/>
          </w:tcPr>
          <w:p>
            <w:r>
              <w:t>One targeted call</w:t>
            </w:r>
          </w:p>
        </w:tc>
      </w:tr>
      <w:tr>
        <w:tc>
          <w:tcPr>
            <w:tcW w:type="dxa" w:w="4968"/>
            <w:vAlign w:val="top"/>
          </w:tcPr>
          <w:p>
            <w:r>
              <w:t>RAG</w:t>
            </w:r>
          </w:p>
        </w:tc>
        <w:tc>
          <w:tcPr>
            <w:tcW w:type="dxa" w:w="4968"/>
            <w:vAlign w:val="top"/>
          </w:tcPr>
          <w:p>
            <w:r>
              <w:t>One focused retrieval stage</w:t>
            </w:r>
          </w:p>
        </w:tc>
      </w:tr>
      <w:tr>
        <w:tc>
          <w:tcPr>
            <w:tcW w:type="dxa" w:w="4968"/>
            <w:vAlign w:val="top"/>
          </w:tcPr>
          <w:p>
            <w:r>
              <w:t>Hybrid</w:t>
            </w:r>
          </w:p>
        </w:tc>
        <w:tc>
          <w:tcPr>
            <w:tcW w:type="dxa" w:w="4968"/>
            <w:vAlign w:val="top"/>
          </w:tcPr>
          <w:p>
            <w:r>
              <w:t>Parallelise independent retrieval where safe</w:t>
            </w:r>
          </w:p>
        </w:tc>
      </w:tr>
      <w:tr>
        <w:tc>
          <w:tcPr>
            <w:tcW w:type="dxa" w:w="4968"/>
            <w:vAlign w:val="top"/>
          </w:tcPr>
          <w:p>
            <w:r>
              <w:t>Multiple agents</w:t>
            </w:r>
          </w:p>
        </w:tc>
        <w:tc>
          <w:tcPr>
            <w:tcW w:type="dxa" w:w="4968"/>
            <w:vAlign w:val="top"/>
          </w:tcPr>
          <w:p>
            <w:r>
              <w:t>Use only when justified</w:t>
            </w:r>
          </w:p>
        </w:tc>
      </w:tr>
      <w:tr>
        <w:tc>
          <w:tcPr>
            <w:tcW w:type="dxa" w:w="4968"/>
            <w:vAlign w:val="top"/>
          </w:tcPr>
          <w:p>
            <w:r>
              <w:t>Human escalation</w:t>
            </w:r>
          </w:p>
        </w:tc>
        <w:tc>
          <w:tcPr>
            <w:tcW w:type="dxa" w:w="4968"/>
            <w:vAlign w:val="top"/>
          </w:tcPr>
          <w:p>
            <w:r>
              <w:t>Stop automated processing when configured</w:t>
            </w:r>
          </w:p>
        </w:tc>
      </w:tr>
    </w:tbl>
    <w:p>
      <w:r>
        <w:t>The goal is not maximum orchestration. It is the minimum orchestration required for a reliable result.</w:t>
      </w:r>
    </w:p>
    <w:p>
      <w:pPr>
        <w:pStyle w:val="Heading1"/>
      </w:pPr>
      <w:r>
        <w:t>29. Implementation Blueprint</w:t>
      </w:r>
    </w:p>
    <w:p>
      <w:pPr>
        <w:pStyle w:val="ListNumber"/>
      </w:pPr>
      <w:r>
        <w:t>Create a central Tool Registry.</w:t>
      </w:r>
    </w:p>
    <w:p>
      <w:pPr>
        <w:pStyle w:val="ListNumber"/>
      </w:pPr>
      <w:r>
        <w:t>Create a Router with structured route output.</w:t>
      </w:r>
    </w:p>
    <w:p>
      <w:pPr>
        <w:pStyle w:val="ListNumber"/>
      </w:pPr>
      <w:r>
        <w:t>Create a shared Runtime Context object.</w:t>
      </w:r>
    </w:p>
    <w:p>
      <w:pPr>
        <w:pStyle w:val="ListNumber"/>
      </w:pPr>
      <w:r>
        <w:t>Implement tool permission and tenant checks outside the LLM.</w:t>
      </w:r>
    </w:p>
    <w:p>
      <w:pPr>
        <w:pStyle w:val="ListNumber"/>
      </w:pPr>
      <w:r>
        <w:t>Implement standard Tool Result contracts.</w:t>
      </w:r>
    </w:p>
    <w:p>
      <w:pPr>
        <w:pStyle w:val="ListNumber"/>
      </w:pPr>
      <w:r>
        <w:t>Add workflow wrappers for consequential actions.</w:t>
      </w:r>
    </w:p>
    <w:p>
      <w:pPr>
        <w:pStyle w:val="ListNumber"/>
      </w:pPr>
      <w:r>
        <w:t>Add specialist-agent interfaces only for bounded complex tasks.</w:t>
      </w:r>
    </w:p>
    <w:p>
      <w:pPr>
        <w:pStyle w:val="ListNumber"/>
      </w:pPr>
      <w:r>
        <w:t>Implement escalation contracts.</w:t>
      </w:r>
    </w:p>
    <w:p>
      <w:pPr>
        <w:pStyle w:val="ListNumber"/>
      </w:pPr>
      <w:r>
        <w:t>Connect all components to the Document 5 evaluation harness.</w:t>
      </w:r>
    </w:p>
    <w:p>
      <w:pPr>
        <w:pStyle w:val="ListNumber"/>
      </w:pPr>
      <w:r>
        <w:t>Record versioned telemetry for route → evidence → tool → result.</w:t>
      </w:r>
    </w:p>
    <w:p>
      <w:pPr>
        <w:pStyle w:val="Heading1"/>
      </w:pPr>
      <w:r>
        <w:t>30. Recommended Initial Agent Set</w:t>
      </w:r>
    </w:p>
    <w:p>
      <w:r>
        <w:t>Do not start with a large fleet. Start with capabilities that already have clear business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Initial type</w:t>
            </w:r>
          </w:p>
        </w:tc>
        <w:tc>
          <w:tcPr>
            <w:tcW w:type="dxa" w:w="3312"/>
            <w:shd w:fill="EAF2F8"/>
            <w:vAlign w:val="center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3312"/>
            <w:vAlign w:val="top"/>
          </w:tcPr>
          <w:p>
            <w:r>
              <w:t>Universal conversational core</w:t>
            </w:r>
          </w:p>
        </w:tc>
        <w:tc>
          <w:tcPr>
            <w:tcW w:type="dxa" w:w="3312"/>
            <w:vAlign w:val="top"/>
          </w:tcPr>
          <w:p>
            <w:r>
              <w:t>Core</w:t>
            </w:r>
          </w:p>
        </w:tc>
        <w:tc>
          <w:tcPr>
            <w:tcW w:type="dxa" w:w="3312"/>
            <w:vAlign w:val="top"/>
          </w:tcPr>
          <w:p>
            <w:r>
              <w:t>Always required</w:t>
            </w:r>
          </w:p>
        </w:tc>
      </w:tr>
      <w:tr>
        <w:tc>
          <w:tcPr>
            <w:tcW w:type="dxa" w:w="3312"/>
            <w:vAlign w:val="top"/>
          </w:tcPr>
          <w:p>
            <w:r>
              <w:t>Document/knowledge retrieval</w:t>
            </w:r>
          </w:p>
        </w:tc>
        <w:tc>
          <w:tcPr>
            <w:tcW w:type="dxa" w:w="3312"/>
            <w:vAlign w:val="top"/>
          </w:tcPr>
          <w:p>
            <w:r>
              <w:t>Service</w:t>
            </w:r>
          </w:p>
        </w:tc>
        <w:tc>
          <w:tcPr>
            <w:tcW w:type="dxa" w:w="3312"/>
            <w:vAlign w:val="top"/>
          </w:tcPr>
          <w:p>
            <w:r>
              <w:t>Reusable across domains</w:t>
            </w:r>
          </w:p>
        </w:tc>
      </w:tr>
      <w:tr>
        <w:tc>
          <w:tcPr>
            <w:tcW w:type="dxa" w:w="3312"/>
            <w:vAlign w:val="top"/>
          </w:tcPr>
          <w:p>
            <w:r>
              <w:t>Structured data access</w:t>
            </w:r>
          </w:p>
        </w:tc>
        <w:tc>
          <w:tcPr>
            <w:tcW w:type="dxa" w:w="3312"/>
            <w:vAlign w:val="top"/>
          </w:tcPr>
          <w:p>
            <w:r>
              <w:t>Tool/service</w:t>
            </w:r>
          </w:p>
        </w:tc>
        <w:tc>
          <w:tcPr>
            <w:tcW w:type="dxa" w:w="3312"/>
            <w:vAlign w:val="top"/>
          </w:tcPr>
          <w:p>
            <w:r>
              <w:t>Reusable evidence path</w:t>
            </w:r>
          </w:p>
        </w:tc>
      </w:tr>
      <w:tr>
        <w:tc>
          <w:tcPr>
            <w:tcW w:type="dxa" w:w="3312"/>
            <w:vAlign w:val="top"/>
          </w:tcPr>
          <w:p>
            <w:r>
              <w:t>Workflow executor</w:t>
            </w:r>
          </w:p>
        </w:tc>
        <w:tc>
          <w:tcPr>
            <w:tcW w:type="dxa" w:w="3312"/>
            <w:vAlign w:val="top"/>
          </w:tcPr>
          <w:p>
            <w:r>
              <w:t>Service</w:t>
            </w:r>
          </w:p>
        </w:tc>
        <w:tc>
          <w:tcPr>
            <w:tcW w:type="dxa" w:w="3312"/>
            <w:vAlign w:val="top"/>
          </w:tcPr>
          <w:p>
            <w:r>
              <w:t>Safe consequential actions</w:t>
            </w:r>
          </w:p>
        </w:tc>
      </w:tr>
      <w:tr>
        <w:tc>
          <w:tcPr>
            <w:tcW w:type="dxa" w:w="3312"/>
            <w:vAlign w:val="top"/>
          </w:tcPr>
          <w:p>
            <w:r>
              <w:t>Health specialist</w:t>
            </w:r>
          </w:p>
        </w:tc>
        <w:tc>
          <w:tcPr>
            <w:tcW w:type="dxa" w:w="3312"/>
            <w:vAlign w:val="top"/>
          </w:tcPr>
          <w:p>
            <w:r>
              <w:t>Bounded agent</w:t>
            </w:r>
          </w:p>
        </w:tc>
        <w:tc>
          <w:tcPr>
            <w:tcW w:type="dxa" w:w="3312"/>
            <w:vAlign w:val="top"/>
          </w:tcPr>
          <w:p>
            <w:r>
              <w:t>Complex domain context</w:t>
            </w:r>
          </w:p>
        </w:tc>
      </w:tr>
      <w:tr>
        <w:tc>
          <w:tcPr>
            <w:tcW w:type="dxa" w:w="3312"/>
            <w:vAlign w:val="top"/>
          </w:tcPr>
          <w:p>
            <w:r>
              <w:t>Finance specialist</w:t>
            </w:r>
          </w:p>
        </w:tc>
        <w:tc>
          <w:tcPr>
            <w:tcW w:type="dxa" w:w="3312"/>
            <w:vAlign w:val="top"/>
          </w:tcPr>
          <w:p>
            <w:r>
              <w:t>Bounded agent</w:t>
            </w:r>
          </w:p>
        </w:tc>
        <w:tc>
          <w:tcPr>
            <w:tcW w:type="dxa" w:w="3312"/>
            <w:vAlign w:val="top"/>
          </w:tcPr>
          <w:p>
            <w:r>
              <w:t>Complex financial analysis</w:t>
            </w:r>
          </w:p>
        </w:tc>
      </w:tr>
      <w:tr>
        <w:tc>
          <w:tcPr>
            <w:tcW w:type="dxa" w:w="3312"/>
            <w:vAlign w:val="top"/>
          </w:tcPr>
          <w:p>
            <w:r>
              <w:t>Inventory specialist</w:t>
            </w:r>
          </w:p>
        </w:tc>
        <w:tc>
          <w:tcPr>
            <w:tcW w:type="dxa" w:w="3312"/>
            <w:vAlign w:val="top"/>
          </w:tcPr>
          <w:p>
            <w:r>
              <w:t>Bounded agent</w:t>
            </w:r>
          </w:p>
        </w:tc>
        <w:tc>
          <w:tcPr>
            <w:tcW w:type="dxa" w:w="3312"/>
            <w:vAlign w:val="top"/>
          </w:tcPr>
          <w:p>
            <w:r>
              <w:t>Stock/report investigation</w:t>
            </w:r>
          </w:p>
        </w:tc>
      </w:tr>
      <w:tr>
        <w:tc>
          <w:tcPr>
            <w:tcW w:type="dxa" w:w="3312"/>
            <w:vAlign w:val="top"/>
          </w:tcPr>
          <w:p>
            <w:r>
              <w:t>Document intelligence</w:t>
            </w:r>
          </w:p>
        </w:tc>
        <w:tc>
          <w:tcPr>
            <w:tcW w:type="dxa" w:w="3312"/>
            <w:vAlign w:val="top"/>
          </w:tcPr>
          <w:p>
            <w:r>
              <w:t>Bounded capability</w:t>
            </w:r>
          </w:p>
        </w:tc>
        <w:tc>
          <w:tcPr>
            <w:tcW w:type="dxa" w:w="3312"/>
            <w:vAlign w:val="top"/>
          </w:tcPr>
          <w:p>
            <w:r>
              <w:t>Complex document workflows</w:t>
            </w:r>
          </w:p>
        </w:tc>
      </w:tr>
    </w:tbl>
    <w:p>
      <w:pPr>
        <w:pStyle w:val="Heading1"/>
      </w:pPr>
      <w:r>
        <w:t>31. Anti-Patterns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Anti-pattern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Why it fails</w:t>
            </w:r>
          </w:p>
        </w:tc>
      </w:tr>
      <w:tr>
        <w:tc>
          <w:tcPr>
            <w:tcW w:type="dxa" w:w="4968"/>
            <w:vAlign w:val="top"/>
          </w:tcPr>
          <w:p>
            <w:r>
              <w:t>Agent for every task</w:t>
            </w:r>
          </w:p>
        </w:tc>
        <w:tc>
          <w:tcPr>
            <w:tcW w:type="dxa" w:w="4968"/>
            <w:vAlign w:val="top"/>
          </w:tcPr>
          <w:p>
            <w:r>
              <w:t>Adds unnecessary complexity</w:t>
            </w:r>
          </w:p>
        </w:tc>
      </w:tr>
      <w:tr>
        <w:tc>
          <w:tcPr>
            <w:tcW w:type="dxa" w:w="4968"/>
            <w:vAlign w:val="top"/>
          </w:tcPr>
          <w:p>
            <w:r>
              <w:t>Agents directly calling arbitrary tools</w:t>
            </w:r>
          </w:p>
        </w:tc>
        <w:tc>
          <w:tcPr>
            <w:tcW w:type="dxa" w:w="4968"/>
            <w:vAlign w:val="top"/>
          </w:tcPr>
          <w:p>
            <w:r>
              <w:t>Weak governance</w:t>
            </w:r>
          </w:p>
        </w:tc>
      </w:tr>
      <w:tr>
        <w:tc>
          <w:tcPr>
            <w:tcW w:type="dxa" w:w="4968"/>
            <w:vAlign w:val="top"/>
          </w:tcPr>
          <w:p>
            <w:r>
              <w:t>LLM-only permissions</w:t>
            </w:r>
          </w:p>
        </w:tc>
        <w:tc>
          <w:tcPr>
            <w:tcW w:type="dxa" w:w="4968"/>
            <w:vAlign w:val="top"/>
          </w:tcPr>
          <w:p>
            <w:r>
              <w:t>Not a security boundary</w:t>
            </w:r>
          </w:p>
        </w:tc>
      </w:tr>
      <w:tr>
        <w:tc>
          <w:tcPr>
            <w:tcW w:type="dxa" w:w="4968"/>
            <w:vAlign w:val="top"/>
          </w:tcPr>
          <w:p>
            <w:r>
              <w:t>Agent-to-agent free-for-all</w:t>
            </w:r>
          </w:p>
        </w:tc>
        <w:tc>
          <w:tcPr>
            <w:tcW w:type="dxa" w:w="4968"/>
            <w:vAlign w:val="top"/>
          </w:tcPr>
          <w:p>
            <w:r>
              <w:t>Hard to predict and audit</w:t>
            </w:r>
          </w:p>
        </w:tc>
      </w:tr>
      <w:tr>
        <w:tc>
          <w:tcPr>
            <w:tcW w:type="dxa" w:w="4968"/>
            <w:vAlign w:val="top"/>
          </w:tcPr>
          <w:p>
            <w:r>
              <w:t>No structured tool outputs</w:t>
            </w:r>
          </w:p>
        </w:tc>
        <w:tc>
          <w:tcPr>
            <w:tcW w:type="dxa" w:w="4968"/>
            <w:vAlign w:val="top"/>
          </w:tcPr>
          <w:p>
            <w:r>
              <w:t>Generation layer must guess state</w:t>
            </w:r>
          </w:p>
        </w:tc>
      </w:tr>
      <w:tr>
        <w:tc>
          <w:tcPr>
            <w:tcW w:type="dxa" w:w="4968"/>
            <w:vAlign w:val="top"/>
          </w:tcPr>
          <w:p>
            <w:r>
              <w:t>Agent executes high-risk action directly</w:t>
            </w:r>
          </w:p>
        </w:tc>
        <w:tc>
          <w:tcPr>
            <w:tcW w:type="dxa" w:w="4968"/>
            <w:vAlign w:val="top"/>
          </w:tcPr>
          <w:p>
            <w:r>
              <w:t>Weak validation</w:t>
            </w:r>
          </w:p>
        </w:tc>
      </w:tr>
      <w:tr>
        <w:tc>
          <w:tcPr>
            <w:tcW w:type="dxa" w:w="4968"/>
            <w:vAlign w:val="top"/>
          </w:tcPr>
          <w:p>
            <w:r>
              <w:t>Huge tool catalogue in every prompt</w:t>
            </w:r>
          </w:p>
        </w:tc>
        <w:tc>
          <w:tcPr>
            <w:tcW w:type="dxa" w:w="4968"/>
            <w:vAlign w:val="top"/>
          </w:tcPr>
          <w:p>
            <w:r>
              <w:t>Context bloat and routing confusion</w:t>
            </w:r>
          </w:p>
        </w:tc>
      </w:tr>
      <w:tr>
        <w:tc>
          <w:tcPr>
            <w:tcW w:type="dxa" w:w="4968"/>
            <w:vAlign w:val="top"/>
          </w:tcPr>
          <w:p>
            <w:r>
              <w:t>Duplicated system prompts</w:t>
            </w:r>
          </w:p>
        </w:tc>
        <w:tc>
          <w:tcPr>
            <w:tcW w:type="dxa" w:w="4968"/>
            <w:vAlign w:val="top"/>
          </w:tcPr>
          <w:p>
            <w:r>
              <w:t>Behaviour diverges across agents</w:t>
            </w:r>
          </w:p>
        </w:tc>
      </w:tr>
    </w:tbl>
    <w:p>
      <w:pPr>
        <w:pStyle w:val="Heading1"/>
      </w:pPr>
      <w:r>
        <w:t>32. Definition of Done</w:t>
      </w:r>
    </w:p>
    <w:p>
      <w:pPr>
        <w:pStyle w:val="ListBullet"/>
      </w:pPr>
      <w:r>
        <w:t>Router can select a minimal valid execution path.</w:t>
      </w:r>
    </w:p>
    <w:p>
      <w:pPr>
        <w:pStyle w:val="ListBullet"/>
      </w:pPr>
      <w:r>
        <w:t>Tools have explicit schemas, permissions and result states.</w:t>
      </w:r>
    </w:p>
    <w:p>
      <w:pPr>
        <w:pStyle w:val="ListBullet"/>
      </w:pPr>
      <w:r>
        <w:t>Consequential actions pass through deterministic workflows.</w:t>
      </w:r>
    </w:p>
    <w:p>
      <w:pPr>
        <w:pStyle w:val="ListBullet"/>
      </w:pPr>
      <w:r>
        <w:t>Specialist agents have bounded responsibilities.</w:t>
      </w:r>
    </w:p>
    <w:p>
      <w:pPr>
        <w:pStyle w:val="ListBullet"/>
      </w:pPr>
      <w:r>
        <w:t>Agent context is tenant/company/role aware.</w:t>
      </w:r>
    </w:p>
    <w:p>
      <w:pPr>
        <w:pStyle w:val="ListBullet"/>
      </w:pPr>
      <w:r>
        <w:t>Human escalation has a structured contract.</w:t>
      </w:r>
    </w:p>
    <w:p>
      <w:pPr>
        <w:pStyle w:val="ListBullet"/>
      </w:pPr>
      <w:r>
        <w:t>Agent/tool execution is observable and versioned.</w:t>
      </w:r>
    </w:p>
    <w:p>
      <w:pPr>
        <w:pStyle w:val="ListBullet"/>
      </w:pPr>
      <w:r>
        <w:t>All components can be evaluated through the common quality framework.</w:t>
      </w:r>
    </w:p>
    <w:p>
      <w:pPr>
        <w:pStyle w:val="ListBullet"/>
      </w:pPr>
      <w:r>
        <w:t>Adding a specialist does not require changing universal Synbot behaviour.</w:t>
      </w:r>
    </w:p>
    <w:p>
      <w:pPr>
        <w:pStyle w:val="Heading1"/>
      </w:pPr>
      <w:r>
        <w:t>33. Relationship to Documents 1–9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968"/>
            <w:shd w:fill="EAF2F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top"/>
          </w:tcPr>
          <w:p>
            <w:r>
              <w:t>01</w:t>
            </w:r>
          </w:p>
        </w:tc>
        <w:tc>
          <w:tcPr>
            <w:tcW w:type="dxa" w:w="4968"/>
            <w:vAlign w:val="top"/>
          </w:tcPr>
          <w:p>
            <w:r>
              <w:t>Universal conversational contract</w:t>
            </w:r>
          </w:p>
        </w:tc>
      </w:tr>
      <w:tr>
        <w:tc>
          <w:tcPr>
            <w:tcW w:type="dxa" w:w="4968"/>
            <w:vAlign w:val="top"/>
          </w:tcPr>
          <w:p>
            <w:r>
              <w:t>02</w:t>
            </w:r>
          </w:p>
        </w:tc>
        <w:tc>
          <w:tcPr>
            <w:tcW w:type="dxa" w:w="4968"/>
            <w:vAlign w:val="top"/>
          </w:tcPr>
          <w:p>
            <w:r>
              <w:t>Response behaviour and voice</w:t>
            </w:r>
          </w:p>
        </w:tc>
      </w:tr>
      <w:tr>
        <w:tc>
          <w:tcPr>
            <w:tcW w:type="dxa" w:w="4968"/>
            <w:vAlign w:val="top"/>
          </w:tcPr>
          <w:p>
            <w:r>
              <w:t>03</w:t>
            </w:r>
          </w:p>
        </w:tc>
        <w:tc>
          <w:tcPr>
            <w:tcW w:type="dxa" w:w="4968"/>
            <w:vAlign w:val="top"/>
          </w:tcPr>
          <w:p>
            <w:r>
              <w:t>Intelligence and grounding</w:t>
            </w:r>
          </w:p>
        </w:tc>
      </w:tr>
      <w:tr>
        <w:tc>
          <w:tcPr>
            <w:tcW w:type="dxa" w:w="4968"/>
            <w:vAlign w:val="top"/>
          </w:tcPr>
          <w:p>
            <w:r>
              <w:t>04</w:t>
            </w:r>
          </w:p>
        </w:tc>
        <w:tc>
          <w:tcPr>
            <w:tcW w:type="dxa" w:w="4968"/>
            <w:vAlign w:val="top"/>
          </w:tcPr>
          <w:p>
            <w:r>
              <w:t>Prompt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05</w:t>
            </w:r>
          </w:p>
        </w:tc>
        <w:tc>
          <w:tcPr>
            <w:tcW w:type="dxa" w:w="4968"/>
            <w:vAlign w:val="top"/>
          </w:tcPr>
          <w:p>
            <w:r>
              <w:t>Evaluation and quality</w:t>
            </w:r>
          </w:p>
        </w:tc>
      </w:tr>
      <w:tr>
        <w:tc>
          <w:tcPr>
            <w:tcW w:type="dxa" w:w="4968"/>
            <w:vAlign w:val="top"/>
          </w:tcPr>
          <w:p>
            <w:r>
              <w:t>06</w:t>
            </w:r>
          </w:p>
        </w:tc>
        <w:tc>
          <w:tcPr>
            <w:tcW w:type="dxa" w:w="4968"/>
            <w:vAlign w:val="top"/>
          </w:tcPr>
          <w:p>
            <w:r>
              <w:t>Implementation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07</w:t>
            </w:r>
          </w:p>
        </w:tc>
        <w:tc>
          <w:tcPr>
            <w:tcW w:type="dxa" w:w="4968"/>
            <w:vAlign w:val="top"/>
          </w:tcPr>
          <w:p>
            <w:r>
              <w:t>Domain/client/company configuration</w:t>
            </w:r>
          </w:p>
        </w:tc>
      </w:tr>
      <w:tr>
        <w:tc>
          <w:tcPr>
            <w:tcW w:type="dxa" w:w="4968"/>
            <w:vAlign w:val="top"/>
          </w:tcPr>
          <w:p>
            <w:r>
              <w:t>08</w:t>
            </w:r>
          </w:p>
        </w:tc>
        <w:tc>
          <w:tcPr>
            <w:tcW w:type="dxa" w:w="4968"/>
            <w:vAlign w:val="top"/>
          </w:tcPr>
          <w:p>
            <w:r>
              <w:t>Data and knowledge architecture</w:t>
            </w:r>
          </w:p>
        </w:tc>
      </w:tr>
      <w:tr>
        <w:tc>
          <w:tcPr>
            <w:tcW w:type="dxa" w:w="4968"/>
            <w:vAlign w:val="top"/>
          </w:tcPr>
          <w:p>
            <w:r>
              <w:t>09</w:t>
            </w:r>
          </w:p>
        </w:tc>
        <w:tc>
          <w:tcPr>
            <w:tcW w:type="dxa" w:w="4968"/>
            <w:vAlign w:val="top"/>
          </w:tcPr>
          <w:p>
            <w:r>
              <w:t>Agent, tool, workflow and human escalation architecture</w:t>
            </w:r>
          </w:p>
        </w:tc>
      </w:tr>
    </w:tbl>
    <w:p>
      <w:pPr>
        <w:pStyle w:val="Heading1"/>
      </w:pPr>
      <w:r>
        <w:t>34. Closing Principle</w:t>
      </w:r>
    </w:p>
    <w:p>
      <w:pPr>
        <w:pStyle w:val="IntenseQuote"/>
      </w:pPr>
      <w:r>
        <w:t>Agents are components, not personalities. Tools are capabilities, not intelligence. Synbot remains the governed conversational brain.</w:t>
      </w:r>
    </w:p>
    <w:p>
      <w:r>
        <w:t>This architecture keeps the platform modular without turning every capability into an autonomous agent. The user experiences one coherent Synbot; underneath, the platform selects the smallest trusted combination of core reasoning, evidence, tools, workflows, specialists and human escalation needed to complete the task.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Synbot • Agent &amp; Tool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