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Synbot Domain &amp; Client Configuration Framework</w:t>
      </w:r>
    </w:p>
    <w:p>
      <w:pPr>
        <w:jc w:val="center"/>
      </w:pPr>
      <w:r>
        <w:rPr>
          <w:i/>
        </w:rPr>
        <w:t>Document 07 • Version 1.0</w:t>
      </w:r>
    </w:p>
    <w:p>
      <w:pPr>
        <w:jc w:val="center"/>
      </w:pPr>
      <w:r>
        <w:rPr>
          <w:b/>
        </w:rPr>
        <w:t>The reusable configuration contract for every Synbot deployment</w:t>
      </w:r>
    </w:p>
    <w:p>
      <w:pPr>
        <w:pStyle w:val="Heading1"/>
      </w:pPr>
      <w:r>
        <w:t>1. Purpose</w:t>
      </w:r>
    </w:p>
    <w:p>
      <w:r>
        <w:t>Documents 1–6 established Synbot's conversational standard, response behaviour, grounding framework, prompt architecture, evaluation system, and implementation architecture. Document 7 defines how a new domain or client is represented inside that platform.</w:t>
      </w:r>
    </w:p>
    <w:p>
      <w:pPr>
        <w:pStyle w:val="IntenseQuote"/>
      </w:pPr>
      <w:r>
        <w:t>Configure the difference. Do not rebuild the core.</w:t>
      </w:r>
    </w:p>
    <w:p>
      <w:r>
        <w:t>The goal is to make Health, Pharma, Finance, Energy, Placeware, Atiat and future deployments different where the business requires difference, while preserving one underlying Synbot conversational and intelligence standard.</w:t>
      </w:r>
    </w:p>
    <w:p>
      <w:pPr>
        <w:pStyle w:val="Heading1"/>
      </w:pPr>
      <w:r>
        <w:t>2. Configuration Hierarchy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AF2F8"/>
            <w:vAlign w:val="center"/>
          </w:tcPr>
          <w:p>
            <w:r>
              <w:rPr>
                <w:b/>
              </w:rPr>
              <w:t>Layer</w:t>
            </w:r>
          </w:p>
        </w:tc>
        <w:tc>
          <w:tcPr>
            <w:tcW w:type="dxa" w:w="2484"/>
            <w:shd w:fill="EAF2F8"/>
            <w:vAlign w:val="center"/>
          </w:tcPr>
          <w:p>
            <w:r>
              <w:rPr>
                <w:b/>
              </w:rPr>
              <w:t>Purpose</w:t>
            </w:r>
          </w:p>
        </w:tc>
        <w:tc>
          <w:tcPr>
            <w:tcW w:type="dxa" w:w="2484"/>
            <w:shd w:fill="EAF2F8"/>
            <w:vAlign w:val="center"/>
          </w:tcPr>
          <w:p>
            <w:r>
              <w:rPr>
                <w:b/>
              </w:rPr>
              <w:t>Example</w:t>
            </w:r>
          </w:p>
        </w:tc>
        <w:tc>
          <w:tcPr>
            <w:tcW w:type="dxa" w:w="2484"/>
            <w:shd w:fill="EAF2F8"/>
            <w:vAlign w:val="center"/>
          </w:tcPr>
          <w:p>
            <w:r>
              <w:rPr>
                <w:b/>
              </w:rPr>
              <w:t>Change frequency</w:t>
            </w:r>
          </w:p>
        </w:tc>
      </w:tr>
      <w:tr>
        <w:tc>
          <w:tcPr>
            <w:tcW w:type="dxa" w:w="2484"/>
            <w:vAlign w:val="top"/>
          </w:tcPr>
          <w:p>
            <w:r>
              <w:t>Universal Core</w:t>
            </w:r>
          </w:p>
        </w:tc>
        <w:tc>
          <w:tcPr>
            <w:tcW w:type="dxa" w:w="2484"/>
            <w:vAlign w:val="top"/>
          </w:tcPr>
          <w:p>
            <w:r>
              <w:t>Shared Synbot behaviour</w:t>
            </w:r>
          </w:p>
        </w:tc>
        <w:tc>
          <w:tcPr>
            <w:tcW w:type="dxa" w:w="2484"/>
            <w:vAlign w:val="top"/>
          </w:tcPr>
          <w:p>
            <w:r>
              <w:t>Confidence, grounding, response rules</w:t>
            </w:r>
          </w:p>
        </w:tc>
        <w:tc>
          <w:tcPr>
            <w:tcW w:type="dxa" w:w="2484"/>
            <w:vAlign w:val="top"/>
          </w:tcPr>
          <w:p>
            <w:r>
              <w:t>Rare</w:t>
            </w:r>
          </w:p>
        </w:tc>
      </w:tr>
      <w:tr>
        <w:tc>
          <w:tcPr>
            <w:tcW w:type="dxa" w:w="2484"/>
            <w:vAlign w:val="top"/>
          </w:tcPr>
          <w:p>
            <w:r>
              <w:t>Domain Pack</w:t>
            </w:r>
          </w:p>
        </w:tc>
        <w:tc>
          <w:tcPr>
            <w:tcW w:type="dxa" w:w="2484"/>
            <w:vAlign w:val="top"/>
          </w:tcPr>
          <w:p>
            <w:r>
              <w:t>Industry/domain behaviour</w:t>
            </w:r>
          </w:p>
        </w:tc>
        <w:tc>
          <w:tcPr>
            <w:tcW w:type="dxa" w:w="2484"/>
            <w:vAlign w:val="top"/>
          </w:tcPr>
          <w:p>
            <w:r>
              <w:t>Healthcare workflows</w:t>
            </w:r>
          </w:p>
        </w:tc>
        <w:tc>
          <w:tcPr>
            <w:tcW w:type="dxa" w:w="2484"/>
            <w:vAlign w:val="top"/>
          </w:tcPr>
          <w:p>
            <w:r>
              <w:t>Occasional</w:t>
            </w:r>
          </w:p>
        </w:tc>
      </w:tr>
      <w:tr>
        <w:tc>
          <w:tcPr>
            <w:tcW w:type="dxa" w:w="2484"/>
            <w:vAlign w:val="top"/>
          </w:tcPr>
          <w:p>
            <w:r>
              <w:t>Client Pack</w:t>
            </w:r>
          </w:p>
        </w:tc>
        <w:tc>
          <w:tcPr>
            <w:tcW w:type="dxa" w:w="2484"/>
            <w:vAlign w:val="top"/>
          </w:tcPr>
          <w:p>
            <w:r>
              <w:t>Organisation-specific configuration</w:t>
            </w:r>
          </w:p>
        </w:tc>
        <w:tc>
          <w:tcPr>
            <w:tcW w:type="dxa" w:w="2484"/>
            <w:vAlign w:val="top"/>
          </w:tcPr>
          <w:p>
            <w:r>
              <w:t>Royan Hospital policies</w:t>
            </w:r>
          </w:p>
        </w:tc>
        <w:tc>
          <w:tcPr>
            <w:tcW w:type="dxa" w:w="2484"/>
            <w:vAlign w:val="top"/>
          </w:tcPr>
          <w:p>
            <w:r>
              <w:t>Regular</w:t>
            </w:r>
          </w:p>
        </w:tc>
      </w:tr>
      <w:tr>
        <w:tc>
          <w:tcPr>
            <w:tcW w:type="dxa" w:w="2484"/>
            <w:vAlign w:val="top"/>
          </w:tcPr>
          <w:p>
            <w:r>
              <w:t>Role Pack</w:t>
            </w:r>
          </w:p>
        </w:tc>
        <w:tc>
          <w:tcPr>
            <w:tcW w:type="dxa" w:w="2484"/>
            <w:vAlign w:val="top"/>
          </w:tcPr>
          <w:p>
            <w:r>
              <w:t>User permissions and responsibilities</w:t>
            </w:r>
          </w:p>
        </w:tc>
        <w:tc>
          <w:tcPr>
            <w:tcW w:type="dxa" w:w="2484"/>
            <w:vAlign w:val="top"/>
          </w:tcPr>
          <w:p>
            <w:r>
              <w:t>Clinician vs admin</w:t>
            </w:r>
          </w:p>
        </w:tc>
        <w:tc>
          <w:tcPr>
            <w:tcW w:type="dxa" w:w="2484"/>
            <w:vAlign w:val="top"/>
          </w:tcPr>
          <w:p>
            <w:r>
              <w:t>As roles evolve</w:t>
            </w:r>
          </w:p>
        </w:tc>
      </w:tr>
      <w:tr>
        <w:tc>
          <w:tcPr>
            <w:tcW w:type="dxa" w:w="2484"/>
            <w:vAlign w:val="top"/>
          </w:tcPr>
          <w:p>
            <w:r>
              <w:t>Company Pack</w:t>
            </w:r>
          </w:p>
        </w:tc>
        <w:tc>
          <w:tcPr>
            <w:tcW w:type="dxa" w:w="2484"/>
            <w:vAlign w:val="top"/>
          </w:tcPr>
          <w:p>
            <w:r>
              <w:t>Subsidiary/business-unit context</w:t>
            </w:r>
          </w:p>
        </w:tc>
        <w:tc>
          <w:tcPr>
            <w:tcW w:type="dxa" w:w="2484"/>
            <w:vAlign w:val="top"/>
          </w:tcPr>
          <w:p>
            <w:r>
              <w:t>Atiat Insurance</w:t>
            </w:r>
          </w:p>
        </w:tc>
        <w:tc>
          <w:tcPr>
            <w:tcW w:type="dxa" w:w="2484"/>
            <w:vAlign w:val="top"/>
          </w:tcPr>
          <w:p>
            <w:r>
              <w:t>As structure changes</w:t>
            </w:r>
          </w:p>
        </w:tc>
      </w:tr>
      <w:tr>
        <w:tc>
          <w:tcPr>
            <w:tcW w:type="dxa" w:w="2484"/>
            <w:vAlign w:val="top"/>
          </w:tcPr>
          <w:p>
            <w:r>
              <w:t>Integration Pack</w:t>
            </w:r>
          </w:p>
        </w:tc>
        <w:tc>
          <w:tcPr>
            <w:tcW w:type="dxa" w:w="2484"/>
            <w:vAlign w:val="top"/>
          </w:tcPr>
          <w:p>
            <w:r>
              <w:t>External system mappings</w:t>
            </w:r>
          </w:p>
        </w:tc>
        <w:tc>
          <w:tcPr>
            <w:tcW w:type="dxa" w:w="2484"/>
            <w:vAlign w:val="top"/>
          </w:tcPr>
          <w:p>
            <w:r>
              <w:t>DRM Hope / Sage / APIs</w:t>
            </w:r>
          </w:p>
        </w:tc>
        <w:tc>
          <w:tcPr>
            <w:tcW w:type="dxa" w:w="2484"/>
            <w:vAlign w:val="top"/>
          </w:tcPr>
          <w:p>
            <w:r>
              <w:t>As systems change</w:t>
            </w:r>
          </w:p>
        </w:tc>
      </w:tr>
      <w:tr>
        <w:tc>
          <w:tcPr>
            <w:tcW w:type="dxa" w:w="2484"/>
            <w:vAlign w:val="top"/>
          </w:tcPr>
          <w:p>
            <w:r>
              <w:t>Runtime Context</w:t>
            </w:r>
          </w:p>
        </w:tc>
        <w:tc>
          <w:tcPr>
            <w:tcW w:type="dxa" w:w="2484"/>
            <w:vAlign w:val="top"/>
          </w:tcPr>
          <w:p>
            <w:r>
              <w:t>Current request state</w:t>
            </w:r>
          </w:p>
        </w:tc>
        <w:tc>
          <w:tcPr>
            <w:tcW w:type="dxa" w:w="2484"/>
            <w:vAlign w:val="top"/>
          </w:tcPr>
          <w:p>
            <w:r>
              <w:t>Active company, patient, conversation</w:t>
            </w:r>
          </w:p>
        </w:tc>
        <w:tc>
          <w:tcPr>
            <w:tcW w:type="dxa" w:w="2484"/>
            <w:vAlign w:val="top"/>
          </w:tcPr>
          <w:p>
            <w:r>
              <w:t>Every request</w:t>
            </w:r>
          </w:p>
        </w:tc>
      </w:tr>
    </w:tbl>
    <w:p>
      <w:pPr>
        <w:pStyle w:val="Heading1"/>
      </w:pPr>
      <w:r>
        <w:t>3. What Belongs in Configuration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Configuration area</w:t>
            </w:r>
          </w:p>
        </w:tc>
        <w:tc>
          <w:tcPr>
            <w:tcW w:type="dxa" w:w="3312"/>
            <w:shd w:fill="EAF2F8"/>
            <w:vAlign w:val="center"/>
          </w:tcPr>
          <w:p>
            <w:r>
              <w:rPr>
                <w:b/>
              </w:rPr>
              <w:t>Should be configurable?</w:t>
            </w:r>
          </w:p>
        </w:tc>
        <w:tc>
          <w:tcPr>
            <w:tcW w:type="dxa" w:w="3312"/>
            <w:shd w:fill="EAF2F8"/>
            <w:vAlign w:val="center"/>
          </w:tcPr>
          <w:p>
            <w:r>
              <w:rPr>
                <w:b/>
              </w:rPr>
              <w:t>Why</w:t>
            </w:r>
          </w:p>
        </w:tc>
      </w:tr>
      <w:tr>
        <w:tc>
          <w:tcPr>
            <w:tcW w:type="dxa" w:w="3312"/>
            <w:vAlign w:val="top"/>
          </w:tcPr>
          <w:p>
            <w:r>
              <w:t>Identity &amp; branding</w:t>
            </w:r>
          </w:p>
        </w:tc>
        <w:tc>
          <w:tcPr>
            <w:tcW w:type="dxa" w:w="3312"/>
            <w:vAlign w:val="top"/>
          </w:tcPr>
          <w:p>
            <w:r>
              <w:t>Yes</w:t>
            </w:r>
          </w:p>
        </w:tc>
        <w:tc>
          <w:tcPr>
            <w:tcW w:type="dxa" w:w="3312"/>
            <w:vAlign w:val="top"/>
          </w:tcPr>
          <w:p>
            <w:r>
              <w:t>Every client has a different organisational identity</w:t>
            </w:r>
          </w:p>
        </w:tc>
      </w:tr>
      <w:tr>
        <w:tc>
          <w:tcPr>
            <w:tcW w:type="dxa" w:w="3312"/>
            <w:vAlign w:val="top"/>
          </w:tcPr>
          <w:p>
            <w:r>
              <w:t>Domain terminology</w:t>
            </w:r>
          </w:p>
        </w:tc>
        <w:tc>
          <w:tcPr>
            <w:tcW w:type="dxa" w:w="3312"/>
            <w:vAlign w:val="top"/>
          </w:tcPr>
          <w:p>
            <w:r>
              <w:t>Yes</w:t>
            </w:r>
          </w:p>
        </w:tc>
        <w:tc>
          <w:tcPr>
            <w:tcW w:type="dxa" w:w="3312"/>
            <w:vAlign w:val="top"/>
          </w:tcPr>
          <w:p>
            <w:r>
              <w:t>Same concepts may have different names</w:t>
            </w:r>
          </w:p>
        </w:tc>
      </w:tr>
      <w:tr>
        <w:tc>
          <w:tcPr>
            <w:tcW w:type="dxa" w:w="3312"/>
            <w:vAlign w:val="top"/>
          </w:tcPr>
          <w:p>
            <w:r>
              <w:t>Source of truth</w:t>
            </w:r>
          </w:p>
        </w:tc>
        <w:tc>
          <w:tcPr>
            <w:tcW w:type="dxa" w:w="3312"/>
            <w:vAlign w:val="top"/>
          </w:tcPr>
          <w:p>
            <w:r>
              <w:t>Yes</w:t>
            </w:r>
          </w:p>
        </w:tc>
        <w:tc>
          <w:tcPr>
            <w:tcW w:type="dxa" w:w="3312"/>
            <w:vAlign w:val="top"/>
          </w:tcPr>
          <w:p>
            <w:r>
              <w:t>Clients use different systems</w:t>
            </w:r>
          </w:p>
        </w:tc>
      </w:tr>
      <w:tr>
        <w:tc>
          <w:tcPr>
            <w:tcW w:type="dxa" w:w="3312"/>
            <w:vAlign w:val="top"/>
          </w:tcPr>
          <w:p>
            <w:r>
              <w:t>Business workflows</w:t>
            </w:r>
          </w:p>
        </w:tc>
        <w:tc>
          <w:tcPr>
            <w:tcW w:type="dxa" w:w="3312"/>
            <w:vAlign w:val="top"/>
          </w:tcPr>
          <w:p>
            <w:r>
              <w:t>Yes</w:t>
            </w:r>
          </w:p>
        </w:tc>
        <w:tc>
          <w:tcPr>
            <w:tcW w:type="dxa" w:w="3312"/>
            <w:vAlign w:val="top"/>
          </w:tcPr>
          <w:p>
            <w:r>
              <w:t>Operational processes differ</w:t>
            </w:r>
          </w:p>
        </w:tc>
      </w:tr>
      <w:tr>
        <w:tc>
          <w:tcPr>
            <w:tcW w:type="dxa" w:w="3312"/>
            <w:vAlign w:val="top"/>
          </w:tcPr>
          <w:p>
            <w:r>
              <w:t>Roles &amp; permissions</w:t>
            </w:r>
          </w:p>
        </w:tc>
        <w:tc>
          <w:tcPr>
            <w:tcW w:type="dxa" w:w="3312"/>
            <w:vAlign w:val="top"/>
          </w:tcPr>
          <w:p>
            <w:r>
              <w:t>Yes</w:t>
            </w:r>
          </w:p>
        </w:tc>
        <w:tc>
          <w:tcPr>
            <w:tcW w:type="dxa" w:w="3312"/>
            <w:vAlign w:val="top"/>
          </w:tcPr>
          <w:p>
            <w:r>
              <w:t>Access differs by user</w:t>
            </w:r>
          </w:p>
        </w:tc>
      </w:tr>
      <w:tr>
        <w:tc>
          <w:tcPr>
            <w:tcW w:type="dxa" w:w="3312"/>
            <w:vAlign w:val="top"/>
          </w:tcPr>
          <w:p>
            <w:r>
              <w:t>Tools</w:t>
            </w:r>
          </w:p>
        </w:tc>
        <w:tc>
          <w:tcPr>
            <w:tcW w:type="dxa" w:w="3312"/>
            <w:vAlign w:val="top"/>
          </w:tcPr>
          <w:p>
            <w:r>
              <w:t>Yes</w:t>
            </w:r>
          </w:p>
        </w:tc>
        <w:tc>
          <w:tcPr>
            <w:tcW w:type="dxa" w:w="3312"/>
            <w:vAlign w:val="top"/>
          </w:tcPr>
          <w:p>
            <w:r>
              <w:t>Available actions differ</w:t>
            </w:r>
          </w:p>
        </w:tc>
      </w:tr>
      <w:tr>
        <w:tc>
          <w:tcPr>
            <w:tcW w:type="dxa" w:w="3312"/>
            <w:vAlign w:val="top"/>
          </w:tcPr>
          <w:p>
            <w:r>
              <w:t>Escalation rules</w:t>
            </w:r>
          </w:p>
        </w:tc>
        <w:tc>
          <w:tcPr>
            <w:tcW w:type="dxa" w:w="3312"/>
            <w:vAlign w:val="top"/>
          </w:tcPr>
          <w:p>
            <w:r>
              <w:t>Yes</w:t>
            </w:r>
          </w:p>
        </w:tc>
        <w:tc>
          <w:tcPr>
            <w:tcW w:type="dxa" w:w="3312"/>
            <w:vAlign w:val="top"/>
          </w:tcPr>
          <w:p>
            <w:r>
              <w:t>Client/domain-specific</w:t>
            </w:r>
          </w:p>
        </w:tc>
      </w:tr>
      <w:tr>
        <w:tc>
          <w:tcPr>
            <w:tcW w:type="dxa" w:w="3312"/>
            <w:vAlign w:val="top"/>
          </w:tcPr>
          <w:p>
            <w:r>
              <w:t>Approved knowledge</w:t>
            </w:r>
          </w:p>
        </w:tc>
        <w:tc>
          <w:tcPr>
            <w:tcW w:type="dxa" w:w="3312"/>
            <w:vAlign w:val="top"/>
          </w:tcPr>
          <w:p>
            <w:r>
              <w:t>Yes</w:t>
            </w:r>
          </w:p>
        </w:tc>
        <w:tc>
          <w:tcPr>
            <w:tcW w:type="dxa" w:w="3312"/>
            <w:vAlign w:val="top"/>
          </w:tcPr>
          <w:p>
            <w:r>
              <w:t>Policies and manuals differ</w:t>
            </w:r>
          </w:p>
        </w:tc>
      </w:tr>
      <w:tr>
        <w:tc>
          <w:tcPr>
            <w:tcW w:type="dxa" w:w="3312"/>
            <w:vAlign w:val="top"/>
          </w:tcPr>
          <w:p>
            <w:r>
              <w:t>Response examples</w:t>
            </w:r>
          </w:p>
        </w:tc>
        <w:tc>
          <w:tcPr>
            <w:tcW w:type="dxa" w:w="3312"/>
            <w:vAlign w:val="top"/>
          </w:tcPr>
          <w:p>
            <w:r>
              <w:t>Yes</w:t>
            </w:r>
          </w:p>
        </w:tc>
        <w:tc>
          <w:tcPr>
            <w:tcW w:type="dxa" w:w="3312"/>
            <w:vAlign w:val="top"/>
          </w:tcPr>
          <w:p>
            <w:r>
              <w:t>Tone and terminology can be tuned</w:t>
            </w:r>
          </w:p>
        </w:tc>
      </w:tr>
      <w:tr>
        <w:tc>
          <w:tcPr>
            <w:tcW w:type="dxa" w:w="3312"/>
            <w:vAlign w:val="top"/>
          </w:tcPr>
          <w:p>
            <w:r>
              <w:t>Core grounding principles</w:t>
            </w:r>
          </w:p>
        </w:tc>
        <w:tc>
          <w:tcPr>
            <w:tcW w:type="dxa" w:w="3312"/>
            <w:vAlign w:val="top"/>
          </w:tcPr>
          <w:p>
            <w:r>
              <w:t>No</w:t>
            </w:r>
          </w:p>
        </w:tc>
        <w:tc>
          <w:tcPr>
            <w:tcW w:type="dxa" w:w="3312"/>
            <w:vAlign w:val="top"/>
          </w:tcPr>
          <w:p>
            <w:r>
              <w:t>Universal quality rule</w:t>
            </w:r>
          </w:p>
        </w:tc>
      </w:tr>
      <w:tr>
        <w:tc>
          <w:tcPr>
            <w:tcW w:type="dxa" w:w="3312"/>
            <w:vAlign w:val="top"/>
          </w:tcPr>
          <w:p>
            <w:r>
              <w:t>Tenant security</w:t>
            </w:r>
          </w:p>
        </w:tc>
        <w:tc>
          <w:tcPr>
            <w:tcW w:type="dxa" w:w="3312"/>
            <w:vAlign w:val="top"/>
          </w:tcPr>
          <w:p>
            <w:r>
              <w:t>No</w:t>
            </w:r>
          </w:p>
        </w:tc>
        <w:tc>
          <w:tcPr>
            <w:tcW w:type="dxa" w:w="3312"/>
            <w:vAlign w:val="top"/>
          </w:tcPr>
          <w:p>
            <w:r>
              <w:t>Must remain platform-level</w:t>
            </w:r>
          </w:p>
        </w:tc>
      </w:tr>
      <w:tr>
        <w:tc>
          <w:tcPr>
            <w:tcW w:type="dxa" w:w="3312"/>
            <w:vAlign w:val="top"/>
          </w:tcPr>
          <w:p>
            <w:r>
              <w:t>Evaluation philosophy</w:t>
            </w:r>
          </w:p>
        </w:tc>
        <w:tc>
          <w:tcPr>
            <w:tcW w:type="dxa" w:w="3312"/>
            <w:vAlign w:val="top"/>
          </w:tcPr>
          <w:p>
            <w:r>
              <w:t>No</w:t>
            </w:r>
          </w:p>
        </w:tc>
        <w:tc>
          <w:tcPr>
            <w:tcW w:type="dxa" w:w="3312"/>
            <w:vAlign w:val="top"/>
          </w:tcPr>
          <w:p>
            <w:r>
              <w:t>Universal control standard</w:t>
            </w:r>
          </w:p>
        </w:tc>
      </w:tr>
    </w:tbl>
    <w:p>
      <w:pPr>
        <w:pStyle w:val="Heading1"/>
      </w:pPr>
      <w:r>
        <w:t>4. Domain Pack</w:t>
      </w:r>
    </w:p>
    <w:p>
      <w:r>
        <w:t>A Domain Pack describes how Synbot behaves within an industry or functional domain, independent of a specific client.</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Field</w:t>
            </w:r>
          </w:p>
        </w:tc>
        <w:tc>
          <w:tcPr>
            <w:tcW w:type="dxa" w:w="4968"/>
            <w:shd w:fill="EAF2F8"/>
            <w:vAlign w:val="center"/>
          </w:tcPr>
          <w:p>
            <w:r>
              <w:rPr>
                <w:b/>
              </w:rPr>
              <w:t>Purpose</w:t>
            </w:r>
          </w:p>
        </w:tc>
      </w:tr>
      <w:tr>
        <w:tc>
          <w:tcPr>
            <w:tcW w:type="dxa" w:w="4968"/>
            <w:vAlign w:val="top"/>
          </w:tcPr>
          <w:p>
            <w:r>
              <w:t>domain_id</w:t>
            </w:r>
          </w:p>
        </w:tc>
        <w:tc>
          <w:tcPr>
            <w:tcW w:type="dxa" w:w="4968"/>
            <w:vAlign w:val="top"/>
          </w:tcPr>
          <w:p>
            <w:r>
              <w:t>Stable identifier, e.g. health</w:t>
            </w:r>
          </w:p>
        </w:tc>
      </w:tr>
      <w:tr>
        <w:tc>
          <w:tcPr>
            <w:tcW w:type="dxa" w:w="4968"/>
            <w:vAlign w:val="top"/>
          </w:tcPr>
          <w:p>
            <w:r>
              <w:t>domain_name</w:t>
            </w:r>
          </w:p>
        </w:tc>
        <w:tc>
          <w:tcPr>
            <w:tcW w:type="dxa" w:w="4968"/>
            <w:vAlign w:val="top"/>
          </w:tcPr>
          <w:p>
            <w:r>
              <w:t>Human-readable domain name</w:t>
            </w:r>
          </w:p>
        </w:tc>
      </w:tr>
      <w:tr>
        <w:tc>
          <w:tcPr>
            <w:tcW w:type="dxa" w:w="4968"/>
            <w:vAlign w:val="top"/>
          </w:tcPr>
          <w:p>
            <w:r>
              <w:t>terminology</w:t>
            </w:r>
          </w:p>
        </w:tc>
        <w:tc>
          <w:tcPr>
            <w:tcW w:type="dxa" w:w="4968"/>
            <w:vAlign w:val="top"/>
          </w:tcPr>
          <w:p>
            <w:r>
              <w:t>Approved domain vocabulary</w:t>
            </w:r>
          </w:p>
        </w:tc>
      </w:tr>
      <w:tr>
        <w:tc>
          <w:tcPr>
            <w:tcW w:type="dxa" w:w="4968"/>
            <w:vAlign w:val="top"/>
          </w:tcPr>
          <w:p>
            <w:r>
              <w:t>workflows</w:t>
            </w:r>
          </w:p>
        </w:tc>
        <w:tc>
          <w:tcPr>
            <w:tcW w:type="dxa" w:w="4968"/>
            <w:vAlign w:val="top"/>
          </w:tcPr>
          <w:p>
            <w:r>
              <w:t>Common domain workflows</w:t>
            </w:r>
          </w:p>
        </w:tc>
      </w:tr>
      <w:tr>
        <w:tc>
          <w:tcPr>
            <w:tcW w:type="dxa" w:w="4968"/>
            <w:vAlign w:val="top"/>
          </w:tcPr>
          <w:p>
            <w:r>
              <w:t>source_rules</w:t>
            </w:r>
          </w:p>
        </w:tc>
        <w:tc>
          <w:tcPr>
            <w:tcW w:type="dxa" w:w="4968"/>
            <w:vAlign w:val="top"/>
          </w:tcPr>
          <w:p>
            <w:r>
              <w:t>Preferred evidence sources</w:t>
            </w:r>
          </w:p>
        </w:tc>
      </w:tr>
      <w:tr>
        <w:tc>
          <w:tcPr>
            <w:tcW w:type="dxa" w:w="4968"/>
            <w:vAlign w:val="top"/>
          </w:tcPr>
          <w:p>
            <w:r>
              <w:t>safety_rules</w:t>
            </w:r>
          </w:p>
        </w:tc>
        <w:tc>
          <w:tcPr>
            <w:tcW w:type="dxa" w:w="4968"/>
            <w:vAlign w:val="top"/>
          </w:tcPr>
          <w:p>
            <w:r>
              <w:t>Domain-specific safety boundaries</w:t>
            </w:r>
          </w:p>
        </w:tc>
      </w:tr>
      <w:tr>
        <w:tc>
          <w:tcPr>
            <w:tcW w:type="dxa" w:w="4968"/>
            <w:vAlign w:val="top"/>
          </w:tcPr>
          <w:p>
            <w:r>
              <w:t>escalation_rules</w:t>
            </w:r>
          </w:p>
        </w:tc>
        <w:tc>
          <w:tcPr>
            <w:tcW w:type="dxa" w:w="4968"/>
            <w:vAlign w:val="top"/>
          </w:tcPr>
          <w:p>
            <w:r>
              <w:t>When human escalation is required</w:t>
            </w:r>
          </w:p>
        </w:tc>
      </w:tr>
      <w:tr>
        <w:tc>
          <w:tcPr>
            <w:tcW w:type="dxa" w:w="4968"/>
            <w:vAlign w:val="top"/>
          </w:tcPr>
          <w:p>
            <w:r>
              <w:t>tool_categories</w:t>
            </w:r>
          </w:p>
        </w:tc>
        <w:tc>
          <w:tcPr>
            <w:tcW w:type="dxa" w:w="4968"/>
            <w:vAlign w:val="top"/>
          </w:tcPr>
          <w:p>
            <w:r>
              <w:t>Allowed tool classes</w:t>
            </w:r>
          </w:p>
        </w:tc>
      </w:tr>
      <w:tr>
        <w:tc>
          <w:tcPr>
            <w:tcW w:type="dxa" w:w="4968"/>
            <w:vAlign w:val="top"/>
          </w:tcPr>
          <w:p>
            <w:r>
              <w:t>response_patterns</w:t>
            </w:r>
          </w:p>
        </w:tc>
        <w:tc>
          <w:tcPr>
            <w:tcW w:type="dxa" w:w="4968"/>
            <w:vAlign w:val="top"/>
          </w:tcPr>
          <w:p>
            <w:r>
              <w:t>Domain-specific response examples</w:t>
            </w:r>
          </w:p>
        </w:tc>
      </w:tr>
      <w:tr>
        <w:tc>
          <w:tcPr>
            <w:tcW w:type="dxa" w:w="4968"/>
            <w:vAlign w:val="top"/>
          </w:tcPr>
          <w:p>
            <w:r>
              <w:t>evaluation_cases</w:t>
            </w:r>
          </w:p>
        </w:tc>
        <w:tc>
          <w:tcPr>
            <w:tcW w:type="dxa" w:w="4968"/>
            <w:vAlign w:val="top"/>
          </w:tcPr>
          <w:p>
            <w:r>
              <w:t>Reusable domain tests</w:t>
            </w:r>
          </w:p>
        </w:tc>
      </w:tr>
    </w:tbl>
    <w:p>
      <w:pPr>
        <w:pStyle w:val="Heading1"/>
      </w:pPr>
      <w:r>
        <w:t>5. Client Pack</w:t>
      </w:r>
    </w:p>
    <w:p>
      <w:r>
        <w:t>A Client Pack defines one organisation's operating environment.</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Field</w:t>
            </w:r>
          </w:p>
        </w:tc>
        <w:tc>
          <w:tcPr>
            <w:tcW w:type="dxa" w:w="4968"/>
            <w:shd w:fill="EAF2F8"/>
            <w:vAlign w:val="center"/>
          </w:tcPr>
          <w:p>
            <w:r>
              <w:rPr>
                <w:b/>
              </w:rPr>
              <w:t>Purpose</w:t>
            </w:r>
          </w:p>
        </w:tc>
      </w:tr>
      <w:tr>
        <w:tc>
          <w:tcPr>
            <w:tcW w:type="dxa" w:w="4968"/>
            <w:vAlign w:val="top"/>
          </w:tcPr>
          <w:p>
            <w:r>
              <w:t>client_id</w:t>
            </w:r>
          </w:p>
        </w:tc>
        <w:tc>
          <w:tcPr>
            <w:tcW w:type="dxa" w:w="4968"/>
            <w:vAlign w:val="top"/>
          </w:tcPr>
          <w:p>
            <w:r>
              <w:t>Stable organisation identifier</w:t>
            </w:r>
          </w:p>
        </w:tc>
      </w:tr>
      <w:tr>
        <w:tc>
          <w:tcPr>
            <w:tcW w:type="dxa" w:w="4968"/>
            <w:vAlign w:val="top"/>
          </w:tcPr>
          <w:p>
            <w:r>
              <w:t>display_name</w:t>
            </w:r>
          </w:p>
        </w:tc>
        <w:tc>
          <w:tcPr>
            <w:tcW w:type="dxa" w:w="4968"/>
            <w:vAlign w:val="top"/>
          </w:tcPr>
          <w:p>
            <w:r>
              <w:t>Organisation name</w:t>
            </w:r>
          </w:p>
        </w:tc>
      </w:tr>
      <w:tr>
        <w:tc>
          <w:tcPr>
            <w:tcW w:type="dxa" w:w="4968"/>
            <w:vAlign w:val="top"/>
          </w:tcPr>
          <w:p>
            <w:r>
              <w:t>industry/domain</w:t>
            </w:r>
          </w:p>
        </w:tc>
        <w:tc>
          <w:tcPr>
            <w:tcW w:type="dxa" w:w="4968"/>
            <w:vAlign w:val="top"/>
          </w:tcPr>
          <w:p>
            <w:r>
              <w:t>Links to Domain Pack</w:t>
            </w:r>
          </w:p>
        </w:tc>
      </w:tr>
      <w:tr>
        <w:tc>
          <w:tcPr>
            <w:tcW w:type="dxa" w:w="4968"/>
            <w:vAlign w:val="top"/>
          </w:tcPr>
          <w:p>
            <w:r>
              <w:t>identity</w:t>
            </w:r>
          </w:p>
        </w:tc>
        <w:tc>
          <w:tcPr>
            <w:tcW w:type="dxa" w:w="4968"/>
            <w:vAlign w:val="top"/>
          </w:tcPr>
          <w:p>
            <w:r>
              <w:t>Brand and organisational identity</w:t>
            </w:r>
          </w:p>
        </w:tc>
      </w:tr>
      <w:tr>
        <w:tc>
          <w:tcPr>
            <w:tcW w:type="dxa" w:w="4968"/>
            <w:vAlign w:val="top"/>
          </w:tcPr>
          <w:p>
            <w:r>
              <w:t>terminology_overrides</w:t>
            </w:r>
          </w:p>
        </w:tc>
        <w:tc>
          <w:tcPr>
            <w:tcW w:type="dxa" w:w="4968"/>
            <w:vAlign w:val="top"/>
          </w:tcPr>
          <w:p>
            <w:r>
              <w:t>Client-specific terms</w:t>
            </w:r>
          </w:p>
        </w:tc>
      </w:tr>
      <w:tr>
        <w:tc>
          <w:tcPr>
            <w:tcW w:type="dxa" w:w="4968"/>
            <w:vAlign w:val="top"/>
          </w:tcPr>
          <w:p>
            <w:r>
              <w:t>source_registry</w:t>
            </w:r>
          </w:p>
        </w:tc>
        <w:tc>
          <w:tcPr>
            <w:tcW w:type="dxa" w:w="4968"/>
            <w:vAlign w:val="top"/>
          </w:tcPr>
          <w:p>
            <w:r>
              <w:t>Authoritative data sources</w:t>
            </w:r>
          </w:p>
        </w:tc>
      </w:tr>
      <w:tr>
        <w:tc>
          <w:tcPr>
            <w:tcW w:type="dxa" w:w="4968"/>
            <w:vAlign w:val="top"/>
          </w:tcPr>
          <w:p>
            <w:r>
              <w:t>knowledge_sources</w:t>
            </w:r>
          </w:p>
        </w:tc>
        <w:tc>
          <w:tcPr>
            <w:tcW w:type="dxa" w:w="4968"/>
            <w:vAlign w:val="top"/>
          </w:tcPr>
          <w:p>
            <w:r>
              <w:t>Approved documents and knowledge</w:t>
            </w:r>
          </w:p>
        </w:tc>
      </w:tr>
      <w:tr>
        <w:tc>
          <w:tcPr>
            <w:tcW w:type="dxa" w:w="4968"/>
            <w:vAlign w:val="top"/>
          </w:tcPr>
          <w:p>
            <w:r>
              <w:t>business_rules</w:t>
            </w:r>
          </w:p>
        </w:tc>
        <w:tc>
          <w:tcPr>
            <w:tcW w:type="dxa" w:w="4968"/>
            <w:vAlign w:val="top"/>
          </w:tcPr>
          <w:p>
            <w:r>
              <w:t>Client-specific rules</w:t>
            </w:r>
          </w:p>
        </w:tc>
      </w:tr>
      <w:tr>
        <w:tc>
          <w:tcPr>
            <w:tcW w:type="dxa" w:w="4968"/>
            <w:vAlign w:val="top"/>
          </w:tcPr>
          <w:p>
            <w:r>
              <w:t>workflow_rules</w:t>
            </w:r>
          </w:p>
        </w:tc>
        <w:tc>
          <w:tcPr>
            <w:tcW w:type="dxa" w:w="4968"/>
            <w:vAlign w:val="top"/>
          </w:tcPr>
          <w:p>
            <w:r>
              <w:t>Operational processes</w:t>
            </w:r>
          </w:p>
        </w:tc>
      </w:tr>
      <w:tr>
        <w:tc>
          <w:tcPr>
            <w:tcW w:type="dxa" w:w="4968"/>
            <w:vAlign w:val="top"/>
          </w:tcPr>
          <w:p>
            <w:r>
              <w:t>roles</w:t>
            </w:r>
          </w:p>
        </w:tc>
        <w:tc>
          <w:tcPr>
            <w:tcW w:type="dxa" w:w="4968"/>
            <w:vAlign w:val="top"/>
          </w:tcPr>
          <w:p>
            <w:r>
              <w:t>Available client roles</w:t>
            </w:r>
          </w:p>
        </w:tc>
      </w:tr>
      <w:tr>
        <w:tc>
          <w:tcPr>
            <w:tcW w:type="dxa" w:w="4968"/>
            <w:vAlign w:val="top"/>
          </w:tcPr>
          <w:p>
            <w:r>
              <w:t>tools</w:t>
            </w:r>
          </w:p>
        </w:tc>
        <w:tc>
          <w:tcPr>
            <w:tcW w:type="dxa" w:w="4968"/>
            <w:vAlign w:val="top"/>
          </w:tcPr>
          <w:p>
            <w:r>
              <w:t>Enabled capabilities</w:t>
            </w:r>
          </w:p>
        </w:tc>
      </w:tr>
      <w:tr>
        <w:tc>
          <w:tcPr>
            <w:tcW w:type="dxa" w:w="4968"/>
            <w:vAlign w:val="top"/>
          </w:tcPr>
          <w:p>
            <w:r>
              <w:t>escalation</w:t>
            </w:r>
          </w:p>
        </w:tc>
        <w:tc>
          <w:tcPr>
            <w:tcW w:type="dxa" w:w="4968"/>
            <w:vAlign w:val="top"/>
          </w:tcPr>
          <w:p>
            <w:r>
              <w:t>Client escalation routes</w:t>
            </w:r>
          </w:p>
        </w:tc>
      </w:tr>
      <w:tr>
        <w:tc>
          <w:tcPr>
            <w:tcW w:type="dxa" w:w="4968"/>
            <w:vAlign w:val="top"/>
          </w:tcPr>
          <w:p>
            <w:r>
              <w:t>evaluation_pack</w:t>
            </w:r>
          </w:p>
        </w:tc>
        <w:tc>
          <w:tcPr>
            <w:tcW w:type="dxa" w:w="4968"/>
            <w:vAlign w:val="top"/>
          </w:tcPr>
          <w:p>
            <w:r>
              <w:t>Client-specific tests</w:t>
            </w:r>
          </w:p>
        </w:tc>
      </w:tr>
      <w:tr>
        <w:tc>
          <w:tcPr>
            <w:tcW w:type="dxa" w:w="4968"/>
            <w:vAlign w:val="top"/>
          </w:tcPr>
          <w:p>
            <w:r>
              <w:t>feature_flags</w:t>
            </w:r>
          </w:p>
        </w:tc>
        <w:tc>
          <w:tcPr>
            <w:tcW w:type="dxa" w:w="4968"/>
            <w:vAlign w:val="top"/>
          </w:tcPr>
          <w:p>
            <w:r>
              <w:t>Enabled/disabled capabilities</w:t>
            </w:r>
          </w:p>
        </w:tc>
      </w:tr>
    </w:tbl>
    <w:p>
      <w:pPr>
        <w:pStyle w:val="Heading1"/>
      </w:pPr>
      <w:r>
        <w:t>6. Company / Subsidiary Pack</w:t>
      </w:r>
    </w:p>
    <w:p>
      <w:r>
        <w:t>For multi-company clients such as Atiat, company context should be represented explicitly rather than hidden inside generic client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Field</w:t>
            </w:r>
          </w:p>
        </w:tc>
        <w:tc>
          <w:tcPr>
            <w:tcW w:type="dxa" w:w="4968"/>
            <w:shd w:fill="EAF2F8"/>
            <w:vAlign w:val="center"/>
          </w:tcPr>
          <w:p>
            <w:r>
              <w:rPr>
                <w:b/>
              </w:rPr>
              <w:t>Example</w:t>
            </w:r>
          </w:p>
        </w:tc>
      </w:tr>
      <w:tr>
        <w:tc>
          <w:tcPr>
            <w:tcW w:type="dxa" w:w="4968"/>
            <w:vAlign w:val="top"/>
          </w:tcPr>
          <w:p>
            <w:r>
              <w:t>company_id</w:t>
            </w:r>
          </w:p>
        </w:tc>
        <w:tc>
          <w:tcPr>
            <w:tcW w:type="dxa" w:w="4968"/>
            <w:vAlign w:val="top"/>
          </w:tcPr>
          <w:p>
            <w:r>
              <w:t>atiat_insurance</w:t>
            </w:r>
          </w:p>
        </w:tc>
      </w:tr>
      <w:tr>
        <w:tc>
          <w:tcPr>
            <w:tcW w:type="dxa" w:w="4968"/>
            <w:vAlign w:val="top"/>
          </w:tcPr>
          <w:p>
            <w:r>
              <w:t>parent_client</w:t>
            </w:r>
          </w:p>
        </w:tc>
        <w:tc>
          <w:tcPr>
            <w:tcW w:type="dxa" w:w="4968"/>
            <w:vAlign w:val="top"/>
          </w:tcPr>
          <w:p>
            <w:r>
              <w:t>atiat</w:t>
            </w:r>
          </w:p>
        </w:tc>
      </w:tr>
      <w:tr>
        <w:tc>
          <w:tcPr>
            <w:tcW w:type="dxa" w:w="4968"/>
            <w:vAlign w:val="top"/>
          </w:tcPr>
          <w:p>
            <w:r>
              <w:t>company_name</w:t>
            </w:r>
          </w:p>
        </w:tc>
        <w:tc>
          <w:tcPr>
            <w:tcW w:type="dxa" w:w="4968"/>
            <w:vAlign w:val="top"/>
          </w:tcPr>
          <w:p>
            <w:r>
              <w:t>Atiat Insurance</w:t>
            </w:r>
          </w:p>
        </w:tc>
      </w:tr>
      <w:tr>
        <w:tc>
          <w:tcPr>
            <w:tcW w:type="dxa" w:w="4968"/>
            <w:vAlign w:val="top"/>
          </w:tcPr>
          <w:p>
            <w:r>
              <w:t>business_type</w:t>
            </w:r>
          </w:p>
        </w:tc>
        <w:tc>
          <w:tcPr>
            <w:tcW w:type="dxa" w:w="4968"/>
            <w:vAlign w:val="top"/>
          </w:tcPr>
          <w:p>
            <w:r>
              <w:t>Insurance</w:t>
            </w:r>
          </w:p>
        </w:tc>
      </w:tr>
      <w:tr>
        <w:tc>
          <w:tcPr>
            <w:tcW w:type="dxa" w:w="4968"/>
            <w:vAlign w:val="top"/>
          </w:tcPr>
          <w:p>
            <w:r>
              <w:t>source_registry</w:t>
            </w:r>
          </w:p>
        </w:tc>
        <w:tc>
          <w:tcPr>
            <w:tcW w:type="dxa" w:w="4968"/>
            <w:vAlign w:val="top"/>
          </w:tcPr>
          <w:p>
            <w:r>
              <w:t>Insurance-specific systems</w:t>
            </w:r>
          </w:p>
        </w:tc>
      </w:tr>
      <w:tr>
        <w:tc>
          <w:tcPr>
            <w:tcW w:type="dxa" w:w="4968"/>
            <w:vAlign w:val="top"/>
          </w:tcPr>
          <w:p>
            <w:r>
              <w:t>roles</w:t>
            </w:r>
          </w:p>
        </w:tc>
        <w:tc>
          <w:tcPr>
            <w:tcW w:type="dxa" w:w="4968"/>
            <w:vAlign w:val="top"/>
          </w:tcPr>
          <w:p>
            <w:r>
              <w:t>Insurance roles</w:t>
            </w:r>
          </w:p>
        </w:tc>
      </w:tr>
      <w:tr>
        <w:tc>
          <w:tcPr>
            <w:tcW w:type="dxa" w:w="4968"/>
            <w:vAlign w:val="top"/>
          </w:tcPr>
          <w:p>
            <w:r>
              <w:t>tools</w:t>
            </w:r>
          </w:p>
        </w:tc>
        <w:tc>
          <w:tcPr>
            <w:tcW w:type="dxa" w:w="4968"/>
            <w:vAlign w:val="top"/>
          </w:tcPr>
          <w:p>
            <w:r>
              <w:t>Insurance workflows</w:t>
            </w:r>
          </w:p>
        </w:tc>
      </w:tr>
      <w:tr>
        <w:tc>
          <w:tcPr>
            <w:tcW w:type="dxa" w:w="4968"/>
            <w:vAlign w:val="top"/>
          </w:tcPr>
          <w:p>
            <w:r>
              <w:t>policies</w:t>
            </w:r>
          </w:p>
        </w:tc>
        <w:tc>
          <w:tcPr>
            <w:tcW w:type="dxa" w:w="4968"/>
            <w:vAlign w:val="top"/>
          </w:tcPr>
          <w:p>
            <w:r>
              <w:t>Insurance documents</w:t>
            </w:r>
          </w:p>
        </w:tc>
      </w:tr>
      <w:tr>
        <w:tc>
          <w:tcPr>
            <w:tcW w:type="dxa" w:w="4968"/>
            <w:vAlign w:val="top"/>
          </w:tcPr>
          <w:p>
            <w:r>
              <w:t>data_boundary</w:t>
            </w:r>
          </w:p>
        </w:tc>
        <w:tc>
          <w:tcPr>
            <w:tcW w:type="dxa" w:w="4968"/>
            <w:vAlign w:val="top"/>
          </w:tcPr>
          <w:p>
            <w:r>
              <w:t>Company-specific tenant/filter rules</w:t>
            </w:r>
          </w:p>
        </w:tc>
      </w:tr>
      <w:tr>
        <w:tc>
          <w:tcPr>
            <w:tcW w:type="dxa" w:w="4968"/>
            <w:vAlign w:val="top"/>
          </w:tcPr>
          <w:p>
            <w:r>
              <w:t>evaluation_pack</w:t>
            </w:r>
          </w:p>
        </w:tc>
        <w:tc>
          <w:tcPr>
            <w:tcW w:type="dxa" w:w="4968"/>
            <w:vAlign w:val="top"/>
          </w:tcPr>
          <w:p>
            <w:r>
              <w:t>Insurance-specific cases</w:t>
            </w:r>
          </w:p>
        </w:tc>
      </w:tr>
    </w:tbl>
    <w:p>
      <w:pPr>
        <w:pStyle w:val="Heading1"/>
      </w:pPr>
      <w:r>
        <w:t>7. Role Pack</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Field</w:t>
            </w:r>
          </w:p>
        </w:tc>
        <w:tc>
          <w:tcPr>
            <w:tcW w:type="dxa" w:w="4968"/>
            <w:shd w:fill="EAF2F8"/>
            <w:vAlign w:val="center"/>
          </w:tcPr>
          <w:p>
            <w:r>
              <w:rPr>
                <w:b/>
              </w:rPr>
              <w:t>Purpose</w:t>
            </w:r>
          </w:p>
        </w:tc>
      </w:tr>
      <w:tr>
        <w:tc>
          <w:tcPr>
            <w:tcW w:type="dxa" w:w="4968"/>
            <w:vAlign w:val="top"/>
          </w:tcPr>
          <w:p>
            <w:r>
              <w:t>role_id</w:t>
            </w:r>
          </w:p>
        </w:tc>
        <w:tc>
          <w:tcPr>
            <w:tcW w:type="dxa" w:w="4968"/>
            <w:vAlign w:val="top"/>
          </w:tcPr>
          <w:p>
            <w:r>
              <w:t>Stable role identifier</w:t>
            </w:r>
          </w:p>
        </w:tc>
      </w:tr>
      <w:tr>
        <w:tc>
          <w:tcPr>
            <w:tcW w:type="dxa" w:w="4968"/>
            <w:vAlign w:val="top"/>
          </w:tcPr>
          <w:p>
            <w:r>
              <w:t>permissions</w:t>
            </w:r>
          </w:p>
        </w:tc>
        <w:tc>
          <w:tcPr>
            <w:tcW w:type="dxa" w:w="4968"/>
            <w:vAlign w:val="top"/>
          </w:tcPr>
          <w:p>
            <w:r>
              <w:t>Read/write/action permissions</w:t>
            </w:r>
          </w:p>
        </w:tc>
      </w:tr>
      <w:tr>
        <w:tc>
          <w:tcPr>
            <w:tcW w:type="dxa" w:w="4968"/>
            <w:vAlign w:val="top"/>
          </w:tcPr>
          <w:p>
            <w:r>
              <w:t>visible_domains</w:t>
            </w:r>
          </w:p>
        </w:tc>
        <w:tc>
          <w:tcPr>
            <w:tcW w:type="dxa" w:w="4968"/>
            <w:vAlign w:val="top"/>
          </w:tcPr>
          <w:p>
            <w:r>
              <w:t>Allowed domains</w:t>
            </w:r>
          </w:p>
        </w:tc>
      </w:tr>
      <w:tr>
        <w:tc>
          <w:tcPr>
            <w:tcW w:type="dxa" w:w="4968"/>
            <w:vAlign w:val="top"/>
          </w:tcPr>
          <w:p>
            <w:r>
              <w:t>visible_companies</w:t>
            </w:r>
          </w:p>
        </w:tc>
        <w:tc>
          <w:tcPr>
            <w:tcW w:type="dxa" w:w="4968"/>
            <w:vAlign w:val="top"/>
          </w:tcPr>
          <w:p>
            <w:r>
              <w:t>Allowed companies</w:t>
            </w:r>
          </w:p>
        </w:tc>
      </w:tr>
      <w:tr>
        <w:tc>
          <w:tcPr>
            <w:tcW w:type="dxa" w:w="4968"/>
            <w:vAlign w:val="top"/>
          </w:tcPr>
          <w:p>
            <w:r>
              <w:t>allowed_tools</w:t>
            </w:r>
          </w:p>
        </w:tc>
        <w:tc>
          <w:tcPr>
            <w:tcW w:type="dxa" w:w="4968"/>
            <w:vAlign w:val="top"/>
          </w:tcPr>
          <w:p>
            <w:r>
              <w:t>Permitted tool set</w:t>
            </w:r>
          </w:p>
        </w:tc>
      </w:tr>
      <w:tr>
        <w:tc>
          <w:tcPr>
            <w:tcW w:type="dxa" w:w="4968"/>
            <w:vAlign w:val="top"/>
          </w:tcPr>
          <w:p>
            <w:r>
              <w:t>restricted_data</w:t>
            </w:r>
          </w:p>
        </w:tc>
        <w:tc>
          <w:tcPr>
            <w:tcW w:type="dxa" w:w="4968"/>
            <w:vAlign w:val="top"/>
          </w:tcPr>
          <w:p>
            <w:r>
              <w:t>Sensitive information rules</w:t>
            </w:r>
          </w:p>
        </w:tc>
      </w:tr>
      <w:tr>
        <w:tc>
          <w:tcPr>
            <w:tcW w:type="dxa" w:w="4968"/>
            <w:vAlign w:val="top"/>
          </w:tcPr>
          <w:p>
            <w:r>
              <w:t>approval_requirements</w:t>
            </w:r>
          </w:p>
        </w:tc>
        <w:tc>
          <w:tcPr>
            <w:tcW w:type="dxa" w:w="4968"/>
            <w:vAlign w:val="top"/>
          </w:tcPr>
          <w:p>
            <w:r>
              <w:t>Actions requiring confirmation/approval</w:t>
            </w:r>
          </w:p>
        </w:tc>
      </w:tr>
      <w:tr>
        <w:tc>
          <w:tcPr>
            <w:tcW w:type="dxa" w:w="4968"/>
            <w:vAlign w:val="top"/>
          </w:tcPr>
          <w:p>
            <w:r>
              <w:t>escalation_rules</w:t>
            </w:r>
          </w:p>
        </w:tc>
        <w:tc>
          <w:tcPr>
            <w:tcW w:type="dxa" w:w="4968"/>
            <w:vAlign w:val="top"/>
          </w:tcPr>
          <w:p>
            <w:r>
              <w:t>Human handoff requirements</w:t>
            </w:r>
          </w:p>
        </w:tc>
      </w:tr>
    </w:tbl>
    <w:p>
      <w:r>
        <w:t>Role configuration is an access-control input, not merely a prompt instruction. Server-side enforcement remains mandatory.</w:t>
      </w:r>
    </w:p>
    <w:p>
      <w:pPr>
        <w:pStyle w:val="Heading1"/>
      </w:pPr>
      <w:r>
        <w:t>8. Integration Pack</w:t>
      </w:r>
    </w:p>
    <w:p>
      <w:r>
        <w:t>External systems should be represented through explicit adapters rather than embedded throughout the chatbot.</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Integration field</w:t>
            </w:r>
          </w:p>
        </w:tc>
        <w:tc>
          <w:tcPr>
            <w:tcW w:type="dxa" w:w="4968"/>
            <w:shd w:fill="EAF2F8"/>
            <w:vAlign w:val="center"/>
          </w:tcPr>
          <w:p>
            <w:r>
              <w:rPr>
                <w:b/>
              </w:rPr>
              <w:t>Example</w:t>
            </w:r>
          </w:p>
        </w:tc>
      </w:tr>
      <w:tr>
        <w:tc>
          <w:tcPr>
            <w:tcW w:type="dxa" w:w="4968"/>
            <w:vAlign w:val="top"/>
          </w:tcPr>
          <w:p>
            <w:r>
              <w:t>integration_id</w:t>
            </w:r>
          </w:p>
        </w:tc>
        <w:tc>
          <w:tcPr>
            <w:tcW w:type="dxa" w:w="4968"/>
            <w:vAlign w:val="top"/>
          </w:tcPr>
          <w:p>
            <w:r>
              <w:t>sage_placeware</w:t>
            </w:r>
          </w:p>
        </w:tc>
      </w:tr>
      <w:tr>
        <w:tc>
          <w:tcPr>
            <w:tcW w:type="dxa" w:w="4968"/>
            <w:vAlign w:val="top"/>
          </w:tcPr>
          <w:p>
            <w:r>
              <w:t>system</w:t>
            </w:r>
          </w:p>
        </w:tc>
        <w:tc>
          <w:tcPr>
            <w:tcW w:type="dxa" w:w="4968"/>
            <w:vAlign w:val="top"/>
          </w:tcPr>
          <w:p>
            <w:r>
              <w:t>Sage 50</w:t>
            </w:r>
          </w:p>
        </w:tc>
      </w:tr>
      <w:tr>
        <w:tc>
          <w:tcPr>
            <w:tcW w:type="dxa" w:w="4968"/>
            <w:vAlign w:val="top"/>
          </w:tcPr>
          <w:p>
            <w:r>
              <w:t>capabilities</w:t>
            </w:r>
          </w:p>
        </w:tc>
        <w:tc>
          <w:tcPr>
            <w:tcW w:type="dxa" w:w="4968"/>
            <w:vAlign w:val="top"/>
          </w:tcPr>
          <w:p>
            <w:r>
              <w:t>Stock, transactions, reports</w:t>
            </w:r>
          </w:p>
        </w:tc>
      </w:tr>
      <w:tr>
        <w:tc>
          <w:tcPr>
            <w:tcW w:type="dxa" w:w="4968"/>
            <w:vAlign w:val="top"/>
          </w:tcPr>
          <w:p>
            <w:r>
              <w:t>connection</w:t>
            </w:r>
          </w:p>
        </w:tc>
        <w:tc>
          <w:tcPr>
            <w:tcW w:type="dxa" w:w="4968"/>
            <w:vAlign w:val="top"/>
          </w:tcPr>
          <w:p>
            <w:r>
              <w:t>Configured secure connector</w:t>
            </w:r>
          </w:p>
        </w:tc>
      </w:tr>
      <w:tr>
        <w:tc>
          <w:tcPr>
            <w:tcW w:type="dxa" w:w="4968"/>
            <w:vAlign w:val="top"/>
          </w:tcPr>
          <w:p>
            <w:r>
              <w:t>read_operations</w:t>
            </w:r>
          </w:p>
        </w:tc>
        <w:tc>
          <w:tcPr>
            <w:tcW w:type="dxa" w:w="4968"/>
            <w:vAlign w:val="top"/>
          </w:tcPr>
          <w:p>
            <w:r>
              <w:t>Approved read tools</w:t>
            </w:r>
          </w:p>
        </w:tc>
      </w:tr>
      <w:tr>
        <w:tc>
          <w:tcPr>
            <w:tcW w:type="dxa" w:w="4968"/>
            <w:vAlign w:val="top"/>
          </w:tcPr>
          <w:p>
            <w:r>
              <w:t>write_operations</w:t>
            </w:r>
          </w:p>
        </w:tc>
        <w:tc>
          <w:tcPr>
            <w:tcW w:type="dxa" w:w="4968"/>
            <w:vAlign w:val="top"/>
          </w:tcPr>
          <w:p>
            <w:r>
              <w:t>Approved write tools</w:t>
            </w:r>
          </w:p>
        </w:tc>
      </w:tr>
      <w:tr>
        <w:tc>
          <w:tcPr>
            <w:tcW w:type="dxa" w:w="4968"/>
            <w:vAlign w:val="top"/>
          </w:tcPr>
          <w:p>
            <w:r>
              <w:t>mapping</w:t>
            </w:r>
          </w:p>
        </w:tc>
        <w:tc>
          <w:tcPr>
            <w:tcW w:type="dxa" w:w="4968"/>
            <w:vAlign w:val="top"/>
          </w:tcPr>
          <w:p>
            <w:r>
              <w:t>External → Synbot field mapping</w:t>
            </w:r>
          </w:p>
        </w:tc>
      </w:tr>
      <w:tr>
        <w:tc>
          <w:tcPr>
            <w:tcW w:type="dxa" w:w="4968"/>
            <w:vAlign w:val="top"/>
          </w:tcPr>
          <w:p>
            <w:r>
              <w:t>freshness</w:t>
            </w:r>
          </w:p>
        </w:tc>
        <w:tc>
          <w:tcPr>
            <w:tcW w:type="dxa" w:w="4968"/>
            <w:vAlign w:val="top"/>
          </w:tcPr>
          <w:p>
            <w:r>
              <w:t>Live / scheduled / historical</w:t>
            </w:r>
          </w:p>
        </w:tc>
      </w:tr>
      <w:tr>
        <w:tc>
          <w:tcPr>
            <w:tcW w:type="dxa" w:w="4968"/>
            <w:vAlign w:val="top"/>
          </w:tcPr>
          <w:p>
            <w:r>
              <w:t>failure_policy</w:t>
            </w:r>
          </w:p>
        </w:tc>
        <w:tc>
          <w:tcPr>
            <w:tcW w:type="dxa" w:w="4968"/>
            <w:vAlign w:val="top"/>
          </w:tcPr>
          <w:p>
            <w:r>
              <w:t>Timeout, unavailable, partial</w:t>
            </w:r>
          </w:p>
        </w:tc>
      </w:tr>
      <w:tr>
        <w:tc>
          <w:tcPr>
            <w:tcW w:type="dxa" w:w="4968"/>
            <w:vAlign w:val="top"/>
          </w:tcPr>
          <w:p>
            <w:r>
              <w:t>audit</w:t>
            </w:r>
          </w:p>
        </w:tc>
        <w:tc>
          <w:tcPr>
            <w:tcW w:type="dxa" w:w="4968"/>
            <w:vAlign w:val="top"/>
          </w:tcPr>
          <w:p>
            <w:r>
              <w:t>Required audit metadata</w:t>
            </w:r>
          </w:p>
        </w:tc>
      </w:tr>
    </w:tbl>
    <w:p>
      <w:pPr>
        <w:pStyle w:val="Heading1"/>
      </w:pPr>
      <w:r>
        <w:t>9. Source Registry</w:t>
      </w:r>
    </w:p>
    <w:p>
      <w:r>
        <w:t>Every client should explicitly declare what source owns what kind of information.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F2F8"/>
            <w:vAlign w:val="center"/>
          </w:tcPr>
          <w:p>
            <w:r>
              <w:rPr>
                <w:b/>
              </w:rPr>
              <w:t>Source ID</w:t>
            </w:r>
          </w:p>
        </w:tc>
        <w:tc>
          <w:tcPr>
            <w:tcW w:type="dxa" w:w="1987"/>
            <w:shd w:fill="EAF2F8"/>
            <w:vAlign w:val="center"/>
          </w:tcPr>
          <w:p>
            <w:r>
              <w:rPr>
                <w:b/>
              </w:rPr>
              <w:t>Data category</w:t>
            </w:r>
          </w:p>
        </w:tc>
        <w:tc>
          <w:tcPr>
            <w:tcW w:type="dxa" w:w="1987"/>
            <w:shd w:fill="EAF2F8"/>
            <w:vAlign w:val="center"/>
          </w:tcPr>
          <w:p>
            <w:r>
              <w:rPr>
                <w:b/>
              </w:rPr>
              <w:t>Authority</w:t>
            </w:r>
          </w:p>
        </w:tc>
        <w:tc>
          <w:tcPr>
            <w:tcW w:type="dxa" w:w="1987"/>
            <w:shd w:fill="EAF2F8"/>
            <w:vAlign w:val="center"/>
          </w:tcPr>
          <w:p>
            <w:r>
              <w:rPr>
                <w:b/>
              </w:rPr>
              <w:t>Freshness</w:t>
            </w:r>
          </w:p>
        </w:tc>
        <w:tc>
          <w:tcPr>
            <w:tcW w:type="dxa" w:w="1987"/>
            <w:shd w:fill="EAF2F8"/>
            <w:vAlign w:val="center"/>
          </w:tcPr>
          <w:p>
            <w:r>
              <w:rPr>
                <w:b/>
              </w:rPr>
              <w:t>Access</w:t>
            </w:r>
          </w:p>
        </w:tc>
      </w:tr>
      <w:tr>
        <w:tc>
          <w:tcPr>
            <w:tcW w:type="dxa" w:w="1987"/>
            <w:vAlign w:val="top"/>
          </w:tcPr>
          <w:p>
            <w:r>
              <w:t>clinical_db</w:t>
            </w:r>
          </w:p>
        </w:tc>
        <w:tc>
          <w:tcPr>
            <w:tcW w:type="dxa" w:w="1987"/>
            <w:vAlign w:val="top"/>
          </w:tcPr>
          <w:p>
            <w:r>
              <w:t>Patient/encounter data</w:t>
            </w:r>
          </w:p>
        </w:tc>
        <w:tc>
          <w:tcPr>
            <w:tcW w:type="dxa" w:w="1987"/>
            <w:vAlign w:val="top"/>
          </w:tcPr>
          <w:p>
            <w:r>
              <w:t>Primary</w:t>
            </w:r>
          </w:p>
        </w:tc>
        <w:tc>
          <w:tcPr>
            <w:tcW w:type="dxa" w:w="1987"/>
            <w:vAlign w:val="top"/>
          </w:tcPr>
          <w:p>
            <w:r>
              <w:t>Live</w:t>
            </w:r>
          </w:p>
        </w:tc>
        <w:tc>
          <w:tcPr>
            <w:tcW w:type="dxa" w:w="1987"/>
            <w:vAlign w:val="top"/>
          </w:tcPr>
          <w:p>
            <w:r>
              <w:t>Role filtered</w:t>
            </w:r>
          </w:p>
        </w:tc>
      </w:tr>
      <w:tr>
        <w:tc>
          <w:tcPr>
            <w:tcW w:type="dxa" w:w="1987"/>
            <w:vAlign w:val="top"/>
          </w:tcPr>
          <w:p>
            <w:r>
              <w:t>policy_repo</w:t>
            </w:r>
          </w:p>
        </w:tc>
        <w:tc>
          <w:tcPr>
            <w:tcW w:type="dxa" w:w="1987"/>
            <w:vAlign w:val="top"/>
          </w:tcPr>
          <w:p>
            <w:r>
              <w:t>Policies/procedures</w:t>
            </w:r>
          </w:p>
        </w:tc>
        <w:tc>
          <w:tcPr>
            <w:tcW w:type="dxa" w:w="1987"/>
            <w:vAlign w:val="top"/>
          </w:tcPr>
          <w:p>
            <w:r>
              <w:t>Primary</w:t>
            </w:r>
          </w:p>
        </w:tc>
        <w:tc>
          <w:tcPr>
            <w:tcW w:type="dxa" w:w="1987"/>
            <w:vAlign w:val="top"/>
          </w:tcPr>
          <w:p>
            <w:r>
              <w:t>Versioned</w:t>
            </w:r>
          </w:p>
        </w:tc>
        <w:tc>
          <w:tcPr>
            <w:tcW w:type="dxa" w:w="1987"/>
            <w:vAlign w:val="top"/>
          </w:tcPr>
          <w:p>
            <w:r>
              <w:t>Role filtered</w:t>
            </w:r>
          </w:p>
        </w:tc>
      </w:tr>
      <w:tr>
        <w:tc>
          <w:tcPr>
            <w:tcW w:type="dxa" w:w="1987"/>
            <w:vAlign w:val="top"/>
          </w:tcPr>
          <w:p>
            <w:r>
              <w:t>reporting_store</w:t>
            </w:r>
          </w:p>
        </w:tc>
        <w:tc>
          <w:tcPr>
            <w:tcW w:type="dxa" w:w="1987"/>
            <w:vAlign w:val="top"/>
          </w:tcPr>
          <w:p>
            <w:r>
              <w:t>Historical reports</w:t>
            </w:r>
          </w:p>
        </w:tc>
        <w:tc>
          <w:tcPr>
            <w:tcW w:type="dxa" w:w="1987"/>
            <w:vAlign w:val="top"/>
          </w:tcPr>
          <w:p>
            <w:r>
              <w:t>Primary</w:t>
            </w:r>
          </w:p>
        </w:tc>
        <w:tc>
          <w:tcPr>
            <w:tcW w:type="dxa" w:w="1987"/>
            <w:vAlign w:val="top"/>
          </w:tcPr>
          <w:p>
            <w:r>
              <w:t>Scheduled</w:t>
            </w:r>
          </w:p>
        </w:tc>
        <w:tc>
          <w:tcPr>
            <w:tcW w:type="dxa" w:w="1987"/>
            <w:vAlign w:val="top"/>
          </w:tcPr>
          <w:p>
            <w:r>
              <w:t>Role filtered</w:t>
            </w:r>
          </w:p>
        </w:tc>
      </w:tr>
      <w:tr>
        <w:tc>
          <w:tcPr>
            <w:tcW w:type="dxa" w:w="1987"/>
            <w:vAlign w:val="top"/>
          </w:tcPr>
          <w:p>
            <w:r>
              <w:t>external_api</w:t>
            </w:r>
          </w:p>
        </w:tc>
        <w:tc>
          <w:tcPr>
            <w:tcW w:type="dxa" w:w="1987"/>
            <w:vAlign w:val="top"/>
          </w:tcPr>
          <w:p>
            <w:r>
              <w:t>External current data</w:t>
            </w:r>
          </w:p>
        </w:tc>
        <w:tc>
          <w:tcPr>
            <w:tcW w:type="dxa" w:w="1987"/>
            <w:vAlign w:val="top"/>
          </w:tcPr>
          <w:p>
            <w:r>
              <w:t>Conditional</w:t>
            </w:r>
          </w:p>
        </w:tc>
        <w:tc>
          <w:tcPr>
            <w:tcW w:type="dxa" w:w="1987"/>
            <w:vAlign w:val="top"/>
          </w:tcPr>
          <w:p>
            <w:r>
              <w:t>Live</w:t>
            </w:r>
          </w:p>
        </w:tc>
        <w:tc>
          <w:tcPr>
            <w:tcW w:type="dxa" w:w="1987"/>
            <w:vAlign w:val="top"/>
          </w:tcPr>
          <w:p>
            <w:r>
              <w:t>Integration scoped</w:t>
            </w:r>
          </w:p>
        </w:tc>
      </w:tr>
    </w:tbl>
    <w:p>
      <w:r>
        <w:t>The registry prevents the LLM from having to guess which source is authoritative.</w:t>
      </w:r>
    </w:p>
    <w:p>
      <w:pPr>
        <w:pStyle w:val="Heading1"/>
      </w:pPr>
      <w:r>
        <w:t>10. Configuration Schema — Reference</w:t>
      </w:r>
    </w:p>
    <w:p>
      <w:pPr>
        <w:pStyle w:val="IntenseQuote"/>
      </w:pPr>
      <w:r>
        <w:t>{</w:t>
        <w:br/>
        <w:t xml:space="preserve">  "synbot": {</w:t>
        <w:br/>
        <w:t xml:space="preserve">    "core_version": "1.x",</w:t>
        <w:br/>
        <w:t xml:space="preserve">    "domain": {},</w:t>
        <w:br/>
        <w:t xml:space="preserve">    "client": {},</w:t>
        <w:br/>
        <w:t xml:space="preserve">    "company": {},</w:t>
        <w:br/>
        <w:t xml:space="preserve">    "role": {},</w:t>
        <w:br/>
        <w:t xml:space="preserve">    "integrations": [],</w:t>
        <w:br/>
        <w:t xml:space="preserve">    "sources": [],</w:t>
        <w:br/>
        <w:t xml:space="preserve">    "tools": [],</w:t>
        <w:br/>
        <w:t xml:space="preserve">    "features": {},</w:t>
        <w:br/>
        <w:t xml:space="preserve">    "evaluation": {}</w:t>
        <w:br/>
        <w:t xml:space="preserve">  }</w:t>
        <w:br/>
        <w:t>}</w:t>
      </w:r>
    </w:p>
    <w:p>
      <w:r>
        <w:t>The exact storage format can be JSON, YAML, database records, or a configuration service. The important requirement is the separation of concerns.</w:t>
      </w:r>
    </w:p>
    <w:p>
      <w:pPr>
        <w:pStyle w:val="Heading1"/>
      </w:pPr>
      <w:r>
        <w:t>11. Example Domain Configuration — Health</w:t>
      </w:r>
    </w:p>
    <w:p>
      <w:pPr>
        <w:pStyle w:val="IntenseQuote"/>
      </w:pPr>
      <w:r>
        <w:t>domain:</w:t>
        <w:br/>
        <w:t xml:space="preserve">  id: health</w:t>
        <w:br/>
        <w:t xml:space="preserve">  terminology:</w:t>
        <w:br/>
        <w:t xml:space="preserve">    patient: patient</w:t>
        <w:br/>
        <w:t xml:space="preserve">    encounter: encounter</w:t>
        <w:br/>
        <w:t xml:space="preserve">    clinician: clinician</w:t>
        <w:br/>
        <w:t xml:space="preserve">    prescription: prescription</w:t>
        <w:br/>
        <w:t xml:space="preserve">  source_rules:</w:t>
        <w:br/>
        <w:t xml:space="preserve">    current_patient_data: clinical_db</w:t>
        <w:br/>
        <w:t xml:space="preserve">    procedures: approved_policy_repo</w:t>
        <w:br/>
        <w:t xml:space="preserve">  safety:</w:t>
        <w:br/>
        <w:t xml:space="preserve">    clinical_decisions: authorised_scope_only</w:t>
        <w:br/>
        <w:t xml:space="preserve">    missing_record: do_not_infer</w:t>
        <w:br/>
        <w:t xml:space="preserve">  workflows:</w:t>
        <w:br/>
        <w:t xml:space="preserve">    patient_lookup: enabled</w:t>
        <w:br/>
        <w:t xml:space="preserve">    encounter_context: enabled</w:t>
        <w:br/>
        <w:t xml:space="preserve">    prescription_review: enabled</w:t>
      </w:r>
    </w:p>
    <w:p>
      <w:pPr>
        <w:pStyle w:val="Heading1"/>
      </w:pPr>
      <w:r>
        <w:t>12. Example Client Configuration — Royan Health</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Area</w:t>
            </w:r>
          </w:p>
        </w:tc>
        <w:tc>
          <w:tcPr>
            <w:tcW w:type="dxa" w:w="4968"/>
            <w:shd w:fill="EAF2F8"/>
            <w:vAlign w:val="center"/>
          </w:tcPr>
          <w:p>
            <w:r>
              <w:rPr>
                <w:b/>
              </w:rPr>
              <w:t>Configured value</w:t>
            </w:r>
          </w:p>
        </w:tc>
      </w:tr>
      <w:tr>
        <w:tc>
          <w:tcPr>
            <w:tcW w:type="dxa" w:w="4968"/>
            <w:vAlign w:val="top"/>
          </w:tcPr>
          <w:p>
            <w:r>
              <w:t>Client identity</w:t>
            </w:r>
          </w:p>
        </w:tc>
        <w:tc>
          <w:tcPr>
            <w:tcW w:type="dxa" w:w="4968"/>
            <w:vAlign w:val="top"/>
          </w:tcPr>
          <w:p>
            <w:r>
              <w:t>Royan Health</w:t>
            </w:r>
          </w:p>
        </w:tc>
      </w:tr>
      <w:tr>
        <w:tc>
          <w:tcPr>
            <w:tcW w:type="dxa" w:w="4968"/>
            <w:vAlign w:val="top"/>
          </w:tcPr>
          <w:p>
            <w:r>
              <w:t>Primary data system</w:t>
            </w:r>
          </w:p>
        </w:tc>
        <w:tc>
          <w:tcPr>
            <w:tcW w:type="dxa" w:w="4968"/>
            <w:vAlign w:val="top"/>
          </w:tcPr>
          <w:p>
            <w:r>
              <w:t>Synbot clinical PostgreSQL</w:t>
            </w:r>
          </w:p>
        </w:tc>
      </w:tr>
      <w:tr>
        <w:tc>
          <w:tcPr>
            <w:tcW w:type="dxa" w:w="4968"/>
            <w:vAlign w:val="top"/>
          </w:tcPr>
          <w:p>
            <w:r>
              <w:t>Source history</w:t>
            </w:r>
          </w:p>
        </w:tc>
        <w:tc>
          <w:tcPr>
            <w:tcW w:type="dxa" w:w="4968"/>
            <w:vAlign w:val="top"/>
          </w:tcPr>
          <w:p>
            <w:r>
              <w:t>DRM Hope migration/source lineage</w:t>
            </w:r>
          </w:p>
        </w:tc>
      </w:tr>
      <w:tr>
        <w:tc>
          <w:tcPr>
            <w:tcW w:type="dxa" w:w="4968"/>
            <w:vAlign w:val="top"/>
          </w:tcPr>
          <w:p>
            <w:r>
              <w:t>Knowledge</w:t>
            </w:r>
          </w:p>
        </w:tc>
        <w:tc>
          <w:tcPr>
            <w:tcW w:type="dxa" w:w="4968"/>
            <w:vAlign w:val="top"/>
          </w:tcPr>
          <w:p>
            <w:r>
              <w:t>Approved hospital procedures</w:t>
            </w:r>
          </w:p>
        </w:tc>
      </w:tr>
      <w:tr>
        <w:tc>
          <w:tcPr>
            <w:tcW w:type="dxa" w:w="4968"/>
            <w:vAlign w:val="top"/>
          </w:tcPr>
          <w:p>
            <w:r>
              <w:t>Roles</w:t>
            </w:r>
          </w:p>
        </w:tc>
        <w:tc>
          <w:tcPr>
            <w:tcW w:type="dxa" w:w="4968"/>
            <w:vAlign w:val="top"/>
          </w:tcPr>
          <w:p>
            <w:r>
              <w:t>Clinician, nurse, pharmacist, admin</w:t>
            </w:r>
          </w:p>
        </w:tc>
      </w:tr>
      <w:tr>
        <w:tc>
          <w:tcPr>
            <w:tcW w:type="dxa" w:w="4968"/>
            <w:vAlign w:val="top"/>
          </w:tcPr>
          <w:p>
            <w:r>
              <w:t>Key workflows</w:t>
            </w:r>
          </w:p>
        </w:tc>
        <w:tc>
          <w:tcPr>
            <w:tcW w:type="dxa" w:w="4968"/>
            <w:vAlign w:val="top"/>
          </w:tcPr>
          <w:p>
            <w:r>
              <w:t>Patient arrival, encounter, vitals, prescriptions</w:t>
            </w:r>
          </w:p>
        </w:tc>
      </w:tr>
      <w:tr>
        <w:tc>
          <w:tcPr>
            <w:tcW w:type="dxa" w:w="4968"/>
            <w:vAlign w:val="top"/>
          </w:tcPr>
          <w:p>
            <w:r>
              <w:t>Quality controls</w:t>
            </w:r>
          </w:p>
        </w:tc>
        <w:tc>
          <w:tcPr>
            <w:tcW w:type="dxa" w:w="4968"/>
            <w:vAlign w:val="top"/>
          </w:tcPr>
          <w:p>
            <w:r>
              <w:t>Clinical record grounding, permissions, auditability</w:t>
            </w:r>
          </w:p>
        </w:tc>
      </w:tr>
    </w:tbl>
    <w:p>
      <w:pPr>
        <w:pStyle w:val="Heading1"/>
      </w:pPr>
      <w:r>
        <w:t>13. Example Client Configuration — Placeware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Area</w:t>
            </w:r>
          </w:p>
        </w:tc>
        <w:tc>
          <w:tcPr>
            <w:tcW w:type="dxa" w:w="4968"/>
            <w:shd w:fill="EAF2F8"/>
            <w:vAlign w:val="center"/>
          </w:tcPr>
          <w:p>
            <w:r>
              <w:rPr>
                <w:b/>
              </w:rPr>
              <w:t>Configured value</w:t>
            </w:r>
          </w:p>
        </w:tc>
      </w:tr>
      <w:tr>
        <w:tc>
          <w:tcPr>
            <w:tcW w:type="dxa" w:w="4968"/>
            <w:vAlign w:val="top"/>
          </w:tcPr>
          <w:p>
            <w:r>
              <w:t>Client identity</w:t>
            </w:r>
          </w:p>
        </w:tc>
        <w:tc>
          <w:tcPr>
            <w:tcW w:type="dxa" w:w="4968"/>
            <w:vAlign w:val="top"/>
          </w:tcPr>
          <w:p>
            <w:r>
              <w:t>Placeware Nigeria Limited</w:t>
            </w:r>
          </w:p>
        </w:tc>
      </w:tr>
      <w:tr>
        <w:tc>
          <w:tcPr>
            <w:tcW w:type="dxa" w:w="4968"/>
            <w:vAlign w:val="top"/>
          </w:tcPr>
          <w:p>
            <w:r>
              <w:t>Domain</w:t>
            </w:r>
          </w:p>
        </w:tc>
        <w:tc>
          <w:tcPr>
            <w:tcW w:type="dxa" w:w="4968"/>
            <w:vAlign w:val="top"/>
          </w:tcPr>
          <w:p>
            <w:r>
              <w:t>Distribution / Inventory / Finance</w:t>
            </w:r>
          </w:p>
        </w:tc>
      </w:tr>
      <w:tr>
        <w:tc>
          <w:tcPr>
            <w:tcW w:type="dxa" w:w="4968"/>
            <w:vAlign w:val="top"/>
          </w:tcPr>
          <w:p>
            <w:r>
              <w:t>Primary operational system</w:t>
            </w:r>
          </w:p>
        </w:tc>
        <w:tc>
          <w:tcPr>
            <w:tcW w:type="dxa" w:w="4968"/>
            <w:vAlign w:val="top"/>
          </w:tcPr>
          <w:p>
            <w:r>
              <w:t>Sage 50 Accounting</w:t>
            </w:r>
          </w:p>
        </w:tc>
      </w:tr>
      <w:tr>
        <w:tc>
          <w:tcPr>
            <w:tcW w:type="dxa" w:w="4968"/>
            <w:vAlign w:val="top"/>
          </w:tcPr>
          <w:p>
            <w:r>
              <w:t>Knowledge</w:t>
            </w:r>
          </w:p>
        </w:tc>
        <w:tc>
          <w:tcPr>
            <w:tcW w:type="dxa" w:w="4968"/>
            <w:vAlign w:val="top"/>
          </w:tcPr>
          <w:p>
            <w:r>
              <w:t>Approved operating documents</w:t>
            </w:r>
          </w:p>
        </w:tc>
      </w:tr>
      <w:tr>
        <w:tc>
          <w:tcPr>
            <w:tcW w:type="dxa" w:w="4968"/>
            <w:vAlign w:val="top"/>
          </w:tcPr>
          <w:p>
            <w:r>
              <w:t>Roles</w:t>
            </w:r>
          </w:p>
        </w:tc>
        <w:tc>
          <w:tcPr>
            <w:tcW w:type="dxa" w:w="4968"/>
            <w:vAlign w:val="top"/>
          </w:tcPr>
          <w:p>
            <w:r>
              <w:t>Management, finance, sales, inventory</w:t>
            </w:r>
          </w:p>
        </w:tc>
      </w:tr>
      <w:tr>
        <w:tc>
          <w:tcPr>
            <w:tcW w:type="dxa" w:w="4968"/>
            <w:vAlign w:val="top"/>
          </w:tcPr>
          <w:p>
            <w:r>
              <w:t>Key workflows</w:t>
            </w:r>
          </w:p>
        </w:tc>
        <w:tc>
          <w:tcPr>
            <w:tcW w:type="dxa" w:w="4968"/>
            <w:vAlign w:val="top"/>
          </w:tcPr>
          <w:p>
            <w:r>
              <w:t>Stock, orders, registrations, reporting</w:t>
            </w:r>
          </w:p>
        </w:tc>
      </w:tr>
      <w:tr>
        <w:tc>
          <w:tcPr>
            <w:tcW w:type="dxa" w:w="4968"/>
            <w:vAlign w:val="top"/>
          </w:tcPr>
          <w:p>
            <w:r>
              <w:t>Quality controls</w:t>
            </w:r>
          </w:p>
        </w:tc>
        <w:tc>
          <w:tcPr>
            <w:tcW w:type="dxa" w:w="4968"/>
            <w:vAlign w:val="top"/>
          </w:tcPr>
          <w:p>
            <w:r>
              <w:t>Current stock, accounting integrity, report/source distinction</w:t>
            </w:r>
          </w:p>
        </w:tc>
      </w:tr>
    </w:tbl>
    <w:p>
      <w:pPr>
        <w:pStyle w:val="Heading1"/>
      </w:pPr>
      <w:r>
        <w:t>14. Example Multi-Company Configuration — Atiat</w:t>
      </w:r>
    </w:p>
    <w:p>
      <w:r>
        <w:t>Atiat demonstrates why Company Packs are useful.</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Level</w:t>
            </w:r>
          </w:p>
        </w:tc>
        <w:tc>
          <w:tcPr>
            <w:tcW w:type="dxa" w:w="4968"/>
            <w:shd w:fill="EAF2F8"/>
            <w:vAlign w:val="center"/>
          </w:tcPr>
          <w:p>
            <w:r>
              <w:rPr>
                <w:b/>
              </w:rPr>
              <w:t>Example</w:t>
            </w:r>
          </w:p>
        </w:tc>
      </w:tr>
      <w:tr>
        <w:tc>
          <w:tcPr>
            <w:tcW w:type="dxa" w:w="4968"/>
            <w:vAlign w:val="top"/>
          </w:tcPr>
          <w:p>
            <w:r>
              <w:t>Client</w:t>
            </w:r>
          </w:p>
        </w:tc>
        <w:tc>
          <w:tcPr>
            <w:tcW w:type="dxa" w:w="4968"/>
            <w:vAlign w:val="top"/>
          </w:tcPr>
          <w:p>
            <w:r>
              <w:t>Atiat</w:t>
            </w:r>
          </w:p>
        </w:tc>
      </w:tr>
      <w:tr>
        <w:tc>
          <w:tcPr>
            <w:tcW w:type="dxa" w:w="4968"/>
            <w:vAlign w:val="top"/>
          </w:tcPr>
          <w:p>
            <w:r>
              <w:t>Company 1</w:t>
            </w:r>
          </w:p>
        </w:tc>
        <w:tc>
          <w:tcPr>
            <w:tcW w:type="dxa" w:w="4968"/>
            <w:vAlign w:val="top"/>
          </w:tcPr>
          <w:p>
            <w:r>
              <w:t>Insurance</w:t>
            </w:r>
          </w:p>
        </w:tc>
      </w:tr>
      <w:tr>
        <w:tc>
          <w:tcPr>
            <w:tcW w:type="dxa" w:w="4968"/>
            <w:vAlign w:val="top"/>
          </w:tcPr>
          <w:p>
            <w:r>
              <w:t>Company 2</w:t>
            </w:r>
          </w:p>
        </w:tc>
        <w:tc>
          <w:tcPr>
            <w:tcW w:type="dxa" w:w="4968"/>
            <w:vAlign w:val="top"/>
          </w:tcPr>
          <w:p>
            <w:r>
              <w:t>Mobility / rides</w:t>
            </w:r>
          </w:p>
        </w:tc>
      </w:tr>
      <w:tr>
        <w:tc>
          <w:tcPr>
            <w:tcW w:type="dxa" w:w="4968"/>
            <w:vAlign w:val="top"/>
          </w:tcPr>
          <w:p>
            <w:r>
              <w:t>Company 3</w:t>
            </w:r>
          </w:p>
        </w:tc>
        <w:tc>
          <w:tcPr>
            <w:tcW w:type="dxa" w:w="4968"/>
            <w:vAlign w:val="top"/>
          </w:tcPr>
          <w:p>
            <w:r>
              <w:t>Proof-of-funds / document services</w:t>
            </w:r>
          </w:p>
        </w:tc>
      </w:tr>
      <w:tr>
        <w:tc>
          <w:tcPr>
            <w:tcW w:type="dxa" w:w="4968"/>
            <w:vAlign w:val="top"/>
          </w:tcPr>
          <w:p>
            <w:r>
              <w:t>Shared layer</w:t>
            </w:r>
          </w:p>
        </w:tc>
        <w:tc>
          <w:tcPr>
            <w:tcW w:type="dxa" w:w="4968"/>
            <w:vAlign w:val="top"/>
          </w:tcPr>
          <w:p>
            <w:r>
              <w:t>Identity, customer context, conversations, audit</w:t>
            </w:r>
          </w:p>
        </w:tc>
      </w:tr>
      <w:tr>
        <w:tc>
          <w:tcPr>
            <w:tcW w:type="dxa" w:w="4968"/>
            <w:vAlign w:val="top"/>
          </w:tcPr>
          <w:p>
            <w:r>
              <w:t>Company layer</w:t>
            </w:r>
          </w:p>
        </w:tc>
        <w:tc>
          <w:tcPr>
            <w:tcW w:type="dxa" w:w="4968"/>
            <w:vAlign w:val="top"/>
          </w:tcPr>
          <w:p>
            <w:r>
              <w:t>Data, workflows, tools, policies</w:t>
            </w:r>
          </w:p>
        </w:tc>
      </w:tr>
      <w:tr>
        <w:tc>
          <w:tcPr>
            <w:tcW w:type="dxa" w:w="4968"/>
            <w:vAlign w:val="top"/>
          </w:tcPr>
          <w:p>
            <w:r>
              <w:t>User experience</w:t>
            </w:r>
          </w:p>
        </w:tc>
        <w:tc>
          <w:tcPr>
            <w:tcW w:type="dxa" w:w="4968"/>
            <w:vAlign w:val="top"/>
          </w:tcPr>
          <w:p>
            <w:r>
              <w:t>Central dashboard + explicit company view</w:t>
            </w:r>
          </w:p>
        </w:tc>
      </w:tr>
    </w:tbl>
    <w:p>
      <w:r>
        <w:t>A user may have access to multiple companies, but each request must carry an active company context. The system should never infer that data from one subsidiary can be used for another merely because both belong to the same parent client.</w:t>
      </w:r>
    </w:p>
    <w:p>
      <w:pPr>
        <w:pStyle w:val="Heading1"/>
      </w:pPr>
      <w:r>
        <w:t>15. Configuration Inheritance</w:t>
      </w:r>
    </w:p>
    <w:p>
      <w:r>
        <w:t>Configuration should inherit downward while allowing controlled overrides.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Level</w:t>
            </w:r>
          </w:p>
        </w:tc>
        <w:tc>
          <w:tcPr>
            <w:tcW w:type="dxa" w:w="3312"/>
            <w:shd w:fill="EAF2F8"/>
            <w:vAlign w:val="center"/>
          </w:tcPr>
          <w:p>
            <w:r>
              <w:rPr>
                <w:b/>
              </w:rPr>
              <w:t>Can override</w:t>
            </w:r>
          </w:p>
        </w:tc>
        <w:tc>
          <w:tcPr>
            <w:tcW w:type="dxa" w:w="3312"/>
            <w:shd w:fill="EAF2F8"/>
            <w:vAlign w:val="center"/>
          </w:tcPr>
          <w:p>
            <w:r>
              <w:rPr>
                <w:b/>
              </w:rPr>
              <w:t>Cannot override</w:t>
            </w:r>
          </w:p>
        </w:tc>
      </w:tr>
      <w:tr>
        <w:tc>
          <w:tcPr>
            <w:tcW w:type="dxa" w:w="3312"/>
            <w:vAlign w:val="top"/>
          </w:tcPr>
          <w:p>
            <w:r>
              <w:t>Core</w:t>
            </w:r>
          </w:p>
        </w:tc>
        <w:tc>
          <w:tcPr>
            <w:tcW w:type="dxa" w:w="3312"/>
            <w:vAlign w:val="top"/>
          </w:tcPr>
          <w:p>
            <w:r>
              <w:t>—</w:t>
            </w:r>
          </w:p>
        </w:tc>
        <w:tc>
          <w:tcPr>
            <w:tcW w:type="dxa" w:w="3312"/>
            <w:vAlign w:val="top"/>
          </w:tcPr>
          <w:p>
            <w:r>
              <w:t>Security, grounding principles</w:t>
            </w:r>
          </w:p>
        </w:tc>
      </w:tr>
      <w:tr>
        <w:tc>
          <w:tcPr>
            <w:tcW w:type="dxa" w:w="3312"/>
            <w:vAlign w:val="top"/>
          </w:tcPr>
          <w:p>
            <w:r>
              <w:t>Domain</w:t>
            </w:r>
          </w:p>
        </w:tc>
        <w:tc>
          <w:tcPr>
            <w:tcW w:type="dxa" w:w="3312"/>
            <w:vAlign w:val="top"/>
          </w:tcPr>
          <w:p>
            <w:r>
              <w:t>Domain defaults</w:t>
            </w:r>
          </w:p>
        </w:tc>
        <w:tc>
          <w:tcPr>
            <w:tcW w:type="dxa" w:w="3312"/>
            <w:vAlign w:val="top"/>
          </w:tcPr>
          <w:p>
            <w:r>
              <w:t>Core security</w:t>
            </w:r>
          </w:p>
        </w:tc>
      </w:tr>
      <w:tr>
        <w:tc>
          <w:tcPr>
            <w:tcW w:type="dxa" w:w="3312"/>
            <w:vAlign w:val="top"/>
          </w:tcPr>
          <w:p>
            <w:r>
              <w:t>Client</w:t>
            </w:r>
          </w:p>
        </w:tc>
        <w:tc>
          <w:tcPr>
            <w:tcW w:type="dxa" w:w="3312"/>
            <w:vAlign w:val="top"/>
          </w:tcPr>
          <w:p>
            <w:r>
              <w:t>Client terminology/workflows</w:t>
            </w:r>
          </w:p>
        </w:tc>
        <w:tc>
          <w:tcPr>
            <w:tcW w:type="dxa" w:w="3312"/>
            <w:vAlign w:val="top"/>
          </w:tcPr>
          <w:p>
            <w:r>
              <w:t>Core security; universal quality rules</w:t>
            </w:r>
          </w:p>
        </w:tc>
      </w:tr>
      <w:tr>
        <w:tc>
          <w:tcPr>
            <w:tcW w:type="dxa" w:w="3312"/>
            <w:vAlign w:val="top"/>
          </w:tcPr>
          <w:p>
            <w:r>
              <w:t>Company</w:t>
            </w:r>
          </w:p>
        </w:tc>
        <w:tc>
          <w:tcPr>
            <w:tcW w:type="dxa" w:w="3312"/>
            <w:vAlign w:val="top"/>
          </w:tcPr>
          <w:p>
            <w:r>
              <w:t>Company-specific workflows/data</w:t>
            </w:r>
          </w:p>
        </w:tc>
        <w:tc>
          <w:tcPr>
            <w:tcW w:type="dxa" w:w="3312"/>
            <w:vAlign w:val="top"/>
          </w:tcPr>
          <w:p>
            <w:r>
              <w:t>Tenant isolation</w:t>
            </w:r>
          </w:p>
        </w:tc>
      </w:tr>
      <w:tr>
        <w:tc>
          <w:tcPr>
            <w:tcW w:type="dxa" w:w="3312"/>
            <w:vAlign w:val="top"/>
          </w:tcPr>
          <w:p>
            <w:r>
              <w:t>Role</w:t>
            </w:r>
          </w:p>
        </w:tc>
        <w:tc>
          <w:tcPr>
            <w:tcW w:type="dxa" w:w="3312"/>
            <w:vAlign w:val="top"/>
          </w:tcPr>
          <w:p>
            <w:r>
              <w:t>Role access and actions</w:t>
            </w:r>
          </w:p>
        </w:tc>
        <w:tc>
          <w:tcPr>
            <w:tcW w:type="dxa" w:w="3312"/>
            <w:vAlign w:val="top"/>
          </w:tcPr>
          <w:p>
            <w:r>
              <w:t>Server security</w:t>
            </w:r>
          </w:p>
        </w:tc>
      </w:tr>
      <w:tr>
        <w:tc>
          <w:tcPr>
            <w:tcW w:type="dxa" w:w="3312"/>
            <w:vAlign w:val="top"/>
          </w:tcPr>
          <w:p>
            <w:r>
              <w:t>Runtime</w:t>
            </w:r>
          </w:p>
        </w:tc>
        <w:tc>
          <w:tcPr>
            <w:tcW w:type="dxa" w:w="3312"/>
            <w:vAlign w:val="top"/>
          </w:tcPr>
          <w:p>
            <w:r>
              <w:t>Current context</w:t>
            </w:r>
          </w:p>
        </w:tc>
        <w:tc>
          <w:tcPr>
            <w:tcW w:type="dxa" w:w="3312"/>
            <w:vAlign w:val="top"/>
          </w:tcPr>
          <w:p>
            <w:r>
              <w:t>Configured authority rules</w:t>
            </w:r>
          </w:p>
        </w:tc>
      </w:tr>
    </w:tbl>
    <w:p>
      <w:pPr>
        <w:pStyle w:val="Heading1"/>
      </w:pPr>
      <w:r>
        <w:t>16. Override Rules</w:t>
      </w:r>
    </w:p>
    <w:p>
      <w:pPr>
        <w:pStyle w:val="ListBullet"/>
      </w:pPr>
      <w:r>
        <w:t>Overrides must be explicit, versioned and auditable.</w:t>
      </w:r>
    </w:p>
    <w:p>
      <w:pPr>
        <w:pStyle w:val="ListBullet"/>
      </w:pPr>
      <w:r>
        <w:t>An override must identify the layer it replaces.</w:t>
      </w:r>
    </w:p>
    <w:p>
      <w:pPr>
        <w:pStyle w:val="ListBullet"/>
      </w:pPr>
      <w:r>
        <w:t>Client terminology may override domain terminology.</w:t>
      </w:r>
    </w:p>
    <w:p>
      <w:pPr>
        <w:pStyle w:val="ListBullet"/>
      </w:pPr>
      <w:r>
        <w:t>Client workflows may specialise domain workflows.</w:t>
      </w:r>
    </w:p>
    <w:p>
      <w:pPr>
        <w:pStyle w:val="ListBullet"/>
      </w:pPr>
      <w:r>
        <w:t>Role permissions may restrict capability but should not expand beyond server-authorised access.</w:t>
      </w:r>
    </w:p>
    <w:p>
      <w:pPr>
        <w:pStyle w:val="ListBullet"/>
      </w:pPr>
      <w:r>
        <w:t>Runtime context can select an active company but cannot rewrite the company's configuration.</w:t>
      </w:r>
    </w:p>
    <w:p>
      <w:pPr>
        <w:pStyle w:val="ListBullet"/>
      </w:pPr>
      <w:r>
        <w:t>Security and tenant boundaries cannot be weakened by configuration.</w:t>
      </w:r>
    </w:p>
    <w:p>
      <w:pPr>
        <w:pStyle w:val="Heading1"/>
      </w:pPr>
      <w:r>
        <w:t>17. Feature Flags</w:t>
      </w:r>
    </w:p>
    <w:p>
      <w:r>
        <w:t>Capabilities should be enabled progressively rather than hard-coded into the universal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Flag</w:t>
            </w:r>
          </w:p>
        </w:tc>
        <w:tc>
          <w:tcPr>
            <w:tcW w:type="dxa" w:w="3312"/>
            <w:shd w:fill="EAF2F8"/>
            <w:vAlign w:val="center"/>
          </w:tcPr>
          <w:p>
            <w:r>
              <w:rPr>
                <w:b/>
              </w:rPr>
              <w:t>Purpose</w:t>
            </w:r>
          </w:p>
        </w:tc>
        <w:tc>
          <w:tcPr>
            <w:tcW w:type="dxa" w:w="3312"/>
            <w:shd w:fill="EAF2F8"/>
            <w:vAlign w:val="center"/>
          </w:tcPr>
          <w:p>
            <w:r>
              <w:rPr>
                <w:b/>
              </w:rPr>
              <w:t>Example</w:t>
            </w:r>
          </w:p>
        </w:tc>
      </w:tr>
      <w:tr>
        <w:tc>
          <w:tcPr>
            <w:tcW w:type="dxa" w:w="3312"/>
            <w:vAlign w:val="top"/>
          </w:tcPr>
          <w:p>
            <w:r>
              <w:t>chat_enabled</w:t>
            </w:r>
          </w:p>
        </w:tc>
        <w:tc>
          <w:tcPr>
            <w:tcW w:type="dxa" w:w="3312"/>
            <w:vAlign w:val="top"/>
          </w:tcPr>
          <w:p>
            <w:r>
              <w:t>Enable conversational interface</w:t>
            </w:r>
          </w:p>
        </w:tc>
        <w:tc>
          <w:tcPr>
            <w:tcW w:type="dxa" w:w="3312"/>
            <w:vAlign w:val="top"/>
          </w:tcPr>
          <w:p>
            <w:r>
              <w:t>true</w:t>
            </w:r>
          </w:p>
        </w:tc>
      </w:tr>
      <w:tr>
        <w:tc>
          <w:tcPr>
            <w:tcW w:type="dxa" w:w="3312"/>
            <w:vAlign w:val="top"/>
          </w:tcPr>
          <w:p>
            <w:r>
              <w:t>rag_enabled</w:t>
            </w:r>
          </w:p>
        </w:tc>
        <w:tc>
          <w:tcPr>
            <w:tcW w:type="dxa" w:w="3312"/>
            <w:vAlign w:val="top"/>
          </w:tcPr>
          <w:p>
            <w:r>
              <w:t>Enable approved document retrieval</w:t>
            </w:r>
          </w:p>
        </w:tc>
        <w:tc>
          <w:tcPr>
            <w:tcW w:type="dxa" w:w="3312"/>
            <w:vAlign w:val="top"/>
          </w:tcPr>
          <w:p>
            <w:r>
              <w:t>true</w:t>
            </w:r>
          </w:p>
        </w:tc>
      </w:tr>
      <w:tr>
        <w:tc>
          <w:tcPr>
            <w:tcW w:type="dxa" w:w="3312"/>
            <w:vAlign w:val="top"/>
          </w:tcPr>
          <w:p>
            <w:r>
              <w:t>live_data_enabled</w:t>
            </w:r>
          </w:p>
        </w:tc>
        <w:tc>
          <w:tcPr>
            <w:tcW w:type="dxa" w:w="3312"/>
            <w:vAlign w:val="top"/>
          </w:tcPr>
          <w:p>
            <w:r>
              <w:t>Allow current DB/API access</w:t>
            </w:r>
          </w:p>
        </w:tc>
        <w:tc>
          <w:tcPr>
            <w:tcW w:type="dxa" w:w="3312"/>
            <w:vAlign w:val="top"/>
          </w:tcPr>
          <w:p>
            <w:r>
              <w:t>true</w:t>
            </w:r>
          </w:p>
        </w:tc>
      </w:tr>
      <w:tr>
        <w:tc>
          <w:tcPr>
            <w:tcW w:type="dxa" w:w="3312"/>
            <w:vAlign w:val="top"/>
          </w:tcPr>
          <w:p>
            <w:r>
              <w:t>write_actions_enabled</w:t>
            </w:r>
          </w:p>
        </w:tc>
        <w:tc>
          <w:tcPr>
            <w:tcW w:type="dxa" w:w="3312"/>
            <w:vAlign w:val="top"/>
          </w:tcPr>
          <w:p>
            <w:r>
              <w:t>Allow authorised writes</w:t>
            </w:r>
          </w:p>
        </w:tc>
        <w:tc>
          <w:tcPr>
            <w:tcW w:type="dxa" w:w="3312"/>
            <w:vAlign w:val="top"/>
          </w:tcPr>
          <w:p>
            <w:r>
              <w:t>false</w:t>
            </w:r>
          </w:p>
        </w:tc>
      </w:tr>
      <w:tr>
        <w:tc>
          <w:tcPr>
            <w:tcW w:type="dxa" w:w="3312"/>
            <w:vAlign w:val="top"/>
          </w:tcPr>
          <w:p>
            <w:r>
              <w:t>company_switching</w:t>
            </w:r>
          </w:p>
        </w:tc>
        <w:tc>
          <w:tcPr>
            <w:tcW w:type="dxa" w:w="3312"/>
            <w:vAlign w:val="top"/>
          </w:tcPr>
          <w:p>
            <w:r>
              <w:t>Enable multi-company context</w:t>
            </w:r>
          </w:p>
        </w:tc>
        <w:tc>
          <w:tcPr>
            <w:tcW w:type="dxa" w:w="3312"/>
            <w:vAlign w:val="top"/>
          </w:tcPr>
          <w:p>
            <w:r>
              <w:t>true</w:t>
            </w:r>
          </w:p>
        </w:tc>
      </w:tr>
      <w:tr>
        <w:tc>
          <w:tcPr>
            <w:tcW w:type="dxa" w:w="3312"/>
            <w:vAlign w:val="top"/>
          </w:tcPr>
          <w:p>
            <w:r>
              <w:t>voice_enabled</w:t>
            </w:r>
          </w:p>
        </w:tc>
        <w:tc>
          <w:tcPr>
            <w:tcW w:type="dxa" w:w="3312"/>
            <w:vAlign w:val="top"/>
          </w:tcPr>
          <w:p>
            <w:r>
              <w:t>Enable voice interface</w:t>
            </w:r>
          </w:p>
        </w:tc>
        <w:tc>
          <w:tcPr>
            <w:tcW w:type="dxa" w:w="3312"/>
            <w:vAlign w:val="top"/>
          </w:tcPr>
          <w:p>
            <w:r>
              <w:t>false</w:t>
            </w:r>
          </w:p>
        </w:tc>
      </w:tr>
    </w:tbl>
    <w:p>
      <w:pPr>
        <w:pStyle w:val="Heading1"/>
      </w:pPr>
      <w:r>
        <w:t>18. Tool Availability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F2F8"/>
            <w:vAlign w:val="center"/>
          </w:tcPr>
          <w:p>
            <w:r>
              <w:rPr>
                <w:b/>
              </w:rPr>
              <w:t>Tool</w:t>
            </w:r>
          </w:p>
        </w:tc>
        <w:tc>
          <w:tcPr>
            <w:tcW w:type="dxa" w:w="1987"/>
            <w:shd w:fill="EAF2F8"/>
            <w:vAlign w:val="center"/>
          </w:tcPr>
          <w:p>
            <w:r>
              <w:rPr>
                <w:b/>
              </w:rPr>
              <w:t>Domain</w:t>
            </w:r>
          </w:p>
        </w:tc>
        <w:tc>
          <w:tcPr>
            <w:tcW w:type="dxa" w:w="1987"/>
            <w:shd w:fill="EAF2F8"/>
            <w:vAlign w:val="center"/>
          </w:tcPr>
          <w:p>
            <w:r>
              <w:rPr>
                <w:b/>
              </w:rPr>
              <w:t>Company</w:t>
            </w:r>
          </w:p>
        </w:tc>
        <w:tc>
          <w:tcPr>
            <w:tcW w:type="dxa" w:w="1987"/>
            <w:shd w:fill="EAF2F8"/>
            <w:vAlign w:val="center"/>
          </w:tcPr>
          <w:p>
            <w:r>
              <w:rPr>
                <w:b/>
              </w:rPr>
              <w:t>Role</w:t>
            </w:r>
          </w:p>
        </w:tc>
        <w:tc>
          <w:tcPr>
            <w:tcW w:type="dxa" w:w="1987"/>
            <w:shd w:fill="EAF2F8"/>
            <w:vAlign w:val="center"/>
          </w:tcPr>
          <w:p>
            <w:r>
              <w:rPr>
                <w:b/>
              </w:rPr>
              <w:t>Read/Write</w:t>
            </w:r>
          </w:p>
        </w:tc>
      </w:tr>
      <w:tr>
        <w:tc>
          <w:tcPr>
            <w:tcW w:type="dxa" w:w="1987"/>
            <w:vAlign w:val="top"/>
          </w:tcPr>
          <w:p>
            <w:r>
              <w:t>patient_lookup</w:t>
            </w:r>
          </w:p>
        </w:tc>
        <w:tc>
          <w:tcPr>
            <w:tcW w:type="dxa" w:w="1987"/>
            <w:vAlign w:val="top"/>
          </w:tcPr>
          <w:p>
            <w:r>
              <w:t>Health</w:t>
            </w:r>
          </w:p>
        </w:tc>
        <w:tc>
          <w:tcPr>
            <w:tcW w:type="dxa" w:w="1987"/>
            <w:vAlign w:val="top"/>
          </w:tcPr>
          <w:p>
            <w:r>
              <w:t>Royan</w:t>
            </w:r>
          </w:p>
        </w:tc>
        <w:tc>
          <w:tcPr>
            <w:tcW w:type="dxa" w:w="1987"/>
            <w:vAlign w:val="top"/>
          </w:tcPr>
          <w:p>
            <w:r>
              <w:t>Clinician</w:t>
            </w:r>
          </w:p>
        </w:tc>
        <w:tc>
          <w:tcPr>
            <w:tcW w:type="dxa" w:w="1987"/>
            <w:vAlign w:val="top"/>
          </w:tcPr>
          <w:p>
            <w:r>
              <w:t>Read</w:t>
            </w:r>
          </w:p>
        </w:tc>
      </w:tr>
      <w:tr>
        <w:tc>
          <w:tcPr>
            <w:tcW w:type="dxa" w:w="1987"/>
            <w:vAlign w:val="top"/>
          </w:tcPr>
          <w:p>
            <w:r>
              <w:t>prescription_workflow</w:t>
            </w:r>
          </w:p>
        </w:tc>
        <w:tc>
          <w:tcPr>
            <w:tcW w:type="dxa" w:w="1987"/>
            <w:vAlign w:val="top"/>
          </w:tcPr>
          <w:p>
            <w:r>
              <w:t>Health</w:t>
            </w:r>
          </w:p>
        </w:tc>
        <w:tc>
          <w:tcPr>
            <w:tcW w:type="dxa" w:w="1987"/>
            <w:vAlign w:val="top"/>
          </w:tcPr>
          <w:p>
            <w:r>
              <w:t>Royan</w:t>
            </w:r>
          </w:p>
        </w:tc>
        <w:tc>
          <w:tcPr>
            <w:tcW w:type="dxa" w:w="1987"/>
            <w:vAlign w:val="top"/>
          </w:tcPr>
          <w:p>
            <w:r>
              <w:t>Pharmacist</w:t>
            </w:r>
          </w:p>
        </w:tc>
        <w:tc>
          <w:tcPr>
            <w:tcW w:type="dxa" w:w="1987"/>
            <w:vAlign w:val="top"/>
          </w:tcPr>
          <w:p>
            <w:r>
              <w:t>Read/Write</w:t>
            </w:r>
          </w:p>
        </w:tc>
      </w:tr>
      <w:tr>
        <w:tc>
          <w:tcPr>
            <w:tcW w:type="dxa" w:w="1987"/>
            <w:vAlign w:val="top"/>
          </w:tcPr>
          <w:p>
            <w:r>
              <w:t>sage_stock_lookup</w:t>
            </w:r>
          </w:p>
        </w:tc>
        <w:tc>
          <w:tcPr>
            <w:tcW w:type="dxa" w:w="1987"/>
            <w:vAlign w:val="top"/>
          </w:tcPr>
          <w:p>
            <w:r>
              <w:t>Inventory</w:t>
            </w:r>
          </w:p>
        </w:tc>
        <w:tc>
          <w:tcPr>
            <w:tcW w:type="dxa" w:w="1987"/>
            <w:vAlign w:val="top"/>
          </w:tcPr>
          <w:p>
            <w:r>
              <w:t>Placeware</w:t>
            </w:r>
          </w:p>
        </w:tc>
        <w:tc>
          <w:tcPr>
            <w:tcW w:type="dxa" w:w="1987"/>
            <w:vAlign w:val="top"/>
          </w:tcPr>
          <w:p>
            <w:r>
              <w:t>Inventory</w:t>
            </w:r>
          </w:p>
        </w:tc>
        <w:tc>
          <w:tcPr>
            <w:tcW w:type="dxa" w:w="1987"/>
            <w:vAlign w:val="top"/>
          </w:tcPr>
          <w:p>
            <w:r>
              <w:t>Read</w:t>
            </w:r>
          </w:p>
        </w:tc>
      </w:tr>
      <w:tr>
        <w:tc>
          <w:tcPr>
            <w:tcW w:type="dxa" w:w="1987"/>
            <w:vAlign w:val="top"/>
          </w:tcPr>
          <w:p>
            <w:r>
              <w:t>company_switch</w:t>
            </w:r>
          </w:p>
        </w:tc>
        <w:tc>
          <w:tcPr>
            <w:tcW w:type="dxa" w:w="1987"/>
            <w:vAlign w:val="top"/>
          </w:tcPr>
          <w:p>
            <w:r>
              <w:t>Cross-domain</w:t>
            </w:r>
          </w:p>
        </w:tc>
        <w:tc>
          <w:tcPr>
            <w:tcW w:type="dxa" w:w="1987"/>
            <w:vAlign w:val="top"/>
          </w:tcPr>
          <w:p>
            <w:r>
              <w:t>Atiat</w:t>
            </w:r>
          </w:p>
        </w:tc>
        <w:tc>
          <w:tcPr>
            <w:tcW w:type="dxa" w:w="1987"/>
            <w:vAlign w:val="top"/>
          </w:tcPr>
          <w:p>
            <w:r>
              <w:t>Authorised user</w:t>
            </w:r>
          </w:p>
        </w:tc>
        <w:tc>
          <w:tcPr>
            <w:tcW w:type="dxa" w:w="1987"/>
            <w:vAlign w:val="top"/>
          </w:tcPr>
          <w:p>
            <w:r>
              <w:t>Context</w:t>
            </w:r>
          </w:p>
        </w:tc>
      </w:tr>
      <w:tr>
        <w:tc>
          <w:tcPr>
            <w:tcW w:type="dxa" w:w="1987"/>
            <w:vAlign w:val="top"/>
          </w:tcPr>
          <w:p>
            <w:r>
              <w:t>payment_post</w:t>
            </w:r>
          </w:p>
        </w:tc>
        <w:tc>
          <w:tcPr>
            <w:tcW w:type="dxa" w:w="1987"/>
            <w:vAlign w:val="top"/>
          </w:tcPr>
          <w:p>
            <w:r>
              <w:t>Finance</w:t>
            </w:r>
          </w:p>
        </w:tc>
        <w:tc>
          <w:tcPr>
            <w:tcW w:type="dxa" w:w="1987"/>
            <w:vAlign w:val="top"/>
          </w:tcPr>
          <w:p>
            <w:r>
              <w:t>Configured company</w:t>
            </w:r>
          </w:p>
        </w:tc>
        <w:tc>
          <w:tcPr>
            <w:tcW w:type="dxa" w:w="1987"/>
            <w:vAlign w:val="top"/>
          </w:tcPr>
          <w:p>
            <w:r>
              <w:t>Finance role</w:t>
            </w:r>
          </w:p>
        </w:tc>
        <w:tc>
          <w:tcPr>
            <w:tcW w:type="dxa" w:w="1987"/>
            <w:vAlign w:val="top"/>
          </w:tcPr>
          <w:p>
            <w:r>
              <w:t>Write</w:t>
            </w:r>
          </w:p>
        </w:tc>
      </w:tr>
    </w:tbl>
    <w:p>
      <w:pPr>
        <w:pStyle w:val="Heading1"/>
      </w:pPr>
      <w:r>
        <w:t>19. Knowledge Pack</w:t>
      </w:r>
    </w:p>
    <w:p>
      <w:r>
        <w:t>A Knowledge Pack identifies approved information that Synbot may retrieve.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Field</w:t>
            </w:r>
          </w:p>
        </w:tc>
        <w:tc>
          <w:tcPr>
            <w:tcW w:type="dxa" w:w="4968"/>
            <w:shd w:fill="EAF2F8"/>
            <w:vAlign w:val="center"/>
          </w:tcPr>
          <w:p>
            <w:r>
              <w:rPr>
                <w:b/>
              </w:rPr>
              <w:t>Purpose</w:t>
            </w:r>
          </w:p>
        </w:tc>
      </w:tr>
      <w:tr>
        <w:tc>
          <w:tcPr>
            <w:tcW w:type="dxa" w:w="4968"/>
            <w:vAlign w:val="top"/>
          </w:tcPr>
          <w:p>
            <w:r>
              <w:t>collection_id</w:t>
            </w:r>
          </w:p>
        </w:tc>
        <w:tc>
          <w:tcPr>
            <w:tcW w:type="dxa" w:w="4968"/>
            <w:vAlign w:val="top"/>
          </w:tcPr>
          <w:p>
            <w:r>
              <w:t>Stable retrieval collection</w:t>
            </w:r>
          </w:p>
        </w:tc>
      </w:tr>
      <w:tr>
        <w:tc>
          <w:tcPr>
            <w:tcW w:type="dxa" w:w="4968"/>
            <w:vAlign w:val="top"/>
          </w:tcPr>
          <w:p>
            <w:r>
              <w:t>document_type</w:t>
            </w:r>
          </w:p>
        </w:tc>
        <w:tc>
          <w:tcPr>
            <w:tcW w:type="dxa" w:w="4968"/>
            <w:vAlign w:val="top"/>
          </w:tcPr>
          <w:p>
            <w:r>
              <w:t>Policy/manual/report/etc.</w:t>
            </w:r>
          </w:p>
        </w:tc>
      </w:tr>
      <w:tr>
        <w:tc>
          <w:tcPr>
            <w:tcW w:type="dxa" w:w="4968"/>
            <w:vAlign w:val="top"/>
          </w:tcPr>
          <w:p>
            <w:r>
              <w:t>authority</w:t>
            </w:r>
          </w:p>
        </w:tc>
        <w:tc>
          <w:tcPr>
            <w:tcW w:type="dxa" w:w="4968"/>
            <w:vAlign w:val="top"/>
          </w:tcPr>
          <w:p>
            <w:r>
              <w:t>Approved owner/source</w:t>
            </w:r>
          </w:p>
        </w:tc>
      </w:tr>
      <w:tr>
        <w:tc>
          <w:tcPr>
            <w:tcW w:type="dxa" w:w="4968"/>
            <w:vAlign w:val="top"/>
          </w:tcPr>
          <w:p>
            <w:r>
              <w:t>version</w:t>
            </w:r>
          </w:p>
        </w:tc>
        <w:tc>
          <w:tcPr>
            <w:tcW w:type="dxa" w:w="4968"/>
            <w:vAlign w:val="top"/>
          </w:tcPr>
          <w:p>
            <w:r>
              <w:t>Document version</w:t>
            </w:r>
          </w:p>
        </w:tc>
      </w:tr>
      <w:tr>
        <w:tc>
          <w:tcPr>
            <w:tcW w:type="dxa" w:w="4968"/>
            <w:vAlign w:val="top"/>
          </w:tcPr>
          <w:p>
            <w:r>
              <w:t>effective_date</w:t>
            </w:r>
          </w:p>
        </w:tc>
        <w:tc>
          <w:tcPr>
            <w:tcW w:type="dxa" w:w="4968"/>
            <w:vAlign w:val="top"/>
          </w:tcPr>
          <w:p>
            <w:r>
              <w:t>When applicable</w:t>
            </w:r>
          </w:p>
        </w:tc>
      </w:tr>
      <w:tr>
        <w:tc>
          <w:tcPr>
            <w:tcW w:type="dxa" w:w="4968"/>
            <w:vAlign w:val="top"/>
          </w:tcPr>
          <w:p>
            <w:r>
              <w:t>expiry/review_date</w:t>
            </w:r>
          </w:p>
        </w:tc>
        <w:tc>
          <w:tcPr>
            <w:tcW w:type="dxa" w:w="4968"/>
            <w:vAlign w:val="top"/>
          </w:tcPr>
          <w:p>
            <w:r>
              <w:t>When applicable</w:t>
            </w:r>
          </w:p>
        </w:tc>
      </w:tr>
      <w:tr>
        <w:tc>
          <w:tcPr>
            <w:tcW w:type="dxa" w:w="4968"/>
            <w:vAlign w:val="top"/>
          </w:tcPr>
          <w:p>
            <w:r>
              <w:t>access_scope</w:t>
            </w:r>
          </w:p>
        </w:tc>
        <w:tc>
          <w:tcPr>
            <w:tcW w:type="dxa" w:w="4968"/>
            <w:vAlign w:val="top"/>
          </w:tcPr>
          <w:p>
            <w:r>
              <w:t>Roles/companies allowed</w:t>
            </w:r>
          </w:p>
        </w:tc>
      </w:tr>
      <w:tr>
        <w:tc>
          <w:tcPr>
            <w:tcW w:type="dxa" w:w="4968"/>
            <w:vAlign w:val="top"/>
          </w:tcPr>
          <w:p>
            <w:r>
              <w:t>metadata_filters</w:t>
            </w:r>
          </w:p>
        </w:tc>
        <w:tc>
          <w:tcPr>
            <w:tcW w:type="dxa" w:w="4968"/>
            <w:vAlign w:val="top"/>
          </w:tcPr>
          <w:p>
            <w:r>
              <w:t>Retrieval constraints</w:t>
            </w:r>
          </w:p>
        </w:tc>
      </w:tr>
    </w:tbl>
    <w:p>
      <w:pPr>
        <w:pStyle w:val="Heading1"/>
      </w:pPr>
      <w:r>
        <w:t>20. Business Rule Pack</w:t>
      </w:r>
    </w:p>
    <w:p>
      <w:r>
        <w:t>Business rules should be expressed as explicit machine-checkable rules where possible.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Rule type</w:t>
            </w:r>
          </w:p>
        </w:tc>
        <w:tc>
          <w:tcPr>
            <w:tcW w:type="dxa" w:w="4968"/>
            <w:shd w:fill="EAF2F8"/>
            <w:vAlign w:val="center"/>
          </w:tcPr>
          <w:p>
            <w:r>
              <w:rPr>
                <w:b/>
              </w:rPr>
              <w:t>Example</w:t>
            </w:r>
          </w:p>
        </w:tc>
      </w:tr>
      <w:tr>
        <w:tc>
          <w:tcPr>
            <w:tcW w:type="dxa" w:w="4968"/>
            <w:vAlign w:val="top"/>
          </w:tcPr>
          <w:p>
            <w:r>
              <w:t>Eligibility</w:t>
            </w:r>
          </w:p>
        </w:tc>
        <w:tc>
          <w:tcPr>
            <w:tcW w:type="dxa" w:w="4968"/>
            <w:vAlign w:val="top"/>
          </w:tcPr>
          <w:p>
            <w:r>
              <w:t>Customer must meet configured criteria</w:t>
            </w:r>
          </w:p>
        </w:tc>
      </w:tr>
      <w:tr>
        <w:tc>
          <w:tcPr>
            <w:tcW w:type="dxa" w:w="4968"/>
            <w:vAlign w:val="top"/>
          </w:tcPr>
          <w:p>
            <w:r>
              <w:t>Approval</w:t>
            </w:r>
          </w:p>
        </w:tc>
        <w:tc>
          <w:tcPr>
            <w:tcW w:type="dxa" w:w="4968"/>
            <w:vAlign w:val="top"/>
          </w:tcPr>
          <w:p>
            <w:r>
              <w:t>Transaction above threshold requires approval</w:t>
            </w:r>
          </w:p>
        </w:tc>
      </w:tr>
      <w:tr>
        <w:tc>
          <w:tcPr>
            <w:tcW w:type="dxa" w:w="4968"/>
            <w:vAlign w:val="top"/>
          </w:tcPr>
          <w:p>
            <w:r>
              <w:t>Routing</w:t>
            </w:r>
          </w:p>
        </w:tc>
        <w:tc>
          <w:tcPr>
            <w:tcW w:type="dxa" w:w="4968"/>
            <w:vAlign w:val="top"/>
          </w:tcPr>
          <w:p>
            <w:r>
              <w:t>Insurance request routes to insurance workflow</w:t>
            </w:r>
          </w:p>
        </w:tc>
      </w:tr>
      <w:tr>
        <w:tc>
          <w:tcPr>
            <w:tcW w:type="dxa" w:w="4968"/>
            <w:vAlign w:val="top"/>
          </w:tcPr>
          <w:p>
            <w:r>
              <w:t>Escalation</w:t>
            </w:r>
          </w:p>
        </w:tc>
        <w:tc>
          <w:tcPr>
            <w:tcW w:type="dxa" w:w="4968"/>
            <w:vAlign w:val="top"/>
          </w:tcPr>
          <w:p>
            <w:r>
              <w:t>Clinical uncertainty requires human review</w:t>
            </w:r>
          </w:p>
        </w:tc>
      </w:tr>
      <w:tr>
        <w:tc>
          <w:tcPr>
            <w:tcW w:type="dxa" w:w="4968"/>
            <w:vAlign w:val="top"/>
          </w:tcPr>
          <w:p>
            <w:r>
              <w:t>Data policy</w:t>
            </w:r>
          </w:p>
        </w:tc>
        <w:tc>
          <w:tcPr>
            <w:tcW w:type="dxa" w:w="4968"/>
            <w:vAlign w:val="top"/>
          </w:tcPr>
          <w:p>
            <w:r>
              <w:t>Company A records cannot be returned to Company B user</w:t>
            </w:r>
          </w:p>
        </w:tc>
      </w:tr>
    </w:tbl>
    <w:p>
      <w:r>
        <w:t>Do not rely on prose alone for critical business rules. Where a rule affects access, money, clinical workflow or irreversible actions, enforce it in the application/tool layer.</w:t>
      </w:r>
    </w:p>
    <w:p>
      <w:pPr>
        <w:pStyle w:val="Heading1"/>
      </w:pPr>
      <w:r>
        <w:t>21. Evaluation Pack per Client</w:t>
      </w:r>
    </w:p>
    <w:p>
      <w:r>
        <w:t>Every client pack should include tests for its distinctive risks.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Test group</w:t>
            </w:r>
          </w:p>
        </w:tc>
        <w:tc>
          <w:tcPr>
            <w:tcW w:type="dxa" w:w="4968"/>
            <w:shd w:fill="EAF2F8"/>
            <w:vAlign w:val="center"/>
          </w:tcPr>
          <w:p>
            <w:r>
              <w:rPr>
                <w:b/>
              </w:rPr>
              <w:t>Examples</w:t>
            </w:r>
          </w:p>
        </w:tc>
      </w:tr>
      <w:tr>
        <w:tc>
          <w:tcPr>
            <w:tcW w:type="dxa" w:w="4968"/>
            <w:vAlign w:val="top"/>
          </w:tcPr>
          <w:p>
            <w:r>
              <w:t>Identity</w:t>
            </w:r>
          </w:p>
        </w:tc>
        <w:tc>
          <w:tcPr>
            <w:tcW w:type="dxa" w:w="4968"/>
            <w:vAlign w:val="top"/>
          </w:tcPr>
          <w:p>
            <w:r>
              <w:t>Correct client/company terminology</w:t>
            </w:r>
          </w:p>
        </w:tc>
      </w:tr>
      <w:tr>
        <w:tc>
          <w:tcPr>
            <w:tcW w:type="dxa" w:w="4968"/>
            <w:vAlign w:val="top"/>
          </w:tcPr>
          <w:p>
            <w:r>
              <w:t>Data</w:t>
            </w:r>
          </w:p>
        </w:tc>
        <w:tc>
          <w:tcPr>
            <w:tcW w:type="dxa" w:w="4968"/>
            <w:vAlign w:val="top"/>
          </w:tcPr>
          <w:p>
            <w:r>
              <w:t>Correct source and current values</w:t>
            </w:r>
          </w:p>
        </w:tc>
      </w:tr>
      <w:tr>
        <w:tc>
          <w:tcPr>
            <w:tcW w:type="dxa" w:w="4968"/>
            <w:vAlign w:val="top"/>
          </w:tcPr>
          <w:p>
            <w:r>
              <w:t>Workflow</w:t>
            </w:r>
          </w:p>
        </w:tc>
        <w:tc>
          <w:tcPr>
            <w:tcW w:type="dxa" w:w="4968"/>
            <w:vAlign w:val="top"/>
          </w:tcPr>
          <w:p>
            <w:r>
              <w:t>Expected process sequence</w:t>
            </w:r>
          </w:p>
        </w:tc>
      </w:tr>
      <w:tr>
        <w:tc>
          <w:tcPr>
            <w:tcW w:type="dxa" w:w="4968"/>
            <w:vAlign w:val="top"/>
          </w:tcPr>
          <w:p>
            <w:r>
              <w:t>Permissions</w:t>
            </w:r>
          </w:p>
        </w:tc>
        <w:tc>
          <w:tcPr>
            <w:tcW w:type="dxa" w:w="4968"/>
            <w:vAlign w:val="top"/>
          </w:tcPr>
          <w:p>
            <w:r>
              <w:t>Role-specific access</w:t>
            </w:r>
          </w:p>
        </w:tc>
      </w:tr>
      <w:tr>
        <w:tc>
          <w:tcPr>
            <w:tcW w:type="dxa" w:w="4968"/>
            <w:vAlign w:val="top"/>
          </w:tcPr>
          <w:p>
            <w:r>
              <w:t>Boundary</w:t>
            </w:r>
          </w:p>
        </w:tc>
        <w:tc>
          <w:tcPr>
            <w:tcW w:type="dxa" w:w="4968"/>
            <w:vAlign w:val="top"/>
          </w:tcPr>
          <w:p>
            <w:r>
              <w:t>Company/tenant isolation</w:t>
            </w:r>
          </w:p>
        </w:tc>
      </w:tr>
      <w:tr>
        <w:tc>
          <w:tcPr>
            <w:tcW w:type="dxa" w:w="4968"/>
            <w:vAlign w:val="top"/>
          </w:tcPr>
          <w:p>
            <w:r>
              <w:t>Failure</w:t>
            </w:r>
          </w:p>
        </w:tc>
        <w:tc>
          <w:tcPr>
            <w:tcW w:type="dxa" w:w="4968"/>
            <w:vAlign w:val="top"/>
          </w:tcPr>
          <w:p>
            <w:r>
              <w:t>Unavailable source/tool behaviour</w:t>
            </w:r>
          </w:p>
        </w:tc>
      </w:tr>
      <w:tr>
        <w:tc>
          <w:tcPr>
            <w:tcW w:type="dxa" w:w="4968"/>
            <w:vAlign w:val="top"/>
          </w:tcPr>
          <w:p>
            <w:r>
              <w:t>Conversation</w:t>
            </w:r>
          </w:p>
        </w:tc>
        <w:tc>
          <w:tcPr>
            <w:tcW w:type="dxa" w:w="4968"/>
            <w:vAlign w:val="top"/>
          </w:tcPr>
          <w:p>
            <w:r>
              <w:t>Client-specific natural language</w:t>
            </w:r>
          </w:p>
        </w:tc>
      </w:tr>
      <w:tr>
        <w:tc>
          <w:tcPr>
            <w:tcW w:type="dxa" w:w="4968"/>
            <w:vAlign w:val="top"/>
          </w:tcPr>
          <w:p>
            <w:r>
              <w:t>Adversarial</w:t>
            </w:r>
          </w:p>
        </w:tc>
        <w:tc>
          <w:tcPr>
            <w:tcW w:type="dxa" w:w="4968"/>
            <w:vAlign w:val="top"/>
          </w:tcPr>
          <w:p>
            <w:r>
              <w:t>False premise, unsupported request, conflicting records</w:t>
            </w:r>
          </w:p>
        </w:tc>
      </w:tr>
    </w:tbl>
    <w:p>
      <w:pPr>
        <w:pStyle w:val="Heading1"/>
      </w:pPr>
      <w:r>
        <w:t>22. Client Onboarding Template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Step</w:t>
            </w:r>
          </w:p>
        </w:tc>
        <w:tc>
          <w:tcPr>
            <w:tcW w:type="dxa" w:w="4968"/>
            <w:shd w:fill="EAF2F8"/>
            <w:vAlign w:val="center"/>
          </w:tcPr>
          <w:p>
            <w:r>
              <w:rPr>
                <w:b/>
              </w:rPr>
              <w:t>Questions to answer</w:t>
            </w:r>
          </w:p>
        </w:tc>
      </w:tr>
      <w:tr>
        <w:tc>
          <w:tcPr>
            <w:tcW w:type="dxa" w:w="4968"/>
            <w:vAlign w:val="top"/>
          </w:tcPr>
          <w:p>
            <w:r>
              <w:t>1. Organisation</w:t>
            </w:r>
          </w:p>
        </w:tc>
        <w:tc>
          <w:tcPr>
            <w:tcW w:type="dxa" w:w="4968"/>
            <w:vAlign w:val="top"/>
          </w:tcPr>
          <w:p>
            <w:r>
              <w:t>Who is the client and what businesses exist?</w:t>
            </w:r>
          </w:p>
        </w:tc>
      </w:tr>
      <w:tr>
        <w:tc>
          <w:tcPr>
            <w:tcW w:type="dxa" w:w="4968"/>
            <w:vAlign w:val="top"/>
          </w:tcPr>
          <w:p>
            <w:r>
              <w:t>2. Domain</w:t>
            </w:r>
          </w:p>
        </w:tc>
        <w:tc>
          <w:tcPr>
            <w:tcW w:type="dxa" w:w="4968"/>
            <w:vAlign w:val="top"/>
          </w:tcPr>
          <w:p>
            <w:r>
              <w:t>Which domain pack(s) apply?</w:t>
            </w:r>
          </w:p>
        </w:tc>
      </w:tr>
      <w:tr>
        <w:tc>
          <w:tcPr>
            <w:tcW w:type="dxa" w:w="4968"/>
            <w:vAlign w:val="top"/>
          </w:tcPr>
          <w:p>
            <w:r>
              <w:t>3. Companies</w:t>
            </w:r>
          </w:p>
        </w:tc>
        <w:tc>
          <w:tcPr>
            <w:tcW w:type="dxa" w:w="4968"/>
            <w:vAlign w:val="top"/>
          </w:tcPr>
          <w:p>
            <w:r>
              <w:t>Which subsidiaries/business units need isolation?</w:t>
            </w:r>
          </w:p>
        </w:tc>
      </w:tr>
      <w:tr>
        <w:tc>
          <w:tcPr>
            <w:tcW w:type="dxa" w:w="4968"/>
            <w:vAlign w:val="top"/>
          </w:tcPr>
          <w:p>
            <w:r>
              <w:t>4. Users</w:t>
            </w:r>
          </w:p>
        </w:tc>
        <w:tc>
          <w:tcPr>
            <w:tcW w:type="dxa" w:w="4968"/>
            <w:vAlign w:val="top"/>
          </w:tcPr>
          <w:p>
            <w:r>
              <w:t>What roles exist?</w:t>
            </w:r>
          </w:p>
        </w:tc>
      </w:tr>
      <w:tr>
        <w:tc>
          <w:tcPr>
            <w:tcW w:type="dxa" w:w="4968"/>
            <w:vAlign w:val="top"/>
          </w:tcPr>
          <w:p>
            <w:r>
              <w:t>5. Data</w:t>
            </w:r>
          </w:p>
        </w:tc>
        <w:tc>
          <w:tcPr>
            <w:tcW w:type="dxa" w:w="4968"/>
            <w:vAlign w:val="top"/>
          </w:tcPr>
          <w:p>
            <w:r>
              <w:t>What systems contain authoritative records?</w:t>
            </w:r>
          </w:p>
        </w:tc>
      </w:tr>
      <w:tr>
        <w:tc>
          <w:tcPr>
            <w:tcW w:type="dxa" w:w="4968"/>
            <w:vAlign w:val="top"/>
          </w:tcPr>
          <w:p>
            <w:r>
              <w:t>6. Documents</w:t>
            </w:r>
          </w:p>
        </w:tc>
        <w:tc>
          <w:tcPr>
            <w:tcW w:type="dxa" w:w="4968"/>
            <w:vAlign w:val="top"/>
          </w:tcPr>
          <w:p>
            <w:r>
              <w:t>Which policies/manuals are approved?</w:t>
            </w:r>
          </w:p>
        </w:tc>
      </w:tr>
      <w:tr>
        <w:tc>
          <w:tcPr>
            <w:tcW w:type="dxa" w:w="4968"/>
            <w:vAlign w:val="top"/>
          </w:tcPr>
          <w:p>
            <w:r>
              <w:t>7. Workflows</w:t>
            </w:r>
          </w:p>
        </w:tc>
        <w:tc>
          <w:tcPr>
            <w:tcW w:type="dxa" w:w="4968"/>
            <w:vAlign w:val="top"/>
          </w:tcPr>
          <w:p>
            <w:r>
              <w:t>What tasks should Synbot support?</w:t>
            </w:r>
          </w:p>
        </w:tc>
      </w:tr>
      <w:tr>
        <w:tc>
          <w:tcPr>
            <w:tcW w:type="dxa" w:w="4968"/>
            <w:vAlign w:val="top"/>
          </w:tcPr>
          <w:p>
            <w:r>
              <w:t>8. Tools</w:t>
            </w:r>
          </w:p>
        </w:tc>
        <w:tc>
          <w:tcPr>
            <w:tcW w:type="dxa" w:w="4968"/>
            <w:vAlign w:val="top"/>
          </w:tcPr>
          <w:p>
            <w:r>
              <w:t>Which actions can Synbot perform?</w:t>
            </w:r>
          </w:p>
        </w:tc>
      </w:tr>
      <w:tr>
        <w:tc>
          <w:tcPr>
            <w:tcW w:type="dxa" w:w="4968"/>
            <w:vAlign w:val="top"/>
          </w:tcPr>
          <w:p>
            <w:r>
              <w:t>9. Restrictions</w:t>
            </w:r>
          </w:p>
        </w:tc>
        <w:tc>
          <w:tcPr>
            <w:tcW w:type="dxa" w:w="4968"/>
            <w:vAlign w:val="top"/>
          </w:tcPr>
          <w:p>
            <w:r>
              <w:t>What must Synbot never do?</w:t>
            </w:r>
          </w:p>
        </w:tc>
      </w:tr>
      <w:tr>
        <w:tc>
          <w:tcPr>
            <w:tcW w:type="dxa" w:w="4968"/>
            <w:vAlign w:val="top"/>
          </w:tcPr>
          <w:p>
            <w:r>
              <w:t>10. Evaluation</w:t>
            </w:r>
          </w:p>
        </w:tc>
        <w:tc>
          <w:tcPr>
            <w:tcW w:type="dxa" w:w="4968"/>
            <w:vAlign w:val="top"/>
          </w:tcPr>
          <w:p>
            <w:r>
              <w:t>What would constitute a serious failure?</w:t>
            </w:r>
          </w:p>
        </w:tc>
      </w:tr>
    </w:tbl>
    <w:p>
      <w:pPr>
        <w:pStyle w:val="Heading1"/>
      </w:pPr>
      <w:r>
        <w:t>23. Configuration Validation</w:t>
      </w:r>
    </w:p>
    <w:p>
      <w:r>
        <w:t>A configuration should pass validation before activation.</w:t>
      </w:r>
    </w:p>
    <w:p>
      <w:pPr>
        <w:pStyle w:val="ListBullet"/>
      </w:pPr>
      <w:r>
        <w:t>Every configured source has an authority and access scope.</w:t>
      </w:r>
    </w:p>
    <w:p>
      <w:pPr>
        <w:pStyle w:val="ListBullet"/>
      </w:pPr>
      <w:r>
        <w:t>Every enabled tool has a permission definition.</w:t>
      </w:r>
    </w:p>
    <w:p>
      <w:pPr>
        <w:pStyle w:val="ListBullet"/>
      </w:pPr>
      <w:r>
        <w:t>Every write/action tool has a confirmation/failure contract.</w:t>
      </w:r>
    </w:p>
    <w:p>
      <w:pPr>
        <w:pStyle w:val="ListBullet"/>
      </w:pPr>
      <w:r>
        <w:t>Every company has an explicit data boundary.</w:t>
      </w:r>
    </w:p>
    <w:p>
      <w:pPr>
        <w:pStyle w:val="ListBullet"/>
      </w:pPr>
      <w:r>
        <w:t>Every role has a defined scope.</w:t>
      </w:r>
    </w:p>
    <w:p>
      <w:pPr>
        <w:pStyle w:val="ListBullet"/>
      </w:pPr>
      <w:r>
        <w:t>Every knowledge collection has access metadata.</w:t>
      </w:r>
    </w:p>
    <w:p>
      <w:pPr>
        <w:pStyle w:val="ListBullet"/>
      </w:pPr>
      <w:r>
        <w:t>Required evaluation cases exist.</w:t>
      </w:r>
    </w:p>
    <w:p>
      <w:pPr>
        <w:pStyle w:val="ListBullet"/>
      </w:pPr>
      <w:r>
        <w:t>No configuration can disable universal security controls.</w:t>
      </w:r>
    </w:p>
    <w:p>
      <w:pPr>
        <w:pStyle w:val="ListBullet"/>
      </w:pPr>
      <w:r>
        <w:t>All versions are identifiable.</w:t>
      </w:r>
    </w:p>
    <w:p>
      <w:pPr>
        <w:pStyle w:val="Heading1"/>
      </w:pPr>
      <w:r>
        <w:t>24. Configuration Lifecycle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State</w:t>
            </w:r>
          </w:p>
        </w:tc>
        <w:tc>
          <w:tcPr>
            <w:tcW w:type="dxa" w:w="4968"/>
            <w:shd w:fill="EAF2F8"/>
            <w:vAlign w:val="center"/>
          </w:tcPr>
          <w:p>
            <w:r>
              <w:rPr>
                <w:b/>
              </w:rPr>
              <w:t>Meaning</w:t>
            </w:r>
          </w:p>
        </w:tc>
      </w:tr>
      <w:tr>
        <w:tc>
          <w:tcPr>
            <w:tcW w:type="dxa" w:w="4968"/>
            <w:vAlign w:val="top"/>
          </w:tcPr>
          <w:p>
            <w:r>
              <w:t>Draft</w:t>
            </w:r>
          </w:p>
        </w:tc>
        <w:tc>
          <w:tcPr>
            <w:tcW w:type="dxa" w:w="4968"/>
            <w:vAlign w:val="top"/>
          </w:tcPr>
          <w:p>
            <w:r>
              <w:t>Being designed</w:t>
            </w:r>
          </w:p>
        </w:tc>
      </w:tr>
      <w:tr>
        <w:tc>
          <w:tcPr>
            <w:tcW w:type="dxa" w:w="4968"/>
            <w:vAlign w:val="top"/>
          </w:tcPr>
          <w:p>
            <w:r>
              <w:t>Validated</w:t>
            </w:r>
          </w:p>
        </w:tc>
        <w:tc>
          <w:tcPr>
            <w:tcW w:type="dxa" w:w="4968"/>
            <w:vAlign w:val="top"/>
          </w:tcPr>
          <w:p>
            <w:r>
              <w:t>Schema and dependency checks passed</w:t>
            </w:r>
          </w:p>
        </w:tc>
      </w:tr>
      <w:tr>
        <w:tc>
          <w:tcPr>
            <w:tcW w:type="dxa" w:w="4968"/>
            <w:vAlign w:val="top"/>
          </w:tcPr>
          <w:p>
            <w:r>
              <w:t>Staged</w:t>
            </w:r>
          </w:p>
        </w:tc>
        <w:tc>
          <w:tcPr>
            <w:tcW w:type="dxa" w:w="4968"/>
            <w:vAlign w:val="top"/>
          </w:tcPr>
          <w:p>
            <w:r>
              <w:t>Ready for acceptance</w:t>
            </w:r>
          </w:p>
        </w:tc>
      </w:tr>
      <w:tr>
        <w:tc>
          <w:tcPr>
            <w:tcW w:type="dxa" w:w="4968"/>
            <w:vAlign w:val="top"/>
          </w:tcPr>
          <w:p>
            <w:r>
              <w:t>Active</w:t>
            </w:r>
          </w:p>
        </w:tc>
        <w:tc>
          <w:tcPr>
            <w:tcW w:type="dxa" w:w="4968"/>
            <w:vAlign w:val="top"/>
          </w:tcPr>
          <w:p>
            <w:r>
              <w:t>Used in production</w:t>
            </w:r>
          </w:p>
        </w:tc>
      </w:tr>
      <w:tr>
        <w:tc>
          <w:tcPr>
            <w:tcW w:type="dxa" w:w="4968"/>
            <w:vAlign w:val="top"/>
          </w:tcPr>
          <w:p>
            <w:r>
              <w:t>Deprecated</w:t>
            </w:r>
          </w:p>
        </w:tc>
        <w:tc>
          <w:tcPr>
            <w:tcW w:type="dxa" w:w="4968"/>
            <w:vAlign w:val="top"/>
          </w:tcPr>
          <w:p>
            <w:r>
              <w:t>Replaced but retained for traceability</w:t>
            </w:r>
          </w:p>
        </w:tc>
      </w:tr>
      <w:tr>
        <w:tc>
          <w:tcPr>
            <w:tcW w:type="dxa" w:w="4968"/>
            <w:vAlign w:val="top"/>
          </w:tcPr>
          <w:p>
            <w:r>
              <w:t>Archived</w:t>
            </w:r>
          </w:p>
        </w:tc>
        <w:tc>
          <w:tcPr>
            <w:tcW w:type="dxa" w:w="4968"/>
            <w:vAlign w:val="top"/>
          </w:tcPr>
          <w:p>
            <w:r>
              <w:t>No longer active</w:t>
            </w:r>
          </w:p>
        </w:tc>
      </w:tr>
    </w:tbl>
    <w:p>
      <w:pPr>
        <w:pStyle w:val="Heading1"/>
      </w:pPr>
      <w:r>
        <w:t>25. Configuration Change Process</w:t>
      </w:r>
    </w:p>
    <w:p>
      <w:pPr>
        <w:pStyle w:val="ListNumber"/>
      </w:pPr>
      <w:r>
        <w:t>Create a versioned change.</w:t>
      </w:r>
    </w:p>
    <w:p>
      <w:pPr>
        <w:pStyle w:val="ListNumber"/>
      </w:pPr>
      <w:r>
        <w:t>Identify affected domains, clients, companies and roles.</w:t>
      </w:r>
    </w:p>
    <w:p>
      <w:pPr>
        <w:pStyle w:val="ListNumber"/>
      </w:pPr>
      <w:r>
        <w:t>Run configuration validation.</w:t>
      </w:r>
    </w:p>
    <w:p>
      <w:pPr>
        <w:pStyle w:val="ListNumber"/>
      </w:pPr>
      <w:r>
        <w:t>Run targeted evaluation tests.</w:t>
      </w:r>
    </w:p>
    <w:p>
      <w:pPr>
        <w:pStyle w:val="ListNumber"/>
      </w:pPr>
      <w:r>
        <w:t>Run universal regression tests where required.</w:t>
      </w:r>
    </w:p>
    <w:p>
      <w:pPr>
        <w:pStyle w:val="ListNumber"/>
      </w:pPr>
      <w:r>
        <w:t>Review security/tenant impact.</w:t>
      </w:r>
    </w:p>
    <w:p>
      <w:pPr>
        <w:pStyle w:val="ListNumber"/>
      </w:pPr>
      <w:r>
        <w:t>Stage the change.</w:t>
      </w:r>
    </w:p>
    <w:p>
      <w:pPr>
        <w:pStyle w:val="ListNumber"/>
      </w:pPr>
      <w:r>
        <w:t>Obtain required approval.</w:t>
      </w:r>
    </w:p>
    <w:p>
      <w:pPr>
        <w:pStyle w:val="ListNumber"/>
      </w:pPr>
      <w:r>
        <w:t>Activate.</w:t>
      </w:r>
    </w:p>
    <w:p>
      <w:pPr>
        <w:pStyle w:val="ListNumber"/>
      </w:pPr>
      <w:r>
        <w:t>Monitor and retain rollback version.</w:t>
      </w:r>
    </w:p>
    <w:p>
      <w:pPr>
        <w:pStyle w:val="Heading1"/>
      </w:pPr>
      <w:r>
        <w:t>26. Anti-Patterns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Anti-pattern</w:t>
            </w:r>
          </w:p>
        </w:tc>
        <w:tc>
          <w:tcPr>
            <w:tcW w:type="dxa" w:w="4968"/>
            <w:shd w:fill="EAF2F8"/>
            <w:vAlign w:val="center"/>
          </w:tcPr>
          <w:p>
            <w:r>
              <w:rPr>
                <w:b/>
              </w:rPr>
              <w:t>Problem</w:t>
            </w:r>
          </w:p>
        </w:tc>
      </w:tr>
      <w:tr>
        <w:tc>
          <w:tcPr>
            <w:tcW w:type="dxa" w:w="4968"/>
            <w:vAlign w:val="top"/>
          </w:tcPr>
          <w:p>
            <w:r>
              <w:t>Client logic inside core prompt</w:t>
            </w:r>
          </w:p>
        </w:tc>
        <w:tc>
          <w:tcPr>
            <w:tcW w:type="dxa" w:w="4968"/>
            <w:vAlign w:val="top"/>
          </w:tcPr>
          <w:p>
            <w:r>
              <w:t>Every client change becomes a core change</w:t>
            </w:r>
          </w:p>
        </w:tc>
      </w:tr>
      <w:tr>
        <w:tc>
          <w:tcPr>
            <w:tcW w:type="dxa" w:w="4968"/>
            <w:vAlign w:val="top"/>
          </w:tcPr>
          <w:p>
            <w:r>
              <w:t>Company selection by LLM inference</w:t>
            </w:r>
          </w:p>
        </w:tc>
        <w:tc>
          <w:tcPr>
            <w:tcW w:type="dxa" w:w="4968"/>
            <w:vAlign w:val="top"/>
          </w:tcPr>
          <w:p>
            <w:r>
              <w:t>Risk of wrong-company context</w:t>
            </w:r>
          </w:p>
        </w:tc>
      </w:tr>
      <w:tr>
        <w:tc>
          <w:tcPr>
            <w:tcW w:type="dxa" w:w="4968"/>
            <w:vAlign w:val="top"/>
          </w:tcPr>
          <w:p>
            <w:r>
              <w:t>Permissions only in prompt</w:t>
            </w:r>
          </w:p>
        </w:tc>
        <w:tc>
          <w:tcPr>
            <w:tcW w:type="dxa" w:w="4968"/>
            <w:vAlign w:val="top"/>
          </w:tcPr>
          <w:p>
            <w:r>
              <w:t>Not a reliable security boundary</w:t>
            </w:r>
          </w:p>
        </w:tc>
      </w:tr>
      <w:tr>
        <w:tc>
          <w:tcPr>
            <w:tcW w:type="dxa" w:w="4968"/>
            <w:vAlign w:val="top"/>
          </w:tcPr>
          <w:p>
            <w:r>
              <w:t>Hard-coded terminology</w:t>
            </w:r>
          </w:p>
        </w:tc>
        <w:tc>
          <w:tcPr>
            <w:tcW w:type="dxa" w:w="4968"/>
            <w:vAlign w:val="top"/>
          </w:tcPr>
          <w:p>
            <w:r>
              <w:t>Poor portability</w:t>
            </w:r>
          </w:p>
        </w:tc>
      </w:tr>
      <w:tr>
        <w:tc>
          <w:tcPr>
            <w:tcW w:type="dxa" w:w="4968"/>
            <w:vAlign w:val="top"/>
          </w:tcPr>
          <w:p>
            <w:r>
              <w:t>Unversioned configuration</w:t>
            </w:r>
          </w:p>
        </w:tc>
        <w:tc>
          <w:tcPr>
            <w:tcW w:type="dxa" w:w="4968"/>
            <w:vAlign w:val="top"/>
          </w:tcPr>
          <w:p>
            <w:r>
              <w:t>Cannot reproduce or roll back behaviour</w:t>
            </w:r>
          </w:p>
        </w:tc>
      </w:tr>
      <w:tr>
        <w:tc>
          <w:tcPr>
            <w:tcW w:type="dxa" w:w="4968"/>
            <w:vAlign w:val="top"/>
          </w:tcPr>
          <w:p>
            <w:r>
              <w:t>Mixed source authority</w:t>
            </w:r>
          </w:p>
        </w:tc>
        <w:tc>
          <w:tcPr>
            <w:tcW w:type="dxa" w:w="4968"/>
            <w:vAlign w:val="top"/>
          </w:tcPr>
          <w:p>
            <w:r>
              <w:t>LLM may choose the wrong current fact</w:t>
            </w:r>
          </w:p>
        </w:tc>
      </w:tr>
      <w:tr>
        <w:tc>
          <w:tcPr>
            <w:tcW w:type="dxa" w:w="4968"/>
            <w:vAlign w:val="top"/>
          </w:tcPr>
          <w:p>
            <w:r>
              <w:t>Duplicated workflows</w:t>
            </w:r>
          </w:p>
        </w:tc>
        <w:tc>
          <w:tcPr>
            <w:tcW w:type="dxa" w:w="4968"/>
            <w:vAlign w:val="top"/>
          </w:tcPr>
          <w:p>
            <w:r>
              <w:t>Fixes diverge across clients</w:t>
            </w:r>
          </w:p>
        </w:tc>
      </w:tr>
      <w:tr>
        <w:tc>
          <w:tcPr>
            <w:tcW w:type="dxa" w:w="4968"/>
            <w:vAlign w:val="top"/>
          </w:tcPr>
          <w:p>
            <w:r>
              <w:t>Everything enabled by default</w:t>
            </w:r>
          </w:p>
        </w:tc>
        <w:tc>
          <w:tcPr>
            <w:tcW w:type="dxa" w:w="4968"/>
            <w:vAlign w:val="top"/>
          </w:tcPr>
          <w:p>
            <w:r>
              <w:t>Unnecessary capability and risk</w:t>
            </w:r>
          </w:p>
        </w:tc>
      </w:tr>
    </w:tbl>
    <w:p>
      <w:pPr>
        <w:pStyle w:val="Heading1"/>
      </w:pPr>
      <w:r>
        <w:t>27. Implementation Priority</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Priority</w:t>
            </w:r>
          </w:p>
        </w:tc>
        <w:tc>
          <w:tcPr>
            <w:tcW w:type="dxa" w:w="4968"/>
            <w:shd w:fill="EAF2F8"/>
            <w:vAlign w:val="center"/>
          </w:tcPr>
          <w:p>
            <w:r>
              <w:rPr>
                <w:b/>
              </w:rPr>
              <w:t>Deliverable</w:t>
            </w:r>
          </w:p>
        </w:tc>
      </w:tr>
      <w:tr>
        <w:tc>
          <w:tcPr>
            <w:tcW w:type="dxa" w:w="4968"/>
            <w:vAlign w:val="top"/>
          </w:tcPr>
          <w:p>
            <w:r>
              <w:t>P0</w:t>
            </w:r>
          </w:p>
        </w:tc>
        <w:tc>
          <w:tcPr>
            <w:tcW w:type="dxa" w:w="4968"/>
            <w:vAlign w:val="top"/>
          </w:tcPr>
          <w:p>
            <w:r>
              <w:t>Configuration schema + validation</w:t>
            </w:r>
          </w:p>
        </w:tc>
      </w:tr>
      <w:tr>
        <w:tc>
          <w:tcPr>
            <w:tcW w:type="dxa" w:w="4968"/>
            <w:vAlign w:val="top"/>
          </w:tcPr>
          <w:p>
            <w:r>
              <w:t>P0</w:t>
            </w:r>
          </w:p>
        </w:tc>
        <w:tc>
          <w:tcPr>
            <w:tcW w:type="dxa" w:w="4968"/>
            <w:vAlign w:val="top"/>
          </w:tcPr>
          <w:p>
            <w:r>
              <w:t>Domain/client/company/role context loader</w:t>
            </w:r>
          </w:p>
        </w:tc>
      </w:tr>
      <w:tr>
        <w:tc>
          <w:tcPr>
            <w:tcW w:type="dxa" w:w="4968"/>
            <w:vAlign w:val="top"/>
          </w:tcPr>
          <w:p>
            <w:r>
              <w:t>P0</w:t>
            </w:r>
          </w:p>
        </w:tc>
        <w:tc>
          <w:tcPr>
            <w:tcW w:type="dxa" w:w="4968"/>
            <w:vAlign w:val="top"/>
          </w:tcPr>
          <w:p>
            <w:r>
              <w:t>Source-of-truth registry</w:t>
            </w:r>
          </w:p>
        </w:tc>
      </w:tr>
      <w:tr>
        <w:tc>
          <w:tcPr>
            <w:tcW w:type="dxa" w:w="4968"/>
            <w:vAlign w:val="top"/>
          </w:tcPr>
          <w:p>
            <w:r>
              <w:t>P0</w:t>
            </w:r>
          </w:p>
        </w:tc>
        <w:tc>
          <w:tcPr>
            <w:tcW w:type="dxa" w:w="4968"/>
            <w:vAlign w:val="top"/>
          </w:tcPr>
          <w:p>
            <w:r>
              <w:t>Tenant/company boundary enforcement</w:t>
            </w:r>
          </w:p>
        </w:tc>
      </w:tr>
      <w:tr>
        <w:tc>
          <w:tcPr>
            <w:tcW w:type="dxa" w:w="4968"/>
            <w:vAlign w:val="top"/>
          </w:tcPr>
          <w:p>
            <w:r>
              <w:t>P1</w:t>
            </w:r>
          </w:p>
        </w:tc>
        <w:tc>
          <w:tcPr>
            <w:tcW w:type="dxa" w:w="4968"/>
            <w:vAlign w:val="top"/>
          </w:tcPr>
          <w:p>
            <w:r>
              <w:t>Tool registry and availability matrix</w:t>
            </w:r>
          </w:p>
        </w:tc>
      </w:tr>
      <w:tr>
        <w:tc>
          <w:tcPr>
            <w:tcW w:type="dxa" w:w="4968"/>
            <w:vAlign w:val="top"/>
          </w:tcPr>
          <w:p>
            <w:r>
              <w:t>P1</w:t>
            </w:r>
          </w:p>
        </w:tc>
        <w:tc>
          <w:tcPr>
            <w:tcW w:type="dxa" w:w="4968"/>
            <w:vAlign w:val="top"/>
          </w:tcPr>
          <w:p>
            <w:r>
              <w:t>Knowledge pack metadata/access filters</w:t>
            </w:r>
          </w:p>
        </w:tc>
      </w:tr>
      <w:tr>
        <w:tc>
          <w:tcPr>
            <w:tcW w:type="dxa" w:w="4968"/>
            <w:vAlign w:val="top"/>
          </w:tcPr>
          <w:p>
            <w:r>
              <w:t>P1</w:t>
            </w:r>
          </w:p>
        </w:tc>
        <w:tc>
          <w:tcPr>
            <w:tcW w:type="dxa" w:w="4968"/>
            <w:vAlign w:val="top"/>
          </w:tcPr>
          <w:p>
            <w:r>
              <w:t>Feature flags</w:t>
            </w:r>
          </w:p>
        </w:tc>
      </w:tr>
      <w:tr>
        <w:tc>
          <w:tcPr>
            <w:tcW w:type="dxa" w:w="4968"/>
            <w:vAlign w:val="top"/>
          </w:tcPr>
          <w:p>
            <w:r>
              <w:t>P1</w:t>
            </w:r>
          </w:p>
        </w:tc>
        <w:tc>
          <w:tcPr>
            <w:tcW w:type="dxa" w:w="4968"/>
            <w:vAlign w:val="top"/>
          </w:tcPr>
          <w:p>
            <w:r>
              <w:t>Evaluation pack structure</w:t>
            </w:r>
          </w:p>
        </w:tc>
      </w:tr>
      <w:tr>
        <w:tc>
          <w:tcPr>
            <w:tcW w:type="dxa" w:w="4968"/>
            <w:vAlign w:val="top"/>
          </w:tcPr>
          <w:p>
            <w:r>
              <w:t>P2</w:t>
            </w:r>
          </w:p>
        </w:tc>
        <w:tc>
          <w:tcPr>
            <w:tcW w:type="dxa" w:w="4968"/>
            <w:vAlign w:val="top"/>
          </w:tcPr>
          <w:p>
            <w:r>
              <w:t>Admin configuration interface</w:t>
            </w:r>
          </w:p>
        </w:tc>
      </w:tr>
      <w:tr>
        <w:tc>
          <w:tcPr>
            <w:tcW w:type="dxa" w:w="4968"/>
            <w:vAlign w:val="top"/>
          </w:tcPr>
          <w:p>
            <w:r>
              <w:t>P2</w:t>
            </w:r>
          </w:p>
        </w:tc>
        <w:tc>
          <w:tcPr>
            <w:tcW w:type="dxa" w:w="4968"/>
            <w:vAlign w:val="top"/>
          </w:tcPr>
          <w:p>
            <w:r>
              <w:t>Configuration diff/version history</w:t>
            </w:r>
          </w:p>
        </w:tc>
      </w:tr>
      <w:tr>
        <w:tc>
          <w:tcPr>
            <w:tcW w:type="dxa" w:w="4968"/>
            <w:vAlign w:val="top"/>
          </w:tcPr>
          <w:p>
            <w:r>
              <w:t>P3</w:t>
            </w:r>
          </w:p>
        </w:tc>
        <w:tc>
          <w:tcPr>
            <w:tcW w:type="dxa" w:w="4968"/>
            <w:vAlign w:val="top"/>
          </w:tcPr>
          <w:p>
            <w:r>
              <w:t>Self-service client onboarding</w:t>
            </w:r>
          </w:p>
        </w:tc>
      </w:tr>
    </w:tbl>
    <w:p>
      <w:pPr>
        <w:pStyle w:val="Heading1"/>
      </w:pPr>
      <w:r>
        <w:t>28. Definition of Done</w:t>
      </w:r>
    </w:p>
    <w:p>
      <w:pPr>
        <w:pStyle w:val="ListBullet"/>
      </w:pPr>
      <w:r>
        <w:t>A new domain can be added without rewriting the universal conversational core.</w:t>
      </w:r>
    </w:p>
    <w:p>
      <w:pPr>
        <w:pStyle w:val="ListBullet"/>
      </w:pPr>
      <w:r>
        <w:t>A new client can be added through a Client Pack and integrations.</w:t>
      </w:r>
    </w:p>
    <w:p>
      <w:pPr>
        <w:pStyle w:val="ListBullet"/>
      </w:pPr>
      <w:r>
        <w:t>A subsidiary can be added through a Company Pack.</w:t>
      </w:r>
    </w:p>
    <w:p>
      <w:pPr>
        <w:pStyle w:val="ListBullet"/>
      </w:pPr>
      <w:r>
        <w:t>Roles can be configured independently from client identity.</w:t>
      </w:r>
    </w:p>
    <w:p>
      <w:pPr>
        <w:pStyle w:val="ListBullet"/>
      </w:pPr>
      <w:r>
        <w:t>Sources and authority are explicit.</w:t>
      </w:r>
    </w:p>
    <w:p>
      <w:pPr>
        <w:pStyle w:val="ListBullet"/>
      </w:pPr>
      <w:r>
        <w:t>Tools are enabled through configuration and server-side permission checks.</w:t>
      </w:r>
    </w:p>
    <w:p>
      <w:pPr>
        <w:pStyle w:val="ListBullet"/>
      </w:pPr>
      <w:r>
        <w:t>Knowledge retrieval is access-aware.</w:t>
      </w:r>
    </w:p>
    <w:p>
      <w:pPr>
        <w:pStyle w:val="ListBullet"/>
      </w:pPr>
      <w:r>
        <w:t>Configuration is versioned and reversible.</w:t>
      </w:r>
    </w:p>
    <w:p>
      <w:pPr>
        <w:pStyle w:val="ListBullet"/>
      </w:pPr>
      <w:r>
        <w:t>Evaluation cases travel with the configuration.</w:t>
      </w:r>
    </w:p>
    <w:p>
      <w:pPr>
        <w:pStyle w:val="ListBullet"/>
      </w:pPr>
      <w:r>
        <w:t>Critical security and grounding rules remain outside client overrides.</w:t>
      </w:r>
    </w:p>
    <w:p>
      <w:pPr>
        <w:pStyle w:val="Heading1"/>
      </w:pPr>
      <w:r>
        <w:t>29. Relationship to Documents 1–7</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Document</w:t>
            </w:r>
          </w:p>
        </w:tc>
        <w:tc>
          <w:tcPr>
            <w:tcW w:type="dxa" w:w="4968"/>
            <w:shd w:fill="EAF2F8"/>
            <w:vAlign w:val="center"/>
          </w:tcPr>
          <w:p>
            <w:r>
              <w:rPr>
                <w:b/>
              </w:rPr>
              <w:t>Purpose</w:t>
            </w:r>
          </w:p>
        </w:tc>
      </w:tr>
      <w:tr>
        <w:tc>
          <w:tcPr>
            <w:tcW w:type="dxa" w:w="4968"/>
            <w:vAlign w:val="top"/>
          </w:tcPr>
          <w:p>
            <w:r>
              <w:t>01</w:t>
            </w:r>
          </w:p>
        </w:tc>
        <w:tc>
          <w:tcPr>
            <w:tcW w:type="dxa" w:w="4968"/>
            <w:vAlign w:val="top"/>
          </w:tcPr>
          <w:p>
            <w:r>
              <w:t>Universal conversational contract</w:t>
            </w:r>
          </w:p>
        </w:tc>
      </w:tr>
      <w:tr>
        <w:tc>
          <w:tcPr>
            <w:tcW w:type="dxa" w:w="4968"/>
            <w:vAlign w:val="top"/>
          </w:tcPr>
          <w:p>
            <w:r>
              <w:t>02</w:t>
            </w:r>
          </w:p>
        </w:tc>
        <w:tc>
          <w:tcPr>
            <w:tcW w:type="dxa" w:w="4968"/>
            <w:vAlign w:val="top"/>
          </w:tcPr>
          <w:p>
            <w:r>
              <w:t>Response behaviour and voice</w:t>
            </w:r>
          </w:p>
        </w:tc>
      </w:tr>
      <w:tr>
        <w:tc>
          <w:tcPr>
            <w:tcW w:type="dxa" w:w="4968"/>
            <w:vAlign w:val="top"/>
          </w:tcPr>
          <w:p>
            <w:r>
              <w:t>03</w:t>
            </w:r>
          </w:p>
        </w:tc>
        <w:tc>
          <w:tcPr>
            <w:tcW w:type="dxa" w:w="4968"/>
            <w:vAlign w:val="top"/>
          </w:tcPr>
          <w:p>
            <w:r>
              <w:t>Intelligence and grounding</w:t>
            </w:r>
          </w:p>
        </w:tc>
      </w:tr>
      <w:tr>
        <w:tc>
          <w:tcPr>
            <w:tcW w:type="dxa" w:w="4968"/>
            <w:vAlign w:val="top"/>
          </w:tcPr>
          <w:p>
            <w:r>
              <w:t>04</w:t>
            </w:r>
          </w:p>
        </w:tc>
        <w:tc>
          <w:tcPr>
            <w:tcW w:type="dxa" w:w="4968"/>
            <w:vAlign w:val="top"/>
          </w:tcPr>
          <w:p>
            <w:r>
              <w:t>Prompt architecture</w:t>
            </w:r>
          </w:p>
        </w:tc>
      </w:tr>
      <w:tr>
        <w:tc>
          <w:tcPr>
            <w:tcW w:type="dxa" w:w="4968"/>
            <w:vAlign w:val="top"/>
          </w:tcPr>
          <w:p>
            <w:r>
              <w:t>05</w:t>
            </w:r>
          </w:p>
        </w:tc>
        <w:tc>
          <w:tcPr>
            <w:tcW w:type="dxa" w:w="4968"/>
            <w:vAlign w:val="top"/>
          </w:tcPr>
          <w:p>
            <w:r>
              <w:t>Evaluation and quality</w:t>
            </w:r>
          </w:p>
        </w:tc>
      </w:tr>
      <w:tr>
        <w:tc>
          <w:tcPr>
            <w:tcW w:type="dxa" w:w="4968"/>
            <w:vAlign w:val="top"/>
          </w:tcPr>
          <w:p>
            <w:r>
              <w:t>06</w:t>
            </w:r>
          </w:p>
        </w:tc>
        <w:tc>
          <w:tcPr>
            <w:tcW w:type="dxa" w:w="4968"/>
            <w:vAlign w:val="top"/>
          </w:tcPr>
          <w:p>
            <w:r>
              <w:t>Implementation architecture and deployment</w:t>
            </w:r>
          </w:p>
        </w:tc>
      </w:tr>
      <w:tr>
        <w:tc>
          <w:tcPr>
            <w:tcW w:type="dxa" w:w="4968"/>
            <w:vAlign w:val="top"/>
          </w:tcPr>
          <w:p>
            <w:r>
              <w:t>07</w:t>
            </w:r>
          </w:p>
        </w:tc>
        <w:tc>
          <w:tcPr>
            <w:tcW w:type="dxa" w:w="4968"/>
            <w:vAlign w:val="top"/>
          </w:tcPr>
          <w:p>
            <w:r>
              <w:t>Domain, client, company and role configuration</w:t>
            </w:r>
          </w:p>
        </w:tc>
      </w:tr>
    </w:tbl>
    <w:p>
      <w:pPr>
        <w:pStyle w:val="Heading1"/>
      </w:pPr>
      <w:r>
        <w:t>30. Closing Principle</w:t>
      </w:r>
    </w:p>
    <w:p>
      <w:pPr>
        <w:pStyle w:val="IntenseQuote"/>
      </w:pPr>
      <w:r>
        <w:t>The Synbot core should know how to behave. Configuration should tell it where, for whom, and within which business it is operating.</w:t>
      </w:r>
    </w:p>
    <w:p>
      <w:r>
        <w:t>This separation is the foundation for scaling Synbot from individual client projects into a genuine multi-domain platform. Health can remain healthcare-specific, Placeware can remain Sage-aware, and Atiat can become multi-company, while the same conversational intelligence, grounding, security and evaluation standards remain underneath.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Synbot • Domain &amp; Client Configuration Framework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